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alias w:val="cover"/>
        <w:tag w:val="cover"/>
        <w:id w:val="-1308395970"/>
        <w:lock w:val="sdtLocked"/>
        <w:placeholder>
          <w:docPart w:val="6A99AC02CC694EADBF7DA719B2705810"/>
        </w:placeholder>
        <w:docPartList>
          <w:docPartGallery w:val="Quick Parts"/>
          <w:docPartCategory w:val=" VREG"/>
        </w:docPartList>
      </w:sdtPr>
      <w:sdtEndPr/>
      <w:sdtContent>
        <w:p w14:paraId="2D7168ED" w14:textId="77777777" w:rsidR="00000B29" w:rsidRDefault="00000B29" w:rsidP="007C37FE">
          <w:pPr>
            <w:pStyle w:val="Geenafstand"/>
          </w:pPr>
        </w:p>
        <w:sdt>
          <w:sdtPr>
            <w:alias w:val="cover"/>
            <w:tag w:val="cover"/>
            <w:id w:val="785312886"/>
            <w:lock w:val="sdtLocked"/>
            <w:placeholder>
              <w:docPart w:val="6A99AC02CC694EADBF7DA719B2705810"/>
            </w:placeholder>
            <w:docPartList>
              <w:docPartGallery w:val="Quick Parts"/>
              <w:docPartCategory w:val=" VREG"/>
            </w:docPartList>
          </w:sdtPr>
          <w:sdtEndPr/>
          <w:sdt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777"/>
              </w:tblGrid>
              <w:tr w:rsidR="00000B29" w14:paraId="26125354" w14:textId="77777777" w:rsidTr="007C37FE">
                <w:trPr>
                  <w:trHeight w:hRule="exact" w:val="1134"/>
                </w:trPr>
                <w:tc>
                  <w:tcPr>
                    <w:tcW w:w="8777" w:type="dxa"/>
                  </w:tcPr>
                  <w:p w14:paraId="72D31227" w14:textId="77777777" w:rsidR="00000B29" w:rsidRDefault="00000B29" w:rsidP="00E021AC">
                    <w:pPr>
                      <w:pStyle w:val="Geenafstand"/>
                    </w:pPr>
                  </w:p>
                  <w:p w14:paraId="266C5C01" w14:textId="77777777" w:rsidR="00000B29" w:rsidRDefault="00000B29" w:rsidP="00D435CF">
                    <w:pPr>
                      <w:pStyle w:val="Geenafstand"/>
                    </w:pPr>
                  </w:p>
                </w:tc>
              </w:tr>
              <w:tr w:rsidR="00000B29" w:rsidRPr="000D47E5" w14:paraId="50F5F54C" w14:textId="77777777" w:rsidTr="0071483B">
                <w:trPr>
                  <w:trHeight w:hRule="exact" w:val="5670"/>
                </w:trPr>
                <w:tc>
                  <w:tcPr>
                    <w:tcW w:w="8777" w:type="dxa"/>
                    <w:vAlign w:val="bottom"/>
                  </w:tcPr>
                  <w:sdt>
                    <w:sdtPr>
                      <w:rPr>
                        <w:color w:val="667179"/>
                        <w:sz w:val="72"/>
                        <w:szCs w:val="72"/>
                      </w:rPr>
                      <w:id w:val="1459306545"/>
                      <w:placeholder>
                        <w:docPart w:val="DDFFB96EE3BC4671ACB0EB429167E19B"/>
                      </w:placeholder>
                    </w:sdtPr>
                    <w:sdtEndPr/>
                    <w:sdtContent>
                      <w:p w14:paraId="28138380" w14:textId="0BDA34AD" w:rsidR="000D47E5" w:rsidRPr="000D47E5" w:rsidRDefault="000D47E5" w:rsidP="000D47E5">
                        <w:pPr>
                          <w:tabs>
                            <w:tab w:val="left" w:pos="1247"/>
                          </w:tabs>
                          <w:rPr>
                            <w:color w:val="FFFFFF" w:themeColor="background1"/>
                            <w:sz w:val="72"/>
                            <w:szCs w:val="72"/>
                          </w:rPr>
                        </w:pPr>
                        <w:r w:rsidRPr="000D47E5">
                          <w:rPr>
                            <w:color w:val="FFFFFF" w:themeColor="background1"/>
                            <w:sz w:val="72"/>
                            <w:szCs w:val="72"/>
                          </w:rPr>
                          <w:t>Tariefmethodologie reguleringsperiode 20</w:t>
                        </w:r>
                        <w:r w:rsidR="00EE5CD7">
                          <w:rPr>
                            <w:color w:val="FFFFFF" w:themeColor="background1"/>
                            <w:sz w:val="72"/>
                            <w:szCs w:val="72"/>
                          </w:rPr>
                          <w:t>21</w:t>
                        </w:r>
                        <w:r w:rsidRPr="000D47E5">
                          <w:rPr>
                            <w:color w:val="FFFFFF" w:themeColor="background1"/>
                            <w:sz w:val="72"/>
                            <w:szCs w:val="72"/>
                          </w:rPr>
                          <w:t>-202</w:t>
                        </w:r>
                        <w:r w:rsidR="00EE5CD7">
                          <w:rPr>
                            <w:color w:val="FFFFFF" w:themeColor="background1"/>
                            <w:sz w:val="72"/>
                            <w:szCs w:val="72"/>
                          </w:rPr>
                          <w:t>4</w:t>
                        </w:r>
                        <w:r w:rsidRPr="000D47E5">
                          <w:rPr>
                            <w:color w:val="FFFFFF" w:themeColor="background1"/>
                            <w:sz w:val="72"/>
                            <w:szCs w:val="72"/>
                          </w:rPr>
                          <w:t>:</w:t>
                        </w:r>
                      </w:p>
                      <w:p w14:paraId="0FA89201" w14:textId="77777777" w:rsidR="00000B29" w:rsidRPr="000D47E5" w:rsidRDefault="000D47E5" w:rsidP="000D47E5">
                        <w:pPr>
                          <w:pStyle w:val="Geenafstand"/>
                          <w:rPr>
                            <w:color w:val="667179"/>
                            <w:sz w:val="72"/>
                            <w:szCs w:val="72"/>
                          </w:rPr>
                        </w:pPr>
                        <w:r w:rsidRPr="000D47E5">
                          <w:rPr>
                            <w:color w:val="FFFFFF" w:themeColor="background1"/>
                            <w:sz w:val="72"/>
                            <w:szCs w:val="72"/>
                          </w:rPr>
                          <w:t>Bijlage 1: Invul- en auditinstructie rapporteringsmodellen</w:t>
                        </w:r>
                        <w:r w:rsidR="00000B29" w:rsidRPr="000D47E5">
                          <w:rPr>
                            <w:color w:val="FFFFFF" w:themeColor="background1"/>
                            <w:sz w:val="72"/>
                            <w:szCs w:val="72"/>
                          </w:rPr>
                          <w:t xml:space="preserve"> </w:t>
                        </w:r>
                      </w:p>
                    </w:sdtContent>
                  </w:sdt>
                </w:tc>
              </w:tr>
              <w:tr w:rsidR="00000B29" w:rsidRPr="000D47E5" w14:paraId="7E998C34" w14:textId="77777777" w:rsidTr="0071483B">
                <w:trPr>
                  <w:trHeight w:hRule="exact" w:val="851"/>
                </w:trPr>
                <w:tc>
                  <w:tcPr>
                    <w:tcW w:w="8777" w:type="dxa"/>
                  </w:tcPr>
                  <w:p w14:paraId="06D042A6" w14:textId="77777777" w:rsidR="00000B29" w:rsidRPr="000D47E5" w:rsidRDefault="00000B29" w:rsidP="00D435CF">
                    <w:pPr>
                      <w:pStyle w:val="Geenafstand"/>
                      <w:rPr>
                        <w:sz w:val="72"/>
                        <w:szCs w:val="72"/>
                      </w:rPr>
                    </w:pPr>
                  </w:p>
                </w:tc>
              </w:tr>
              <w:bookmarkStart w:id="0" w:name="datum"/>
              <w:tr w:rsidR="00000B29" w14:paraId="3C898C1F" w14:textId="77777777" w:rsidTr="0071483B">
                <w:tc>
                  <w:tcPr>
                    <w:tcW w:w="8777" w:type="dxa"/>
                  </w:tcPr>
                  <w:p w14:paraId="63A4A60B" w14:textId="718FC92D" w:rsidR="00000B29" w:rsidRPr="008A47EF" w:rsidRDefault="007B5E9B" w:rsidP="005C4E3D">
                    <w:pPr>
                      <w:pStyle w:val="Ondertitel"/>
                    </w:pPr>
                    <w:sdt>
                      <w:sdtPr>
                        <w:id w:val="-143122272"/>
                        <w:placeholder>
                          <w:docPart w:val="981F3E1DD58D4FD8AB6E1BCE6EE12F89"/>
                        </w:placeholder>
                        <w:date w:fullDate="2021-06-25T00:00:00Z">
                          <w:dateFormat w:val="d/MM/yyyy"/>
                          <w:lid w:val="nl-BE"/>
                          <w:storeMappedDataAs w:val="dateTime"/>
                          <w:calendar w:val="gregorian"/>
                        </w:date>
                      </w:sdtPr>
                      <w:sdtEndPr/>
                      <w:sdtContent>
                        <w:r w:rsidR="00E0756E">
                          <w:t>25/06/2021</w:t>
                        </w:r>
                      </w:sdtContent>
                    </w:sdt>
                    <w:bookmarkEnd w:id="0"/>
                  </w:p>
                  <w:p w14:paraId="3E82D747" w14:textId="46CAC4D7" w:rsidR="00000B29" w:rsidRDefault="007B5E9B" w:rsidP="00E021AC">
                    <w:pPr>
                      <w:pStyle w:val="Onderwerp"/>
                    </w:pPr>
                    <w:sdt>
                      <w:sdtPr>
                        <w:id w:val="-432667099"/>
                        <w:placeholder>
                          <w:docPart w:val="E06BA710606D4604968798FE6934C3FD"/>
                        </w:placeholder>
                      </w:sdtPr>
                      <w:sdtEndPr/>
                      <w:sdtContent/>
                    </w:sdt>
                  </w:p>
                </w:tc>
              </w:tr>
            </w:tbl>
            <w:p w14:paraId="03D14620" w14:textId="77777777" w:rsidR="00000B29" w:rsidRDefault="00000B29" w:rsidP="00D435CF">
              <w:pPr>
                <w:pStyle w:val="Geenafstand"/>
              </w:pPr>
              <w:r w:rsidRPr="008A47EF">
                <w:rPr>
                  <w:noProof/>
                  <w:lang w:eastAsia="nl-BE"/>
                </w:rPr>
                <mc:AlternateContent>
                  <mc:Choice Requires="wps">
                    <w:drawing>
                      <wp:anchor distT="0" distB="360045" distL="114300" distR="114300" simplePos="0" relativeHeight="251658241" behindDoc="1" locked="0" layoutInCell="1" allowOverlap="1" wp14:anchorId="6597B3A1" wp14:editId="07D3060D">
                        <wp:simplePos x="0" y="0"/>
                        <wp:positionH relativeFrom="page">
                          <wp:posOffset>252095</wp:posOffset>
                        </wp:positionH>
                        <wp:positionV relativeFrom="page">
                          <wp:posOffset>252095</wp:posOffset>
                        </wp:positionV>
                        <wp:extent cx="7056000" cy="5328000"/>
                        <wp:effectExtent l="0" t="0" r="0" b="6350"/>
                        <wp:wrapNone/>
                        <wp:docPr id="36" name="Vrije vorm 7"/>
                        <wp:cNvGraphicFramePr/>
                        <a:graphic xmlns:a="http://schemas.openxmlformats.org/drawingml/2006/main">
                          <a:graphicData uri="http://schemas.microsoft.com/office/word/2010/wordprocessingShape">
                            <wps:wsp>
                              <wps:cNvSpPr/>
                              <wps:spPr>
                                <a:xfrm>
                                  <a:off x="0" y="0"/>
                                  <a:ext cx="7056000" cy="5328000"/>
                                </a:xfrm>
                                <a:custGeom>
                                  <a:avLst/>
                                  <a:gdLst>
                                    <a:gd name="connsiteX0" fmla="*/ 0 w 7543349"/>
                                    <a:gd name="connsiteY0" fmla="*/ 0 h 5040000"/>
                                    <a:gd name="connsiteX1" fmla="*/ 7181376 w 7543349"/>
                                    <a:gd name="connsiteY1" fmla="*/ 0 h 5040000"/>
                                    <a:gd name="connsiteX2" fmla="*/ 7543349 w 7543349"/>
                                    <a:gd name="connsiteY2" fmla="*/ 361973 h 5040000"/>
                                    <a:gd name="connsiteX3" fmla="*/ 7543349 w 7543349"/>
                                    <a:gd name="connsiteY3" fmla="*/ 4678027 h 5040000"/>
                                    <a:gd name="connsiteX4" fmla="*/ 7181376 w 7543349"/>
                                    <a:gd name="connsiteY4" fmla="*/ 5040000 h 5040000"/>
                                    <a:gd name="connsiteX5" fmla="*/ 0 w 7543349"/>
                                    <a:gd name="connsiteY5" fmla="*/ 5040000 h 5040000"/>
                                    <a:gd name="connsiteX6" fmla="*/ 0 w 7543349"/>
                                    <a:gd name="connsiteY6" fmla="*/ 0 h 504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43349" h="5040000">
                                      <a:moveTo>
                                        <a:pt x="0" y="0"/>
                                      </a:moveTo>
                                      <a:lnTo>
                                        <a:pt x="7181376" y="0"/>
                                      </a:lnTo>
                                      <a:cubicBezTo>
                                        <a:pt x="7381288" y="0"/>
                                        <a:pt x="7543349" y="162061"/>
                                        <a:pt x="7543349" y="361973"/>
                                      </a:cubicBezTo>
                                      <a:lnTo>
                                        <a:pt x="7543349" y="4678027"/>
                                      </a:lnTo>
                                      <a:cubicBezTo>
                                        <a:pt x="7543349" y="4877939"/>
                                        <a:pt x="7381288" y="5040000"/>
                                        <a:pt x="7181376" y="5040000"/>
                                      </a:cubicBezTo>
                                      <a:lnTo>
                                        <a:pt x="0" y="5040000"/>
                                      </a:lnTo>
                                      <a:lnTo>
                                        <a:pt x="0" y="0"/>
                                      </a:lnTo>
                                      <a:close/>
                                    </a:path>
                                  </a:pathLst>
                                </a:custGeom>
                                <a:gradFill>
                                  <a:gsLst>
                                    <a:gs pos="0">
                                      <a:srgbClr val="E40033"/>
                                    </a:gs>
                                    <a:gs pos="100000">
                                      <a:srgbClr val="FFBB00"/>
                                    </a:gs>
                                  </a:gsLst>
                                  <a:lin ang="189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7D6152" w14:textId="77777777" w:rsidR="0026383F" w:rsidRPr="00466C98" w:rsidRDefault="0026383F" w:rsidP="007C37FE">
                                    <w:pPr>
                                      <w:pStyle w:val="Geenafstand"/>
                                    </w:pPr>
                                  </w:p>
                                </w:txbxContent>
                              </wps:txbx>
                              <wps:bodyPr rot="0" spcFirstLastPara="0" vertOverflow="overflow" horzOverflow="overflow" vert="horz" wrap="square" lIns="828000" tIns="648000" rIns="648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7B3A1" id="Vrije vorm 7" o:spid="_x0000_s1026" style="position:absolute;margin-left:19.85pt;margin-top:19.85pt;width:555.6pt;height:419.55pt;z-index:-251658239;visibility:visible;mso-wrap-style:square;mso-width-percent:0;mso-height-percent:0;mso-wrap-distance-left:9pt;mso-wrap-distance-top:0;mso-wrap-distance-right:9pt;mso-wrap-distance-bottom:28.35pt;mso-position-horizontal:absolute;mso-position-horizontal-relative:page;mso-position-vertical:absolute;mso-position-vertical-relative:page;mso-width-percent:0;mso-height-percent:0;mso-width-relative:margin;mso-height-relative:margin;v-text-anchor:top" coordsize="7543349,504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" adj="-11796480,,5400" path="m,l7181376,v199912,,361973,162061,361973,361973l7543349,4678027v,199912,-162061,361973,-361973,361973l,5040000,,xe" fillcolor="#e40033" stroked="f" strokeweight="1pt">
                        <v:fill color2="#fb0" angle="135" focus="100%" type="gradient"/>
                        <v:stroke joinstyle="miter"/>
                        <v:formulas/>
                        <v:path arrowok="t" o:connecttype="custom" o:connectlocs="0,0;6717413,0;7056000,382657;7056000,4945343;6717413,5328000;0,5328000;0,0" o:connectangles="0,0,0,0,0,0,0" textboxrect="0,0,7543349,5040000"/>
                        <v:textbox inset="23mm,18mm,18mm,10mm">
                          <w:txbxContent>
                            <w:p w14:paraId="1E7D6152" w14:textId="77777777" w:rsidR="0026383F" w:rsidRPr="00466C98" w:rsidRDefault="0026383F" w:rsidP="007C37FE">
                              <w:pPr>
                                <w:pStyle w:val="Geenafstand"/>
                              </w:pPr>
                            </w:p>
                          </w:txbxContent>
                        </v:textbox>
                        <w10:wrap anchorx="page" anchory="page"/>
                      </v:shape>
                    </w:pict>
                  </mc:Fallback>
                </mc:AlternateContent>
              </w:r>
              <w:r>
                <w:rPr>
                  <w:noProof/>
                  <w:lang w:eastAsia="nl-BE"/>
                </w:rPr>
                <mc:AlternateContent>
                  <mc:Choice Requires="wps">
                    <w:drawing>
                      <wp:anchor distT="0" distB="0" distL="114300" distR="114300" simplePos="0" relativeHeight="251658240" behindDoc="0" locked="0" layoutInCell="1" allowOverlap="1" wp14:anchorId="459BDD0A" wp14:editId="077BAAF1">
                        <wp:simplePos x="0" y="0"/>
                        <wp:positionH relativeFrom="page">
                          <wp:posOffset>1081377</wp:posOffset>
                        </wp:positionH>
                        <wp:positionV relativeFrom="page">
                          <wp:posOffset>9923228</wp:posOffset>
                        </wp:positionV>
                        <wp:extent cx="2699385" cy="771525"/>
                        <wp:effectExtent l="0" t="0" r="5715" b="0"/>
                        <wp:wrapNone/>
                        <wp:docPr id="4" name="Tekstvak 4"/>
                        <wp:cNvGraphicFramePr/>
                        <a:graphic xmlns:a="http://schemas.openxmlformats.org/drawingml/2006/main">
                          <a:graphicData uri="http://schemas.microsoft.com/office/word/2010/wordprocessingShape">
                            <wps:wsp>
                              <wps:cNvSpPr txBox="1"/>
                              <wps:spPr>
                                <a:xfrm>
                                  <a:off x="0" y="0"/>
                                  <a:ext cx="2699385" cy="771525"/>
                                </a:xfrm>
                                <a:prstGeom prst="rect">
                                  <a:avLst/>
                                </a:prstGeom>
                                <a:noFill/>
                                <a:ln w="6350">
                                  <a:noFill/>
                                </a:ln>
                              </wps:spPr>
                              <wps:txbx>
                                <w:txbxContent>
                                  <w:bookmarkStart w:id="1" w:name="referentie" w:displacedByCustomXml="next"/>
                                  <w:sdt>
                                    <w:sdtPr>
                                      <w:rPr>
                                        <w:sz w:val="16"/>
                                        <w:szCs w:val="16"/>
                                      </w:rPr>
                                      <w:id w:val="-8907041"/>
                                      <w:lock w:val="contentLocked"/>
                                      <w:placeholder>
                                        <w:docPart w:val="6E4EF398902E43E18928FFCD32C5C20C"/>
                                      </w:placeholder>
                                      <w:group/>
                                    </w:sdtPr>
                                    <w:sdtEndPr/>
                                    <w:sdtContent>
                                      <w:p w14:paraId="086278E8" w14:textId="77777777" w:rsidR="0026383F" w:rsidRDefault="0026383F" w:rsidP="008D56E3">
                                        <w:pPr>
                                          <w:pStyle w:val="Geenafstand"/>
                                          <w:rPr>
                                            <w:sz w:val="16"/>
                                            <w:szCs w:val="16"/>
                                          </w:rPr>
                                        </w:pPr>
                                      </w:p>
                                      <w:p w14:paraId="44C50617" w14:textId="69A9BF53" w:rsidR="0026383F" w:rsidRPr="00CF7FF3" w:rsidRDefault="007B5E9B" w:rsidP="008D56E3">
                                        <w:pPr>
                                          <w:pStyle w:val="Geenafstand"/>
                                          <w:rPr>
                                            <w:sz w:val="16"/>
                                            <w:szCs w:val="16"/>
                                          </w:rPr>
                                        </w:pPr>
                                        <w:sdt>
                                          <w:sdtPr>
                                            <w:rPr>
                                              <w:sz w:val="16"/>
                                              <w:szCs w:val="16"/>
                                            </w:rPr>
                                            <w:id w:val="-1390261387"/>
                                            <w:showingPlcHdr/>
                                            <w:text/>
                                          </w:sdtPr>
                                          <w:sdtEndPr/>
                                          <w:sdtContent>
                                            <w:r w:rsidR="0026383F">
                                              <w:rPr>
                                                <w:sz w:val="16"/>
                                                <w:szCs w:val="16"/>
                                              </w:rPr>
                                              <w:t xml:space="preserve">     </w:t>
                                            </w:r>
                                          </w:sdtContent>
                                        </w:sdt>
                                      </w:p>
                                      <w:bookmarkEnd w:id="1" w:displacedByCustomXml="next"/>
                                    </w:sdtContent>
                                  </w:sdt>
                                </w:txbxContent>
                              </wps:txbx>
                              <wps:bodyPr rot="0" spcFirstLastPara="0" vertOverflow="overflow" horzOverflow="overflow" vert="horz" wrap="square" lIns="0" tIns="0" rIns="0" bIns="39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9BDD0A" id="_x0000_t202" coordsize="21600,21600" o:spt="202" path="m,l,21600r21600,l21600,xe">
                        <v:stroke joinstyle="miter"/>
                        <v:path gradientshapeok="t" o:connecttype="rect"/>
                      </v:shapetype>
                      <v:shape id="Tekstvak 4" o:spid="_x0000_s1027" type="#_x0000_t202" style="position:absolute;margin-left:85.15pt;margin-top:781.35pt;width:212.55pt;height:60.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" filled="f" stroked="f" strokeweight=".5pt">
                        <v:textbox inset="0,0,0,11mm">
                          <w:txbxContent>
                            <w:bookmarkStart w:id="2" w:name="referentie" w:displacedByCustomXml="next"/>
                            <w:sdt>
                              <w:sdtPr>
                                <w:rPr>
                                  <w:sz w:val="16"/>
                                  <w:szCs w:val="16"/>
                                </w:rPr>
                                <w:id w:val="-8907041"/>
                                <w:lock w:val="contentLocked"/>
                                <w:placeholder>
                                  <w:docPart w:val="6E4EF398902E43E18928FFCD32C5C20C"/>
                                </w:placeholder>
                                <w:group/>
                              </w:sdtPr>
                              <w:sdtEndPr/>
                              <w:sdtContent>
                                <w:p w14:paraId="086278E8" w14:textId="77777777" w:rsidR="0026383F" w:rsidRDefault="0026383F" w:rsidP="008D56E3">
                                  <w:pPr>
                                    <w:pStyle w:val="Geenafstand"/>
                                    <w:rPr>
                                      <w:sz w:val="16"/>
                                      <w:szCs w:val="16"/>
                                    </w:rPr>
                                  </w:pPr>
                                </w:p>
                                <w:p w14:paraId="44C50617" w14:textId="69A9BF53" w:rsidR="0026383F" w:rsidRPr="00CF7FF3" w:rsidRDefault="007B5E9B" w:rsidP="008D56E3">
                                  <w:pPr>
                                    <w:pStyle w:val="Geenafstand"/>
                                    <w:rPr>
                                      <w:sz w:val="16"/>
                                      <w:szCs w:val="16"/>
                                    </w:rPr>
                                  </w:pPr>
                                  <w:sdt>
                                    <w:sdtPr>
                                      <w:rPr>
                                        <w:sz w:val="16"/>
                                        <w:szCs w:val="16"/>
                                      </w:rPr>
                                      <w:id w:val="-1390261387"/>
                                      <w:showingPlcHdr/>
                                      <w:text/>
                                    </w:sdtPr>
                                    <w:sdtEndPr/>
                                    <w:sdtContent>
                                      <w:r w:rsidR="0026383F">
                                        <w:rPr>
                                          <w:sz w:val="16"/>
                                          <w:szCs w:val="16"/>
                                        </w:rPr>
                                        <w:t xml:space="preserve">     </w:t>
                                      </w:r>
                                    </w:sdtContent>
                                  </w:sdt>
                                </w:p>
                                <w:bookmarkEnd w:id="2" w:displacedByCustomXml="next"/>
                              </w:sdtContent>
                            </w:sdt>
                          </w:txbxContent>
                        </v:textbox>
                        <w10:wrap anchorx="page" anchory="page"/>
                      </v:shape>
                    </w:pict>
                  </mc:Fallback>
                </mc:AlternateContent>
              </w:r>
            </w:p>
            <w:p w14:paraId="0E7BEA55" w14:textId="77777777" w:rsidR="00000B29" w:rsidRDefault="007B5E9B" w:rsidP="007C37FE">
              <w:pPr>
                <w:pStyle w:val="Geenafstand"/>
              </w:pPr>
            </w:p>
          </w:sdtContent>
        </w:sdt>
        <w:p w14:paraId="42D974E7" w14:textId="77777777" w:rsidR="007C37FE" w:rsidRDefault="007B5E9B" w:rsidP="007C37FE">
          <w:pPr>
            <w:pStyle w:val="Geenafstand"/>
          </w:pPr>
        </w:p>
      </w:sdtContent>
    </w:sdt>
    <w:p w14:paraId="2B669A56" w14:textId="77777777" w:rsidR="008E49A3" w:rsidRDefault="008E49A3" w:rsidP="007C37FE">
      <w:pPr>
        <w:pStyle w:val="Geenafstand"/>
      </w:pPr>
      <w:r>
        <w:br w:type="page"/>
      </w:r>
    </w:p>
    <w:p w14:paraId="1548AEB9" w14:textId="314F61EF" w:rsidR="00FD0206" w:rsidRDefault="00126780">
      <w:pPr>
        <w:pStyle w:val="Inhopg1"/>
        <w:rPr>
          <w:rFonts w:eastAsiaTheme="minorEastAsia"/>
          <w:b w:val="0"/>
          <w:lang w:eastAsia="nl-BE"/>
        </w:rPr>
      </w:pPr>
      <w:r>
        <w:rPr>
          <w:bCs/>
        </w:rPr>
        <w:lastRenderedPageBreak/>
        <w:fldChar w:fldCharType="begin"/>
      </w:r>
      <w:r>
        <w:rPr>
          <w:bCs/>
        </w:rPr>
        <w:instrText xml:space="preserve"> TOC \o "1-4" \h \z \u </w:instrText>
      </w:r>
      <w:r>
        <w:rPr>
          <w:bCs/>
        </w:rPr>
        <w:fldChar w:fldCharType="separate"/>
      </w:r>
      <w:hyperlink w:anchor="_Toc81512428" w:history="1">
        <w:r w:rsidR="00FD0206" w:rsidRPr="00AD63CB">
          <w:rPr>
            <w:rStyle w:val="Hyperlink"/>
          </w:rPr>
          <w:t>1</w:t>
        </w:r>
        <w:r w:rsidR="00FD0206">
          <w:rPr>
            <w:rFonts w:eastAsiaTheme="minorEastAsia"/>
            <w:b w:val="0"/>
            <w:lang w:eastAsia="nl-BE"/>
          </w:rPr>
          <w:tab/>
        </w:r>
        <w:r w:rsidR="00FD0206" w:rsidRPr="00AD63CB">
          <w:rPr>
            <w:rStyle w:val="Hyperlink"/>
          </w:rPr>
          <w:t>Invulinstructie exogene en endogene rapporteringsmodellen</w:t>
        </w:r>
        <w:r w:rsidR="00FD0206">
          <w:rPr>
            <w:webHidden/>
          </w:rPr>
          <w:tab/>
        </w:r>
        <w:r w:rsidR="00FD0206">
          <w:rPr>
            <w:webHidden/>
          </w:rPr>
          <w:fldChar w:fldCharType="begin"/>
        </w:r>
        <w:r w:rsidR="00FD0206">
          <w:rPr>
            <w:webHidden/>
          </w:rPr>
          <w:instrText xml:space="preserve"> PAGEREF _Toc81512428 \h </w:instrText>
        </w:r>
        <w:r w:rsidR="00FD0206">
          <w:rPr>
            <w:webHidden/>
          </w:rPr>
        </w:r>
        <w:r w:rsidR="00FD0206">
          <w:rPr>
            <w:webHidden/>
          </w:rPr>
          <w:fldChar w:fldCharType="separate"/>
        </w:r>
        <w:r w:rsidR="00FD0206">
          <w:rPr>
            <w:webHidden/>
          </w:rPr>
          <w:t>5</w:t>
        </w:r>
        <w:r w:rsidR="00FD0206">
          <w:rPr>
            <w:webHidden/>
          </w:rPr>
          <w:fldChar w:fldCharType="end"/>
        </w:r>
      </w:hyperlink>
    </w:p>
    <w:p w14:paraId="2063BC63" w14:textId="19F8029E" w:rsidR="00FD0206" w:rsidRDefault="007B5E9B">
      <w:pPr>
        <w:pStyle w:val="Inhopg2"/>
        <w:rPr>
          <w:rFonts w:eastAsiaTheme="minorEastAsia"/>
          <w:lang w:eastAsia="nl-BE"/>
        </w:rPr>
      </w:pPr>
      <w:hyperlink w:anchor="_Toc81512429" w:history="1">
        <w:r w:rsidR="00FD0206" w:rsidRPr="00AD63CB">
          <w:rPr>
            <w:rStyle w:val="Hyperlink"/>
          </w:rPr>
          <w:t>1.1</w:t>
        </w:r>
        <w:r w:rsidR="00FD0206">
          <w:rPr>
            <w:rFonts w:eastAsiaTheme="minorEastAsia"/>
            <w:lang w:eastAsia="nl-BE"/>
          </w:rPr>
          <w:tab/>
        </w:r>
        <w:r w:rsidR="00FD0206" w:rsidRPr="00AD63CB">
          <w:rPr>
            <w:rStyle w:val="Hyperlink"/>
          </w:rPr>
          <w:t>Invulinstructie Bijlage 4A: rapporteringsmodel exogene kosten en aanvullende endogene termen 2021</w:t>
        </w:r>
        <w:r w:rsidR="00FD0206">
          <w:rPr>
            <w:webHidden/>
          </w:rPr>
          <w:tab/>
        </w:r>
        <w:r w:rsidR="00FD0206">
          <w:rPr>
            <w:webHidden/>
          </w:rPr>
          <w:fldChar w:fldCharType="begin"/>
        </w:r>
        <w:r w:rsidR="00FD0206">
          <w:rPr>
            <w:webHidden/>
          </w:rPr>
          <w:instrText xml:space="preserve"> PAGEREF _Toc81512429 \h </w:instrText>
        </w:r>
        <w:r w:rsidR="00FD0206">
          <w:rPr>
            <w:webHidden/>
          </w:rPr>
        </w:r>
        <w:r w:rsidR="00FD0206">
          <w:rPr>
            <w:webHidden/>
          </w:rPr>
          <w:fldChar w:fldCharType="separate"/>
        </w:r>
        <w:r w:rsidR="00FD0206">
          <w:rPr>
            <w:webHidden/>
          </w:rPr>
          <w:t>5</w:t>
        </w:r>
        <w:r w:rsidR="00FD0206">
          <w:rPr>
            <w:webHidden/>
          </w:rPr>
          <w:fldChar w:fldCharType="end"/>
        </w:r>
      </w:hyperlink>
    </w:p>
    <w:p w14:paraId="2D3ED8E4" w14:textId="46EC9CCB" w:rsidR="00FD0206" w:rsidRDefault="007B5E9B">
      <w:pPr>
        <w:pStyle w:val="Inhopg3"/>
        <w:rPr>
          <w:rFonts w:eastAsiaTheme="minorEastAsia"/>
          <w:sz w:val="22"/>
          <w:szCs w:val="22"/>
          <w:lang w:eastAsia="nl-BE"/>
        </w:rPr>
      </w:pPr>
      <w:hyperlink w:anchor="_Toc81512430" w:history="1">
        <w:r w:rsidR="00FD0206" w:rsidRPr="00AD63CB">
          <w:rPr>
            <w:rStyle w:val="Hyperlink"/>
          </w:rPr>
          <w:t>1.1.1</w:t>
        </w:r>
        <w:r w:rsidR="00FD0206">
          <w:rPr>
            <w:rFonts w:eastAsiaTheme="minorEastAsia"/>
            <w:sz w:val="22"/>
            <w:szCs w:val="22"/>
            <w:lang w:eastAsia="nl-BE"/>
          </w:rPr>
          <w:tab/>
        </w:r>
        <w:r w:rsidR="00FD0206" w:rsidRPr="00AD63CB">
          <w:rPr>
            <w:rStyle w:val="Hyperlink"/>
          </w:rPr>
          <w:t>Algemene invulinstructie</w:t>
        </w:r>
        <w:r w:rsidR="00FD0206">
          <w:rPr>
            <w:webHidden/>
          </w:rPr>
          <w:tab/>
        </w:r>
        <w:r w:rsidR="00FD0206">
          <w:rPr>
            <w:webHidden/>
          </w:rPr>
          <w:fldChar w:fldCharType="begin"/>
        </w:r>
        <w:r w:rsidR="00FD0206">
          <w:rPr>
            <w:webHidden/>
          </w:rPr>
          <w:instrText xml:space="preserve"> PAGEREF _Toc81512430 \h </w:instrText>
        </w:r>
        <w:r w:rsidR="00FD0206">
          <w:rPr>
            <w:webHidden/>
          </w:rPr>
        </w:r>
        <w:r w:rsidR="00FD0206">
          <w:rPr>
            <w:webHidden/>
          </w:rPr>
          <w:fldChar w:fldCharType="separate"/>
        </w:r>
        <w:r w:rsidR="00FD0206">
          <w:rPr>
            <w:webHidden/>
          </w:rPr>
          <w:t>6</w:t>
        </w:r>
        <w:r w:rsidR="00FD0206">
          <w:rPr>
            <w:webHidden/>
          </w:rPr>
          <w:fldChar w:fldCharType="end"/>
        </w:r>
      </w:hyperlink>
    </w:p>
    <w:p w14:paraId="5F135BC6" w14:textId="2D7A5A05" w:rsidR="00FD0206" w:rsidRDefault="007B5E9B">
      <w:pPr>
        <w:pStyle w:val="Inhopg4"/>
        <w:rPr>
          <w:rFonts w:eastAsiaTheme="minorEastAsia"/>
          <w:i w:val="0"/>
          <w:sz w:val="22"/>
          <w:szCs w:val="22"/>
          <w:lang w:eastAsia="nl-BE"/>
        </w:rPr>
      </w:pPr>
      <w:hyperlink w:anchor="_Toc81512431" w:history="1">
        <w:r w:rsidR="00FD0206" w:rsidRPr="00AD63CB">
          <w:rPr>
            <w:rStyle w:val="Hyperlink"/>
          </w:rPr>
          <w:t>1.1.1.1</w:t>
        </w:r>
        <w:r w:rsidR="00FD0206">
          <w:rPr>
            <w:rFonts w:eastAsiaTheme="minorEastAsia"/>
            <w:i w:val="0"/>
            <w:sz w:val="22"/>
            <w:szCs w:val="22"/>
            <w:lang w:eastAsia="nl-BE"/>
          </w:rPr>
          <w:tab/>
        </w:r>
        <w:r w:rsidR="00FD0206" w:rsidRPr="00AD63CB">
          <w:rPr>
            <w:rStyle w:val="Hyperlink"/>
          </w:rPr>
          <w:t>TITELBLAD</w:t>
        </w:r>
        <w:r w:rsidR="00FD0206">
          <w:rPr>
            <w:webHidden/>
          </w:rPr>
          <w:tab/>
        </w:r>
        <w:r w:rsidR="00FD0206">
          <w:rPr>
            <w:webHidden/>
          </w:rPr>
          <w:fldChar w:fldCharType="begin"/>
        </w:r>
        <w:r w:rsidR="00FD0206">
          <w:rPr>
            <w:webHidden/>
          </w:rPr>
          <w:instrText xml:space="preserve"> PAGEREF _Toc81512431 \h </w:instrText>
        </w:r>
        <w:r w:rsidR="00FD0206">
          <w:rPr>
            <w:webHidden/>
          </w:rPr>
        </w:r>
        <w:r w:rsidR="00FD0206">
          <w:rPr>
            <w:webHidden/>
          </w:rPr>
          <w:fldChar w:fldCharType="separate"/>
        </w:r>
        <w:r w:rsidR="00FD0206">
          <w:rPr>
            <w:webHidden/>
          </w:rPr>
          <w:t>7</w:t>
        </w:r>
        <w:r w:rsidR="00FD0206">
          <w:rPr>
            <w:webHidden/>
          </w:rPr>
          <w:fldChar w:fldCharType="end"/>
        </w:r>
      </w:hyperlink>
    </w:p>
    <w:p w14:paraId="04B49692" w14:textId="5C62581C" w:rsidR="00FD0206" w:rsidRDefault="007B5E9B">
      <w:pPr>
        <w:pStyle w:val="Inhopg4"/>
        <w:rPr>
          <w:rFonts w:eastAsiaTheme="minorEastAsia"/>
          <w:i w:val="0"/>
          <w:sz w:val="22"/>
          <w:szCs w:val="22"/>
          <w:lang w:eastAsia="nl-BE"/>
        </w:rPr>
      </w:pPr>
      <w:hyperlink w:anchor="_Toc81512432" w:history="1">
        <w:r w:rsidR="00FD0206" w:rsidRPr="00AD63CB">
          <w:rPr>
            <w:rStyle w:val="Hyperlink"/>
          </w:rPr>
          <w:t>1.1.1.2</w:t>
        </w:r>
        <w:r w:rsidR="00FD0206">
          <w:rPr>
            <w:rFonts w:eastAsiaTheme="minorEastAsia"/>
            <w:i w:val="0"/>
            <w:sz w:val="22"/>
            <w:szCs w:val="22"/>
            <w:lang w:eastAsia="nl-BE"/>
          </w:rPr>
          <w:tab/>
        </w:r>
        <w:r w:rsidR="00FD0206" w:rsidRPr="00AD63CB">
          <w:rPr>
            <w:rStyle w:val="Hyperlink"/>
          </w:rPr>
          <w:t>TABEL 1: Resultatenrekening (algemene boekhouding) voor boekjaar 2021 (waarden boekhouding)</w:t>
        </w:r>
        <w:r w:rsidR="00FD0206">
          <w:rPr>
            <w:webHidden/>
          </w:rPr>
          <w:tab/>
        </w:r>
        <w:r w:rsidR="00FD0206">
          <w:rPr>
            <w:webHidden/>
          </w:rPr>
          <w:fldChar w:fldCharType="begin"/>
        </w:r>
        <w:r w:rsidR="00FD0206">
          <w:rPr>
            <w:webHidden/>
          </w:rPr>
          <w:instrText xml:space="preserve"> PAGEREF _Toc81512432 \h </w:instrText>
        </w:r>
        <w:r w:rsidR="00FD0206">
          <w:rPr>
            <w:webHidden/>
          </w:rPr>
        </w:r>
        <w:r w:rsidR="00FD0206">
          <w:rPr>
            <w:webHidden/>
          </w:rPr>
          <w:fldChar w:fldCharType="separate"/>
        </w:r>
        <w:r w:rsidR="00FD0206">
          <w:rPr>
            <w:webHidden/>
          </w:rPr>
          <w:t>8</w:t>
        </w:r>
        <w:r w:rsidR="00FD0206">
          <w:rPr>
            <w:webHidden/>
          </w:rPr>
          <w:fldChar w:fldCharType="end"/>
        </w:r>
      </w:hyperlink>
    </w:p>
    <w:p w14:paraId="1F011823" w14:textId="46FEB2F4" w:rsidR="00FD0206" w:rsidRDefault="007B5E9B">
      <w:pPr>
        <w:pStyle w:val="Inhopg4"/>
        <w:rPr>
          <w:rFonts w:eastAsiaTheme="minorEastAsia"/>
          <w:i w:val="0"/>
          <w:sz w:val="22"/>
          <w:szCs w:val="22"/>
          <w:lang w:eastAsia="nl-BE"/>
        </w:rPr>
      </w:pPr>
      <w:hyperlink w:anchor="_Toc81512433" w:history="1">
        <w:r w:rsidR="00FD0206" w:rsidRPr="00AD63CB">
          <w:rPr>
            <w:rStyle w:val="Hyperlink"/>
          </w:rPr>
          <w:t>1.1.1.3</w:t>
        </w:r>
        <w:r w:rsidR="00FD0206">
          <w:rPr>
            <w:rFonts w:eastAsiaTheme="minorEastAsia"/>
            <w:i w:val="0"/>
            <w:sz w:val="22"/>
            <w:szCs w:val="22"/>
            <w:lang w:eastAsia="nl-BE"/>
          </w:rPr>
          <w:tab/>
        </w:r>
        <w:r w:rsidR="00FD0206" w:rsidRPr="00AD63CB">
          <w:rPr>
            <w:rStyle w:val="Hyperlink"/>
          </w:rPr>
          <w:t>TABEL 2: Algemeen overzicht exogene kosten</w:t>
        </w:r>
        <w:r w:rsidR="00FD0206">
          <w:rPr>
            <w:webHidden/>
          </w:rPr>
          <w:tab/>
        </w:r>
        <w:r w:rsidR="00FD0206">
          <w:rPr>
            <w:webHidden/>
          </w:rPr>
          <w:fldChar w:fldCharType="begin"/>
        </w:r>
        <w:r w:rsidR="00FD0206">
          <w:rPr>
            <w:webHidden/>
          </w:rPr>
          <w:instrText xml:space="preserve"> PAGEREF _Toc81512433 \h </w:instrText>
        </w:r>
        <w:r w:rsidR="00FD0206">
          <w:rPr>
            <w:webHidden/>
          </w:rPr>
        </w:r>
        <w:r w:rsidR="00FD0206">
          <w:rPr>
            <w:webHidden/>
          </w:rPr>
          <w:fldChar w:fldCharType="separate"/>
        </w:r>
        <w:r w:rsidR="00FD0206">
          <w:rPr>
            <w:webHidden/>
          </w:rPr>
          <w:t>8</w:t>
        </w:r>
        <w:r w:rsidR="00FD0206">
          <w:rPr>
            <w:webHidden/>
          </w:rPr>
          <w:fldChar w:fldCharType="end"/>
        </w:r>
      </w:hyperlink>
    </w:p>
    <w:p w14:paraId="0807B9EE" w14:textId="24F91631" w:rsidR="00FD0206" w:rsidRDefault="007B5E9B">
      <w:pPr>
        <w:pStyle w:val="Inhopg4"/>
        <w:rPr>
          <w:rFonts w:eastAsiaTheme="minorEastAsia"/>
          <w:i w:val="0"/>
          <w:sz w:val="22"/>
          <w:szCs w:val="22"/>
          <w:lang w:eastAsia="nl-BE"/>
        </w:rPr>
      </w:pPr>
      <w:hyperlink w:anchor="_Toc81512434" w:history="1">
        <w:r w:rsidR="00FD0206" w:rsidRPr="00AD63CB">
          <w:rPr>
            <w:rStyle w:val="Hyperlink"/>
          </w:rPr>
          <w:t>1.1.1.4</w:t>
        </w:r>
        <w:r w:rsidR="00FD0206">
          <w:rPr>
            <w:rFonts w:eastAsiaTheme="minorEastAsia"/>
            <w:i w:val="0"/>
            <w:sz w:val="22"/>
            <w:szCs w:val="22"/>
            <w:lang w:eastAsia="nl-BE"/>
          </w:rPr>
          <w:tab/>
        </w:r>
        <w:r w:rsidR="00FD0206" w:rsidRPr="00AD63CB">
          <w:rPr>
            <w:rStyle w:val="Hyperlink"/>
          </w:rPr>
          <w:t>TABEL 3: Detail inzake samenstelling exogene kosten</w:t>
        </w:r>
        <w:r w:rsidR="00FD0206">
          <w:rPr>
            <w:webHidden/>
          </w:rPr>
          <w:tab/>
        </w:r>
        <w:r w:rsidR="00FD0206">
          <w:rPr>
            <w:webHidden/>
          </w:rPr>
          <w:fldChar w:fldCharType="begin"/>
        </w:r>
        <w:r w:rsidR="00FD0206">
          <w:rPr>
            <w:webHidden/>
          </w:rPr>
          <w:instrText xml:space="preserve"> PAGEREF _Toc81512434 \h </w:instrText>
        </w:r>
        <w:r w:rsidR="00FD0206">
          <w:rPr>
            <w:webHidden/>
          </w:rPr>
        </w:r>
        <w:r w:rsidR="00FD0206">
          <w:rPr>
            <w:webHidden/>
          </w:rPr>
          <w:fldChar w:fldCharType="separate"/>
        </w:r>
        <w:r w:rsidR="00FD0206">
          <w:rPr>
            <w:webHidden/>
          </w:rPr>
          <w:t>8</w:t>
        </w:r>
        <w:r w:rsidR="00FD0206">
          <w:rPr>
            <w:webHidden/>
          </w:rPr>
          <w:fldChar w:fldCharType="end"/>
        </w:r>
      </w:hyperlink>
    </w:p>
    <w:p w14:paraId="2B749051" w14:textId="2A248ABB" w:rsidR="00FD0206" w:rsidRDefault="007B5E9B">
      <w:pPr>
        <w:pStyle w:val="Inhopg4"/>
        <w:rPr>
          <w:rFonts w:eastAsiaTheme="minorEastAsia"/>
          <w:i w:val="0"/>
          <w:sz w:val="22"/>
          <w:szCs w:val="22"/>
          <w:lang w:eastAsia="nl-BE"/>
        </w:rPr>
      </w:pPr>
      <w:hyperlink w:anchor="_Toc81512435" w:history="1">
        <w:r w:rsidR="00FD0206" w:rsidRPr="00AD63CB">
          <w:rPr>
            <w:rStyle w:val="Hyperlink"/>
          </w:rPr>
          <w:t>1.1.1.5</w:t>
        </w:r>
        <w:r w:rsidR="00FD0206">
          <w:rPr>
            <w:rFonts w:eastAsiaTheme="minorEastAsia"/>
            <w:i w:val="0"/>
            <w:sz w:val="22"/>
            <w:szCs w:val="22"/>
            <w:lang w:eastAsia="nl-BE"/>
          </w:rPr>
          <w:tab/>
        </w:r>
        <w:r w:rsidR="00FD0206" w:rsidRPr="00AD63CB">
          <w:rPr>
            <w:rStyle w:val="Hyperlink"/>
          </w:rPr>
          <w:t>TABEL 4A: Opvolging regulatoir saldo inzake exogene kosten m.b.t. distributie</w:t>
        </w:r>
        <w:r w:rsidR="00FD0206">
          <w:rPr>
            <w:webHidden/>
          </w:rPr>
          <w:tab/>
        </w:r>
        <w:r w:rsidR="00FD0206">
          <w:rPr>
            <w:webHidden/>
          </w:rPr>
          <w:fldChar w:fldCharType="begin"/>
        </w:r>
        <w:r w:rsidR="00FD0206">
          <w:rPr>
            <w:webHidden/>
          </w:rPr>
          <w:instrText xml:space="preserve"> PAGEREF _Toc81512435 \h </w:instrText>
        </w:r>
        <w:r w:rsidR="00FD0206">
          <w:rPr>
            <w:webHidden/>
          </w:rPr>
        </w:r>
        <w:r w:rsidR="00FD0206">
          <w:rPr>
            <w:webHidden/>
          </w:rPr>
          <w:fldChar w:fldCharType="separate"/>
        </w:r>
        <w:r w:rsidR="00FD0206">
          <w:rPr>
            <w:webHidden/>
          </w:rPr>
          <w:t>12</w:t>
        </w:r>
        <w:r w:rsidR="00FD0206">
          <w:rPr>
            <w:webHidden/>
          </w:rPr>
          <w:fldChar w:fldCharType="end"/>
        </w:r>
      </w:hyperlink>
    </w:p>
    <w:p w14:paraId="31D13763" w14:textId="0B2B08A7" w:rsidR="00FD0206" w:rsidRDefault="007B5E9B">
      <w:pPr>
        <w:pStyle w:val="Inhopg4"/>
        <w:rPr>
          <w:rFonts w:eastAsiaTheme="minorEastAsia"/>
          <w:i w:val="0"/>
          <w:sz w:val="22"/>
          <w:szCs w:val="22"/>
          <w:lang w:eastAsia="nl-BE"/>
        </w:rPr>
      </w:pPr>
      <w:hyperlink w:anchor="_Toc81512436" w:history="1">
        <w:r w:rsidR="00FD0206" w:rsidRPr="00AD63CB">
          <w:rPr>
            <w:rStyle w:val="Hyperlink"/>
          </w:rPr>
          <w:t>1.1.1.6</w:t>
        </w:r>
        <w:r w:rsidR="00FD0206">
          <w:rPr>
            <w:rFonts w:eastAsiaTheme="minorEastAsia"/>
            <w:i w:val="0"/>
            <w:sz w:val="22"/>
            <w:szCs w:val="22"/>
            <w:lang w:eastAsia="nl-BE"/>
          </w:rPr>
          <w:tab/>
        </w:r>
        <w:r w:rsidR="00FD0206" w:rsidRPr="00AD63CB">
          <w:rPr>
            <w:rStyle w:val="Hyperlink"/>
          </w:rPr>
          <w:t>TABEL 4B: Overzicht regulatoir saldo inzake exogene kosten m.b.t. distributie per tariefcomponent</w:t>
        </w:r>
        <w:r w:rsidR="00FD0206">
          <w:rPr>
            <w:webHidden/>
          </w:rPr>
          <w:tab/>
        </w:r>
        <w:r w:rsidR="00FD0206">
          <w:rPr>
            <w:webHidden/>
          </w:rPr>
          <w:fldChar w:fldCharType="begin"/>
        </w:r>
        <w:r w:rsidR="00FD0206">
          <w:rPr>
            <w:webHidden/>
          </w:rPr>
          <w:instrText xml:space="preserve"> PAGEREF _Toc81512436 \h </w:instrText>
        </w:r>
        <w:r w:rsidR="00FD0206">
          <w:rPr>
            <w:webHidden/>
          </w:rPr>
        </w:r>
        <w:r w:rsidR="00FD0206">
          <w:rPr>
            <w:webHidden/>
          </w:rPr>
          <w:fldChar w:fldCharType="separate"/>
        </w:r>
        <w:r w:rsidR="00FD0206">
          <w:rPr>
            <w:webHidden/>
          </w:rPr>
          <w:t>13</w:t>
        </w:r>
        <w:r w:rsidR="00FD0206">
          <w:rPr>
            <w:webHidden/>
          </w:rPr>
          <w:fldChar w:fldCharType="end"/>
        </w:r>
      </w:hyperlink>
    </w:p>
    <w:p w14:paraId="4246A123" w14:textId="447523F1" w:rsidR="00FD0206" w:rsidRDefault="007B5E9B">
      <w:pPr>
        <w:pStyle w:val="Inhopg4"/>
        <w:rPr>
          <w:rFonts w:eastAsiaTheme="minorEastAsia"/>
          <w:i w:val="0"/>
          <w:sz w:val="22"/>
          <w:szCs w:val="22"/>
          <w:lang w:eastAsia="nl-BE"/>
        </w:rPr>
      </w:pPr>
      <w:hyperlink w:anchor="_Toc81512437" w:history="1">
        <w:r w:rsidR="00FD0206" w:rsidRPr="00AD63CB">
          <w:rPr>
            <w:rStyle w:val="Hyperlink"/>
          </w:rPr>
          <w:t>1.1.1.7</w:t>
        </w:r>
        <w:r w:rsidR="00FD0206">
          <w:rPr>
            <w:rFonts w:eastAsiaTheme="minorEastAsia"/>
            <w:i w:val="0"/>
            <w:sz w:val="22"/>
            <w:szCs w:val="22"/>
            <w:lang w:eastAsia="nl-BE"/>
          </w:rPr>
          <w:tab/>
        </w:r>
        <w:r w:rsidR="00FD0206" w:rsidRPr="00AD63CB">
          <w:rPr>
            <w:rStyle w:val="Hyperlink"/>
          </w:rPr>
          <w:t>TABEL 4C: Opvolging regulatoir saldo inzake exogene kosten m.b.t. transmissie (exclusief federale bijdrage elektriciteit)</w:t>
        </w:r>
        <w:r w:rsidR="00FD0206">
          <w:rPr>
            <w:webHidden/>
          </w:rPr>
          <w:tab/>
        </w:r>
        <w:r w:rsidR="00FD0206">
          <w:rPr>
            <w:webHidden/>
          </w:rPr>
          <w:fldChar w:fldCharType="begin"/>
        </w:r>
        <w:r w:rsidR="00FD0206">
          <w:rPr>
            <w:webHidden/>
          </w:rPr>
          <w:instrText xml:space="preserve"> PAGEREF _Toc81512437 \h </w:instrText>
        </w:r>
        <w:r w:rsidR="00FD0206">
          <w:rPr>
            <w:webHidden/>
          </w:rPr>
        </w:r>
        <w:r w:rsidR="00FD0206">
          <w:rPr>
            <w:webHidden/>
          </w:rPr>
          <w:fldChar w:fldCharType="separate"/>
        </w:r>
        <w:r w:rsidR="00FD0206">
          <w:rPr>
            <w:webHidden/>
          </w:rPr>
          <w:t>14</w:t>
        </w:r>
        <w:r w:rsidR="00FD0206">
          <w:rPr>
            <w:webHidden/>
          </w:rPr>
          <w:fldChar w:fldCharType="end"/>
        </w:r>
      </w:hyperlink>
    </w:p>
    <w:p w14:paraId="2AA0A331" w14:textId="5BEF9459" w:rsidR="00FD0206" w:rsidRDefault="007B5E9B">
      <w:pPr>
        <w:pStyle w:val="Inhopg4"/>
        <w:rPr>
          <w:rFonts w:eastAsiaTheme="minorEastAsia"/>
          <w:i w:val="0"/>
          <w:sz w:val="22"/>
          <w:szCs w:val="22"/>
          <w:lang w:eastAsia="nl-BE"/>
        </w:rPr>
      </w:pPr>
      <w:hyperlink w:anchor="_Toc81512438" w:history="1">
        <w:r w:rsidR="00FD0206" w:rsidRPr="00AD63CB">
          <w:rPr>
            <w:rStyle w:val="Hyperlink"/>
          </w:rPr>
          <w:t>1.1.1.8</w:t>
        </w:r>
        <w:r w:rsidR="00FD0206">
          <w:rPr>
            <w:rFonts w:eastAsiaTheme="minorEastAsia"/>
            <w:i w:val="0"/>
            <w:sz w:val="22"/>
            <w:szCs w:val="22"/>
            <w:lang w:eastAsia="nl-BE"/>
          </w:rPr>
          <w:tab/>
        </w:r>
        <w:r w:rsidR="00FD0206" w:rsidRPr="00AD63CB">
          <w:rPr>
            <w:rStyle w:val="Hyperlink"/>
          </w:rPr>
          <w:t>TABEL 5A: Opvolging regulatoir saldo inzake volumerisico endogeen budget</w:t>
        </w:r>
        <w:r w:rsidR="00FD0206">
          <w:rPr>
            <w:webHidden/>
          </w:rPr>
          <w:tab/>
        </w:r>
        <w:r w:rsidR="00FD0206">
          <w:rPr>
            <w:webHidden/>
          </w:rPr>
          <w:fldChar w:fldCharType="begin"/>
        </w:r>
        <w:r w:rsidR="00FD0206">
          <w:rPr>
            <w:webHidden/>
          </w:rPr>
          <w:instrText xml:space="preserve"> PAGEREF _Toc81512438 \h </w:instrText>
        </w:r>
        <w:r w:rsidR="00FD0206">
          <w:rPr>
            <w:webHidden/>
          </w:rPr>
        </w:r>
        <w:r w:rsidR="00FD0206">
          <w:rPr>
            <w:webHidden/>
          </w:rPr>
          <w:fldChar w:fldCharType="separate"/>
        </w:r>
        <w:r w:rsidR="00FD0206">
          <w:rPr>
            <w:webHidden/>
          </w:rPr>
          <w:t>15</w:t>
        </w:r>
        <w:r w:rsidR="00FD0206">
          <w:rPr>
            <w:webHidden/>
          </w:rPr>
          <w:fldChar w:fldCharType="end"/>
        </w:r>
      </w:hyperlink>
    </w:p>
    <w:p w14:paraId="6FA162B8" w14:textId="02DD8302" w:rsidR="00FD0206" w:rsidRDefault="007B5E9B">
      <w:pPr>
        <w:pStyle w:val="Inhopg4"/>
        <w:rPr>
          <w:rFonts w:eastAsiaTheme="minorEastAsia"/>
          <w:i w:val="0"/>
          <w:sz w:val="22"/>
          <w:szCs w:val="22"/>
          <w:lang w:eastAsia="nl-BE"/>
        </w:rPr>
      </w:pPr>
      <w:hyperlink w:anchor="_Toc81512439" w:history="1">
        <w:r w:rsidR="00FD0206" w:rsidRPr="00AD63CB">
          <w:rPr>
            <w:rStyle w:val="Hyperlink"/>
          </w:rPr>
          <w:t>1.1.1.9</w:t>
        </w:r>
        <w:r w:rsidR="00FD0206">
          <w:rPr>
            <w:rFonts w:eastAsiaTheme="minorEastAsia"/>
            <w:i w:val="0"/>
            <w:sz w:val="22"/>
            <w:szCs w:val="22"/>
            <w:lang w:eastAsia="nl-BE"/>
          </w:rPr>
          <w:tab/>
        </w:r>
        <w:r w:rsidR="00FD0206" w:rsidRPr="00AD63CB">
          <w:rPr>
            <w:rStyle w:val="Hyperlink"/>
          </w:rPr>
          <w:t>TABEL 5B: Overzicht regulatoir saldo inzake volumerisico endogeen budget per tariefcomponent</w:t>
        </w:r>
        <w:r w:rsidR="00FD0206">
          <w:rPr>
            <w:webHidden/>
          </w:rPr>
          <w:tab/>
        </w:r>
        <w:r w:rsidR="00FD0206">
          <w:rPr>
            <w:webHidden/>
          </w:rPr>
          <w:fldChar w:fldCharType="begin"/>
        </w:r>
        <w:r w:rsidR="00FD0206">
          <w:rPr>
            <w:webHidden/>
          </w:rPr>
          <w:instrText xml:space="preserve"> PAGEREF _Toc81512439 \h </w:instrText>
        </w:r>
        <w:r w:rsidR="00FD0206">
          <w:rPr>
            <w:webHidden/>
          </w:rPr>
        </w:r>
        <w:r w:rsidR="00FD0206">
          <w:rPr>
            <w:webHidden/>
          </w:rPr>
          <w:fldChar w:fldCharType="separate"/>
        </w:r>
        <w:r w:rsidR="00FD0206">
          <w:rPr>
            <w:webHidden/>
          </w:rPr>
          <w:t>16</w:t>
        </w:r>
        <w:r w:rsidR="00FD0206">
          <w:rPr>
            <w:webHidden/>
          </w:rPr>
          <w:fldChar w:fldCharType="end"/>
        </w:r>
      </w:hyperlink>
    </w:p>
    <w:p w14:paraId="1D551778" w14:textId="2DD9AB22" w:rsidR="00FD0206" w:rsidRDefault="007B5E9B">
      <w:pPr>
        <w:pStyle w:val="Inhopg4"/>
        <w:rPr>
          <w:rFonts w:eastAsiaTheme="minorEastAsia"/>
          <w:i w:val="0"/>
          <w:sz w:val="22"/>
          <w:szCs w:val="22"/>
          <w:lang w:eastAsia="nl-BE"/>
        </w:rPr>
      </w:pPr>
      <w:hyperlink w:anchor="_Toc81512440" w:history="1">
        <w:r w:rsidR="00FD0206" w:rsidRPr="00AD63CB">
          <w:rPr>
            <w:rStyle w:val="Hyperlink"/>
          </w:rPr>
          <w:t>1.1.1.10</w:t>
        </w:r>
        <w:r w:rsidR="00FD0206">
          <w:rPr>
            <w:rFonts w:eastAsiaTheme="minorEastAsia"/>
            <w:i w:val="0"/>
            <w:sz w:val="22"/>
            <w:szCs w:val="22"/>
            <w:lang w:eastAsia="nl-BE"/>
          </w:rPr>
          <w:tab/>
        </w:r>
        <w:r w:rsidR="00FD0206" w:rsidRPr="00AD63CB">
          <w:rPr>
            <w:rStyle w:val="Hyperlink"/>
          </w:rPr>
          <w:t>TABEL 5C: Werkelijke opbrengsten uit periodieke distributienettarieven in boekjaar 2021 (elektriciteit – afname)</w:t>
        </w:r>
        <w:r w:rsidR="00FD0206">
          <w:rPr>
            <w:webHidden/>
          </w:rPr>
          <w:tab/>
        </w:r>
        <w:r w:rsidR="00FD0206">
          <w:rPr>
            <w:webHidden/>
          </w:rPr>
          <w:fldChar w:fldCharType="begin"/>
        </w:r>
        <w:r w:rsidR="00FD0206">
          <w:rPr>
            <w:webHidden/>
          </w:rPr>
          <w:instrText xml:space="preserve"> PAGEREF _Toc81512440 \h </w:instrText>
        </w:r>
        <w:r w:rsidR="00FD0206">
          <w:rPr>
            <w:webHidden/>
          </w:rPr>
        </w:r>
        <w:r w:rsidR="00FD0206">
          <w:rPr>
            <w:webHidden/>
          </w:rPr>
          <w:fldChar w:fldCharType="separate"/>
        </w:r>
        <w:r w:rsidR="00FD0206">
          <w:rPr>
            <w:webHidden/>
          </w:rPr>
          <w:t>17</w:t>
        </w:r>
        <w:r w:rsidR="00FD0206">
          <w:rPr>
            <w:webHidden/>
          </w:rPr>
          <w:fldChar w:fldCharType="end"/>
        </w:r>
      </w:hyperlink>
    </w:p>
    <w:p w14:paraId="64721C5A" w14:textId="3917C7ED" w:rsidR="00FD0206" w:rsidRDefault="007B5E9B">
      <w:pPr>
        <w:pStyle w:val="Inhopg4"/>
        <w:rPr>
          <w:rFonts w:eastAsiaTheme="minorEastAsia"/>
          <w:i w:val="0"/>
          <w:sz w:val="22"/>
          <w:szCs w:val="22"/>
          <w:lang w:eastAsia="nl-BE"/>
        </w:rPr>
      </w:pPr>
      <w:hyperlink w:anchor="_Toc81512441" w:history="1">
        <w:r w:rsidR="00FD0206" w:rsidRPr="00AD63CB">
          <w:rPr>
            <w:rStyle w:val="Hyperlink"/>
          </w:rPr>
          <w:t>1.1.1.11</w:t>
        </w:r>
        <w:r w:rsidR="00FD0206">
          <w:rPr>
            <w:rFonts w:eastAsiaTheme="minorEastAsia"/>
            <w:i w:val="0"/>
            <w:sz w:val="22"/>
            <w:szCs w:val="22"/>
            <w:lang w:eastAsia="nl-BE"/>
          </w:rPr>
          <w:tab/>
        </w:r>
        <w:r w:rsidR="00FD0206" w:rsidRPr="00AD63CB">
          <w:rPr>
            <w:rStyle w:val="Hyperlink"/>
          </w:rPr>
          <w:t>TABEL 5D: Werkelijke opbrengsten uit periodieke distributienettarieven in boekjaar 2021 (elektriciteit – injectie)</w:t>
        </w:r>
        <w:r w:rsidR="00FD0206">
          <w:rPr>
            <w:webHidden/>
          </w:rPr>
          <w:tab/>
        </w:r>
        <w:r w:rsidR="00FD0206">
          <w:rPr>
            <w:webHidden/>
          </w:rPr>
          <w:fldChar w:fldCharType="begin"/>
        </w:r>
        <w:r w:rsidR="00FD0206">
          <w:rPr>
            <w:webHidden/>
          </w:rPr>
          <w:instrText xml:space="preserve"> PAGEREF _Toc81512441 \h </w:instrText>
        </w:r>
        <w:r w:rsidR="00FD0206">
          <w:rPr>
            <w:webHidden/>
          </w:rPr>
        </w:r>
        <w:r w:rsidR="00FD0206">
          <w:rPr>
            <w:webHidden/>
          </w:rPr>
          <w:fldChar w:fldCharType="separate"/>
        </w:r>
        <w:r w:rsidR="00FD0206">
          <w:rPr>
            <w:webHidden/>
          </w:rPr>
          <w:t>18</w:t>
        </w:r>
        <w:r w:rsidR="00FD0206">
          <w:rPr>
            <w:webHidden/>
          </w:rPr>
          <w:fldChar w:fldCharType="end"/>
        </w:r>
      </w:hyperlink>
    </w:p>
    <w:p w14:paraId="08B686A9" w14:textId="505CF7C0" w:rsidR="00FD0206" w:rsidRDefault="007B5E9B">
      <w:pPr>
        <w:pStyle w:val="Inhopg4"/>
        <w:rPr>
          <w:rFonts w:eastAsiaTheme="minorEastAsia"/>
          <w:i w:val="0"/>
          <w:sz w:val="22"/>
          <w:szCs w:val="22"/>
          <w:lang w:eastAsia="nl-BE"/>
        </w:rPr>
      </w:pPr>
      <w:hyperlink w:anchor="_Toc81512442" w:history="1">
        <w:r w:rsidR="00FD0206" w:rsidRPr="00AD63CB">
          <w:rPr>
            <w:rStyle w:val="Hyperlink"/>
          </w:rPr>
          <w:t>1.1.1.12</w:t>
        </w:r>
        <w:r w:rsidR="00FD0206">
          <w:rPr>
            <w:rFonts w:eastAsiaTheme="minorEastAsia"/>
            <w:i w:val="0"/>
            <w:sz w:val="22"/>
            <w:szCs w:val="22"/>
            <w:lang w:eastAsia="nl-BE"/>
          </w:rPr>
          <w:tab/>
        </w:r>
        <w:r w:rsidR="00FD0206" w:rsidRPr="00AD63CB">
          <w:rPr>
            <w:rStyle w:val="Hyperlink"/>
          </w:rPr>
          <w:t>TABEL 5E: Werkelijke opbrengsten uit periodieke distributienettarieven in boekjaar 2021 (gas - afname)</w:t>
        </w:r>
        <w:r w:rsidR="00FD0206">
          <w:rPr>
            <w:webHidden/>
          </w:rPr>
          <w:tab/>
        </w:r>
        <w:r w:rsidR="00FD0206">
          <w:rPr>
            <w:webHidden/>
          </w:rPr>
          <w:fldChar w:fldCharType="begin"/>
        </w:r>
        <w:r w:rsidR="00FD0206">
          <w:rPr>
            <w:webHidden/>
          </w:rPr>
          <w:instrText xml:space="preserve"> PAGEREF _Toc81512442 \h </w:instrText>
        </w:r>
        <w:r w:rsidR="00FD0206">
          <w:rPr>
            <w:webHidden/>
          </w:rPr>
        </w:r>
        <w:r w:rsidR="00FD0206">
          <w:rPr>
            <w:webHidden/>
          </w:rPr>
          <w:fldChar w:fldCharType="separate"/>
        </w:r>
        <w:r w:rsidR="00FD0206">
          <w:rPr>
            <w:webHidden/>
          </w:rPr>
          <w:t>19</w:t>
        </w:r>
        <w:r w:rsidR="00FD0206">
          <w:rPr>
            <w:webHidden/>
          </w:rPr>
          <w:fldChar w:fldCharType="end"/>
        </w:r>
      </w:hyperlink>
    </w:p>
    <w:p w14:paraId="5D58AC54" w14:textId="177AFC42" w:rsidR="00FD0206" w:rsidRDefault="007B5E9B">
      <w:pPr>
        <w:pStyle w:val="Inhopg4"/>
        <w:rPr>
          <w:rFonts w:eastAsiaTheme="minorEastAsia"/>
          <w:i w:val="0"/>
          <w:sz w:val="22"/>
          <w:szCs w:val="22"/>
          <w:lang w:eastAsia="nl-BE"/>
        </w:rPr>
      </w:pPr>
      <w:hyperlink w:anchor="_Toc81512443" w:history="1">
        <w:r w:rsidR="00FD0206" w:rsidRPr="00AD63CB">
          <w:rPr>
            <w:rStyle w:val="Hyperlink"/>
          </w:rPr>
          <w:t>1.1.1.13</w:t>
        </w:r>
        <w:r w:rsidR="00FD0206">
          <w:rPr>
            <w:rFonts w:eastAsiaTheme="minorEastAsia"/>
            <w:i w:val="0"/>
            <w:sz w:val="22"/>
            <w:szCs w:val="22"/>
            <w:lang w:eastAsia="nl-BE"/>
          </w:rPr>
          <w:tab/>
        </w:r>
        <w:r w:rsidR="00FD0206" w:rsidRPr="00AD63CB">
          <w:rPr>
            <w:rStyle w:val="Hyperlink"/>
          </w:rPr>
          <w:t>TABEL 5F: Werkelijke opbrengsten uit periodieke distributienettarieven in boekjaar 2021 (gas - injectie)</w:t>
        </w:r>
        <w:r w:rsidR="00FD0206">
          <w:rPr>
            <w:webHidden/>
          </w:rPr>
          <w:tab/>
        </w:r>
        <w:r w:rsidR="00FD0206">
          <w:rPr>
            <w:webHidden/>
          </w:rPr>
          <w:fldChar w:fldCharType="begin"/>
        </w:r>
        <w:r w:rsidR="00FD0206">
          <w:rPr>
            <w:webHidden/>
          </w:rPr>
          <w:instrText xml:space="preserve"> PAGEREF _Toc81512443 \h </w:instrText>
        </w:r>
        <w:r w:rsidR="00FD0206">
          <w:rPr>
            <w:webHidden/>
          </w:rPr>
        </w:r>
        <w:r w:rsidR="00FD0206">
          <w:rPr>
            <w:webHidden/>
          </w:rPr>
          <w:fldChar w:fldCharType="separate"/>
        </w:r>
        <w:r w:rsidR="00FD0206">
          <w:rPr>
            <w:webHidden/>
          </w:rPr>
          <w:t>19</w:t>
        </w:r>
        <w:r w:rsidR="00FD0206">
          <w:rPr>
            <w:webHidden/>
          </w:rPr>
          <w:fldChar w:fldCharType="end"/>
        </w:r>
      </w:hyperlink>
    </w:p>
    <w:p w14:paraId="2DD7EF6E" w14:textId="09E09C9F" w:rsidR="00FD0206" w:rsidRDefault="007B5E9B">
      <w:pPr>
        <w:pStyle w:val="Inhopg4"/>
        <w:rPr>
          <w:rFonts w:eastAsiaTheme="minorEastAsia"/>
          <w:i w:val="0"/>
          <w:sz w:val="22"/>
          <w:szCs w:val="22"/>
          <w:lang w:eastAsia="nl-BE"/>
        </w:rPr>
      </w:pPr>
      <w:hyperlink w:anchor="_Toc81512444" w:history="1">
        <w:r w:rsidR="00FD0206" w:rsidRPr="00AD63CB">
          <w:rPr>
            <w:rStyle w:val="Hyperlink"/>
          </w:rPr>
          <w:t>1.1.1.14</w:t>
        </w:r>
        <w:r w:rsidR="00FD0206">
          <w:rPr>
            <w:rFonts w:eastAsiaTheme="minorEastAsia"/>
            <w:i w:val="0"/>
            <w:sz w:val="22"/>
            <w:szCs w:val="22"/>
            <w:lang w:eastAsia="nl-BE"/>
          </w:rPr>
          <w:tab/>
        </w:r>
        <w:r w:rsidR="00FD0206" w:rsidRPr="00AD63CB">
          <w:rPr>
            <w:rStyle w:val="Hyperlink"/>
          </w:rPr>
          <w:t>TABEL 6A: Opvolging regulatoir saldo inzake herindexering van het budget voor endogene kosten</w:t>
        </w:r>
        <w:r w:rsidR="00FD0206">
          <w:rPr>
            <w:webHidden/>
          </w:rPr>
          <w:tab/>
        </w:r>
        <w:r w:rsidR="00FD0206">
          <w:rPr>
            <w:webHidden/>
          </w:rPr>
          <w:fldChar w:fldCharType="begin"/>
        </w:r>
        <w:r w:rsidR="00FD0206">
          <w:rPr>
            <w:webHidden/>
          </w:rPr>
          <w:instrText xml:space="preserve"> PAGEREF _Toc81512444 \h </w:instrText>
        </w:r>
        <w:r w:rsidR="00FD0206">
          <w:rPr>
            <w:webHidden/>
          </w:rPr>
        </w:r>
        <w:r w:rsidR="00FD0206">
          <w:rPr>
            <w:webHidden/>
          </w:rPr>
          <w:fldChar w:fldCharType="separate"/>
        </w:r>
        <w:r w:rsidR="00FD0206">
          <w:rPr>
            <w:webHidden/>
          </w:rPr>
          <w:t>20</w:t>
        </w:r>
        <w:r w:rsidR="00FD0206">
          <w:rPr>
            <w:webHidden/>
          </w:rPr>
          <w:fldChar w:fldCharType="end"/>
        </w:r>
      </w:hyperlink>
    </w:p>
    <w:p w14:paraId="50090B6D" w14:textId="77F808F8" w:rsidR="00FD0206" w:rsidRDefault="007B5E9B">
      <w:pPr>
        <w:pStyle w:val="Inhopg4"/>
        <w:rPr>
          <w:rFonts w:eastAsiaTheme="minorEastAsia"/>
          <w:i w:val="0"/>
          <w:sz w:val="22"/>
          <w:szCs w:val="22"/>
          <w:lang w:eastAsia="nl-BE"/>
        </w:rPr>
      </w:pPr>
      <w:hyperlink w:anchor="_Toc81512445" w:history="1">
        <w:r w:rsidR="00FD0206" w:rsidRPr="00AD63CB">
          <w:rPr>
            <w:rStyle w:val="Hyperlink"/>
          </w:rPr>
          <w:t>1.1.1.15</w:t>
        </w:r>
        <w:r w:rsidR="00FD0206">
          <w:rPr>
            <w:rFonts w:eastAsiaTheme="minorEastAsia"/>
            <w:i w:val="0"/>
            <w:sz w:val="22"/>
            <w:szCs w:val="22"/>
            <w:lang w:eastAsia="nl-BE"/>
          </w:rPr>
          <w:tab/>
        </w:r>
        <w:r w:rsidR="00FD0206" w:rsidRPr="00AD63CB">
          <w:rPr>
            <w:rStyle w:val="Hyperlink"/>
          </w:rPr>
          <w:t>TABEL 6B: Overzicht regulatoir saldo inzake herindexering van het budget voor endogene kosten per tariefcomponent</w:t>
        </w:r>
        <w:r w:rsidR="00FD0206">
          <w:rPr>
            <w:webHidden/>
          </w:rPr>
          <w:tab/>
        </w:r>
        <w:r w:rsidR="00FD0206">
          <w:rPr>
            <w:webHidden/>
          </w:rPr>
          <w:fldChar w:fldCharType="begin"/>
        </w:r>
        <w:r w:rsidR="00FD0206">
          <w:rPr>
            <w:webHidden/>
          </w:rPr>
          <w:instrText xml:space="preserve"> PAGEREF _Toc81512445 \h </w:instrText>
        </w:r>
        <w:r w:rsidR="00FD0206">
          <w:rPr>
            <w:webHidden/>
          </w:rPr>
        </w:r>
        <w:r w:rsidR="00FD0206">
          <w:rPr>
            <w:webHidden/>
          </w:rPr>
          <w:fldChar w:fldCharType="separate"/>
        </w:r>
        <w:r w:rsidR="00FD0206">
          <w:rPr>
            <w:webHidden/>
          </w:rPr>
          <w:t>22</w:t>
        </w:r>
        <w:r w:rsidR="00FD0206">
          <w:rPr>
            <w:webHidden/>
          </w:rPr>
          <w:fldChar w:fldCharType="end"/>
        </w:r>
      </w:hyperlink>
    </w:p>
    <w:p w14:paraId="060844D8" w14:textId="5CF4549D" w:rsidR="00FD0206" w:rsidRDefault="007B5E9B">
      <w:pPr>
        <w:pStyle w:val="Inhopg4"/>
        <w:rPr>
          <w:rFonts w:eastAsiaTheme="minorEastAsia"/>
          <w:i w:val="0"/>
          <w:sz w:val="22"/>
          <w:szCs w:val="22"/>
          <w:lang w:eastAsia="nl-BE"/>
        </w:rPr>
      </w:pPr>
      <w:hyperlink w:anchor="_Toc81512446" w:history="1">
        <w:r w:rsidR="00FD0206" w:rsidRPr="00AD63CB">
          <w:rPr>
            <w:rStyle w:val="Hyperlink"/>
          </w:rPr>
          <w:t>1.1.1.16</w:t>
        </w:r>
        <w:r w:rsidR="00FD0206">
          <w:rPr>
            <w:rFonts w:eastAsiaTheme="minorEastAsia"/>
            <w:i w:val="0"/>
            <w:sz w:val="22"/>
            <w:szCs w:val="22"/>
            <w:lang w:eastAsia="nl-BE"/>
          </w:rPr>
          <w:tab/>
        </w:r>
        <w:r w:rsidR="00FD0206" w:rsidRPr="00AD63CB">
          <w:rPr>
            <w:rStyle w:val="Hyperlink"/>
          </w:rPr>
          <w:t>TABEL 7: Opvolging regulatoir saldo inzake vennootschapsbelasting</w:t>
        </w:r>
        <w:r w:rsidR="00FD0206">
          <w:rPr>
            <w:webHidden/>
          </w:rPr>
          <w:tab/>
        </w:r>
        <w:r w:rsidR="00FD0206">
          <w:rPr>
            <w:webHidden/>
          </w:rPr>
          <w:fldChar w:fldCharType="begin"/>
        </w:r>
        <w:r w:rsidR="00FD0206">
          <w:rPr>
            <w:webHidden/>
          </w:rPr>
          <w:instrText xml:space="preserve"> PAGEREF _Toc81512446 \h </w:instrText>
        </w:r>
        <w:r w:rsidR="00FD0206">
          <w:rPr>
            <w:webHidden/>
          </w:rPr>
        </w:r>
        <w:r w:rsidR="00FD0206">
          <w:rPr>
            <w:webHidden/>
          </w:rPr>
          <w:fldChar w:fldCharType="separate"/>
        </w:r>
        <w:r w:rsidR="00FD0206">
          <w:rPr>
            <w:webHidden/>
          </w:rPr>
          <w:t>23</w:t>
        </w:r>
        <w:r w:rsidR="00FD0206">
          <w:rPr>
            <w:webHidden/>
          </w:rPr>
          <w:fldChar w:fldCharType="end"/>
        </w:r>
      </w:hyperlink>
    </w:p>
    <w:p w14:paraId="0645C9B2" w14:textId="7DE3F90C" w:rsidR="00FD0206" w:rsidRDefault="007B5E9B">
      <w:pPr>
        <w:pStyle w:val="Inhopg4"/>
        <w:rPr>
          <w:rFonts w:eastAsiaTheme="minorEastAsia"/>
          <w:i w:val="0"/>
          <w:sz w:val="22"/>
          <w:szCs w:val="22"/>
          <w:lang w:eastAsia="nl-BE"/>
        </w:rPr>
      </w:pPr>
      <w:hyperlink w:anchor="_Toc81512447" w:history="1">
        <w:r w:rsidR="00FD0206" w:rsidRPr="00AD63CB">
          <w:rPr>
            <w:rStyle w:val="Hyperlink"/>
          </w:rPr>
          <w:t>1.1.1.17</w:t>
        </w:r>
        <w:r w:rsidR="00FD0206">
          <w:rPr>
            <w:rFonts w:eastAsiaTheme="minorEastAsia"/>
            <w:i w:val="0"/>
            <w:sz w:val="22"/>
            <w:szCs w:val="22"/>
            <w:lang w:eastAsia="nl-BE"/>
          </w:rPr>
          <w:tab/>
        </w:r>
        <w:r w:rsidR="00FD0206" w:rsidRPr="00AD63CB">
          <w:rPr>
            <w:rStyle w:val="Hyperlink"/>
          </w:rPr>
          <w:t>TABEL 8: Opvolging regulatoir saldo inzake herwaarderingsmeerwaarden</w:t>
        </w:r>
        <w:r w:rsidR="00FD0206">
          <w:rPr>
            <w:webHidden/>
          </w:rPr>
          <w:tab/>
        </w:r>
        <w:r w:rsidR="00FD0206">
          <w:rPr>
            <w:webHidden/>
          </w:rPr>
          <w:fldChar w:fldCharType="begin"/>
        </w:r>
        <w:r w:rsidR="00FD0206">
          <w:rPr>
            <w:webHidden/>
          </w:rPr>
          <w:instrText xml:space="preserve"> PAGEREF _Toc81512447 \h </w:instrText>
        </w:r>
        <w:r w:rsidR="00FD0206">
          <w:rPr>
            <w:webHidden/>
          </w:rPr>
        </w:r>
        <w:r w:rsidR="00FD0206">
          <w:rPr>
            <w:webHidden/>
          </w:rPr>
          <w:fldChar w:fldCharType="separate"/>
        </w:r>
        <w:r w:rsidR="00FD0206">
          <w:rPr>
            <w:webHidden/>
          </w:rPr>
          <w:t>23</w:t>
        </w:r>
        <w:r w:rsidR="00FD0206">
          <w:rPr>
            <w:webHidden/>
          </w:rPr>
          <w:fldChar w:fldCharType="end"/>
        </w:r>
      </w:hyperlink>
    </w:p>
    <w:p w14:paraId="3E57601F" w14:textId="6A42F521" w:rsidR="00FD0206" w:rsidRDefault="007B5E9B">
      <w:pPr>
        <w:pStyle w:val="Inhopg4"/>
        <w:rPr>
          <w:rFonts w:eastAsiaTheme="minorEastAsia"/>
          <w:i w:val="0"/>
          <w:sz w:val="22"/>
          <w:szCs w:val="22"/>
          <w:lang w:eastAsia="nl-BE"/>
        </w:rPr>
      </w:pPr>
      <w:hyperlink w:anchor="_Toc81512448" w:history="1">
        <w:r w:rsidR="00FD0206" w:rsidRPr="00AD63CB">
          <w:rPr>
            <w:rStyle w:val="Hyperlink"/>
          </w:rPr>
          <w:t>1.1.1.18</w:t>
        </w:r>
        <w:r w:rsidR="00FD0206">
          <w:rPr>
            <w:rFonts w:eastAsiaTheme="minorEastAsia"/>
            <w:i w:val="0"/>
            <w:sz w:val="22"/>
            <w:szCs w:val="22"/>
            <w:lang w:eastAsia="nl-BE"/>
          </w:rPr>
          <w:tab/>
        </w:r>
        <w:r w:rsidR="00FD0206" w:rsidRPr="00AD63CB">
          <w:rPr>
            <w:rStyle w:val="Hyperlink"/>
          </w:rPr>
          <w:t>TABEL 9: Algemeen overzicht aanvullende endogene termen</w:t>
        </w:r>
        <w:r w:rsidR="00FD0206">
          <w:rPr>
            <w:webHidden/>
          </w:rPr>
          <w:tab/>
        </w:r>
        <w:r w:rsidR="00FD0206">
          <w:rPr>
            <w:webHidden/>
          </w:rPr>
          <w:fldChar w:fldCharType="begin"/>
        </w:r>
        <w:r w:rsidR="00FD0206">
          <w:rPr>
            <w:webHidden/>
          </w:rPr>
          <w:instrText xml:space="preserve"> PAGEREF _Toc81512448 \h </w:instrText>
        </w:r>
        <w:r w:rsidR="00FD0206">
          <w:rPr>
            <w:webHidden/>
          </w:rPr>
        </w:r>
        <w:r w:rsidR="00FD0206">
          <w:rPr>
            <w:webHidden/>
          </w:rPr>
          <w:fldChar w:fldCharType="separate"/>
        </w:r>
        <w:r w:rsidR="00FD0206">
          <w:rPr>
            <w:webHidden/>
          </w:rPr>
          <w:t>24</w:t>
        </w:r>
        <w:r w:rsidR="00FD0206">
          <w:rPr>
            <w:webHidden/>
          </w:rPr>
          <w:fldChar w:fldCharType="end"/>
        </w:r>
      </w:hyperlink>
    </w:p>
    <w:p w14:paraId="390F506A" w14:textId="58EFC50D" w:rsidR="00FD0206" w:rsidRDefault="007B5E9B">
      <w:pPr>
        <w:pStyle w:val="Inhopg4"/>
        <w:rPr>
          <w:rFonts w:eastAsiaTheme="minorEastAsia"/>
          <w:i w:val="0"/>
          <w:sz w:val="22"/>
          <w:szCs w:val="22"/>
          <w:lang w:eastAsia="nl-BE"/>
        </w:rPr>
      </w:pPr>
      <w:hyperlink w:anchor="_Toc81512449" w:history="1">
        <w:r w:rsidR="00FD0206" w:rsidRPr="00AD63CB">
          <w:rPr>
            <w:rStyle w:val="Hyperlink"/>
          </w:rPr>
          <w:t>1.1.1.19</w:t>
        </w:r>
        <w:r w:rsidR="00FD0206">
          <w:rPr>
            <w:rFonts w:eastAsiaTheme="minorEastAsia"/>
            <w:i w:val="0"/>
            <w:sz w:val="22"/>
            <w:szCs w:val="22"/>
            <w:lang w:eastAsia="nl-BE"/>
          </w:rPr>
          <w:tab/>
        </w:r>
        <w:r w:rsidR="00FD0206" w:rsidRPr="00AD63CB">
          <w:rPr>
            <w:rStyle w:val="Hyperlink"/>
          </w:rPr>
          <w:t>TABEL 10: Fiscaal niet-aftrekbare afschrijvingen op herwaarderingsmeerwaarden</w:t>
        </w:r>
        <w:r w:rsidR="00FD0206">
          <w:rPr>
            <w:webHidden/>
          </w:rPr>
          <w:tab/>
        </w:r>
        <w:r w:rsidR="00FD0206">
          <w:rPr>
            <w:webHidden/>
          </w:rPr>
          <w:fldChar w:fldCharType="begin"/>
        </w:r>
        <w:r w:rsidR="00FD0206">
          <w:rPr>
            <w:webHidden/>
          </w:rPr>
          <w:instrText xml:space="preserve"> PAGEREF _Toc81512449 \h </w:instrText>
        </w:r>
        <w:r w:rsidR="00FD0206">
          <w:rPr>
            <w:webHidden/>
          </w:rPr>
        </w:r>
        <w:r w:rsidR="00FD0206">
          <w:rPr>
            <w:webHidden/>
          </w:rPr>
          <w:fldChar w:fldCharType="separate"/>
        </w:r>
        <w:r w:rsidR="00FD0206">
          <w:rPr>
            <w:webHidden/>
          </w:rPr>
          <w:t>24</w:t>
        </w:r>
        <w:r w:rsidR="00FD0206">
          <w:rPr>
            <w:webHidden/>
          </w:rPr>
          <w:fldChar w:fldCharType="end"/>
        </w:r>
      </w:hyperlink>
    </w:p>
    <w:p w14:paraId="1B8CD378" w14:textId="2E691208" w:rsidR="00FD0206" w:rsidRDefault="007B5E9B">
      <w:pPr>
        <w:pStyle w:val="Inhopg4"/>
        <w:rPr>
          <w:rFonts w:eastAsiaTheme="minorEastAsia"/>
          <w:i w:val="0"/>
          <w:sz w:val="22"/>
          <w:szCs w:val="22"/>
          <w:lang w:eastAsia="nl-BE"/>
        </w:rPr>
      </w:pPr>
      <w:hyperlink w:anchor="_Toc81512450" w:history="1">
        <w:r w:rsidR="00FD0206" w:rsidRPr="00AD63CB">
          <w:rPr>
            <w:rStyle w:val="Hyperlink"/>
          </w:rPr>
          <w:t>1.1.1.20</w:t>
        </w:r>
        <w:r w:rsidR="00FD0206">
          <w:rPr>
            <w:rFonts w:eastAsiaTheme="minorEastAsia"/>
            <w:i w:val="0"/>
            <w:sz w:val="22"/>
            <w:szCs w:val="22"/>
            <w:lang w:eastAsia="nl-BE"/>
          </w:rPr>
          <w:tab/>
        </w:r>
        <w:r w:rsidR="00FD0206" w:rsidRPr="00AD63CB">
          <w:rPr>
            <w:rStyle w:val="Hyperlink"/>
          </w:rPr>
          <w:t>TABEL 11: Fiscaal niet-aftrekbare heffing volgens het Decreet houdende het Grootschalig Referentiebestand</w:t>
        </w:r>
        <w:r w:rsidR="00FD0206">
          <w:rPr>
            <w:webHidden/>
          </w:rPr>
          <w:tab/>
        </w:r>
        <w:r w:rsidR="00FD0206">
          <w:rPr>
            <w:webHidden/>
          </w:rPr>
          <w:fldChar w:fldCharType="begin"/>
        </w:r>
        <w:r w:rsidR="00FD0206">
          <w:rPr>
            <w:webHidden/>
          </w:rPr>
          <w:instrText xml:space="preserve"> PAGEREF _Toc81512450 \h </w:instrText>
        </w:r>
        <w:r w:rsidR="00FD0206">
          <w:rPr>
            <w:webHidden/>
          </w:rPr>
        </w:r>
        <w:r w:rsidR="00FD0206">
          <w:rPr>
            <w:webHidden/>
          </w:rPr>
          <w:fldChar w:fldCharType="separate"/>
        </w:r>
        <w:r w:rsidR="00FD0206">
          <w:rPr>
            <w:webHidden/>
          </w:rPr>
          <w:t>25</w:t>
        </w:r>
        <w:r w:rsidR="00FD0206">
          <w:rPr>
            <w:webHidden/>
          </w:rPr>
          <w:fldChar w:fldCharType="end"/>
        </w:r>
      </w:hyperlink>
    </w:p>
    <w:p w14:paraId="049957B9" w14:textId="1E5EECE2" w:rsidR="00FD0206" w:rsidRDefault="007B5E9B">
      <w:pPr>
        <w:pStyle w:val="Inhopg4"/>
        <w:rPr>
          <w:rFonts w:eastAsiaTheme="minorEastAsia"/>
          <w:i w:val="0"/>
          <w:sz w:val="22"/>
          <w:szCs w:val="22"/>
          <w:lang w:eastAsia="nl-BE"/>
        </w:rPr>
      </w:pPr>
      <w:hyperlink w:anchor="_Toc81512451" w:history="1">
        <w:r w:rsidR="00FD0206" w:rsidRPr="00AD63CB">
          <w:rPr>
            <w:rStyle w:val="Hyperlink"/>
          </w:rPr>
          <w:t>1.1.1.21</w:t>
        </w:r>
        <w:r w:rsidR="00FD0206">
          <w:rPr>
            <w:rFonts w:eastAsiaTheme="minorEastAsia"/>
            <w:i w:val="0"/>
            <w:sz w:val="22"/>
            <w:szCs w:val="22"/>
            <w:lang w:eastAsia="nl-BE"/>
          </w:rPr>
          <w:tab/>
        </w:r>
        <w:r w:rsidR="00FD0206" w:rsidRPr="00AD63CB">
          <w:rPr>
            <w:rStyle w:val="Hyperlink"/>
          </w:rPr>
          <w:t>TABEL 12: Notionele intrestaftrek</w:t>
        </w:r>
        <w:r w:rsidR="00FD0206">
          <w:rPr>
            <w:webHidden/>
          </w:rPr>
          <w:tab/>
        </w:r>
        <w:r w:rsidR="00FD0206">
          <w:rPr>
            <w:webHidden/>
          </w:rPr>
          <w:fldChar w:fldCharType="begin"/>
        </w:r>
        <w:r w:rsidR="00FD0206">
          <w:rPr>
            <w:webHidden/>
          </w:rPr>
          <w:instrText xml:space="preserve"> PAGEREF _Toc81512451 \h </w:instrText>
        </w:r>
        <w:r w:rsidR="00FD0206">
          <w:rPr>
            <w:webHidden/>
          </w:rPr>
        </w:r>
        <w:r w:rsidR="00FD0206">
          <w:rPr>
            <w:webHidden/>
          </w:rPr>
          <w:fldChar w:fldCharType="separate"/>
        </w:r>
        <w:r w:rsidR="00FD0206">
          <w:rPr>
            <w:webHidden/>
          </w:rPr>
          <w:t>25</w:t>
        </w:r>
        <w:r w:rsidR="00FD0206">
          <w:rPr>
            <w:webHidden/>
          </w:rPr>
          <w:fldChar w:fldCharType="end"/>
        </w:r>
      </w:hyperlink>
    </w:p>
    <w:p w14:paraId="09C6FF5F" w14:textId="1B70119A" w:rsidR="00FD0206" w:rsidRDefault="007B5E9B">
      <w:pPr>
        <w:pStyle w:val="Inhopg4"/>
        <w:rPr>
          <w:rFonts w:eastAsiaTheme="minorEastAsia"/>
          <w:i w:val="0"/>
          <w:sz w:val="22"/>
          <w:szCs w:val="22"/>
          <w:lang w:eastAsia="nl-BE"/>
        </w:rPr>
      </w:pPr>
      <w:hyperlink w:anchor="_Toc81512452" w:history="1">
        <w:r w:rsidR="00FD0206" w:rsidRPr="00AD63CB">
          <w:rPr>
            <w:rStyle w:val="Hyperlink"/>
          </w:rPr>
          <w:t>1.1.1.22</w:t>
        </w:r>
        <w:r w:rsidR="00FD0206">
          <w:rPr>
            <w:rFonts w:eastAsiaTheme="minorEastAsia"/>
            <w:i w:val="0"/>
            <w:sz w:val="22"/>
            <w:szCs w:val="22"/>
            <w:lang w:eastAsia="nl-BE"/>
          </w:rPr>
          <w:tab/>
        </w:r>
        <w:r w:rsidR="00FD0206" w:rsidRPr="00AD63CB">
          <w:rPr>
            <w:rStyle w:val="Hyperlink"/>
          </w:rPr>
          <w:t>TABEL 13A: Afschrijvingen van de meerwaarde op basis van de historische indexatie (materiële vaste activa) - elektriciteit</w:t>
        </w:r>
        <w:r w:rsidR="00FD0206">
          <w:rPr>
            <w:webHidden/>
          </w:rPr>
          <w:tab/>
        </w:r>
        <w:r w:rsidR="00FD0206">
          <w:rPr>
            <w:webHidden/>
          </w:rPr>
          <w:fldChar w:fldCharType="begin"/>
        </w:r>
        <w:r w:rsidR="00FD0206">
          <w:rPr>
            <w:webHidden/>
          </w:rPr>
          <w:instrText xml:space="preserve"> PAGEREF _Toc81512452 \h </w:instrText>
        </w:r>
        <w:r w:rsidR="00FD0206">
          <w:rPr>
            <w:webHidden/>
          </w:rPr>
        </w:r>
        <w:r w:rsidR="00FD0206">
          <w:rPr>
            <w:webHidden/>
          </w:rPr>
          <w:fldChar w:fldCharType="separate"/>
        </w:r>
        <w:r w:rsidR="00FD0206">
          <w:rPr>
            <w:webHidden/>
          </w:rPr>
          <w:t>25</w:t>
        </w:r>
        <w:r w:rsidR="00FD0206">
          <w:rPr>
            <w:webHidden/>
          </w:rPr>
          <w:fldChar w:fldCharType="end"/>
        </w:r>
      </w:hyperlink>
    </w:p>
    <w:p w14:paraId="323F849A" w14:textId="4478C602" w:rsidR="00FD0206" w:rsidRDefault="007B5E9B">
      <w:pPr>
        <w:pStyle w:val="Inhopg4"/>
        <w:rPr>
          <w:rFonts w:eastAsiaTheme="minorEastAsia"/>
          <w:i w:val="0"/>
          <w:sz w:val="22"/>
          <w:szCs w:val="22"/>
          <w:lang w:eastAsia="nl-BE"/>
        </w:rPr>
      </w:pPr>
      <w:hyperlink w:anchor="_Toc81512453" w:history="1">
        <w:r w:rsidR="00FD0206" w:rsidRPr="00AD63CB">
          <w:rPr>
            <w:rStyle w:val="Hyperlink"/>
          </w:rPr>
          <w:t>1.1.1.23</w:t>
        </w:r>
        <w:r w:rsidR="00FD0206">
          <w:rPr>
            <w:rFonts w:eastAsiaTheme="minorEastAsia"/>
            <w:i w:val="0"/>
            <w:sz w:val="22"/>
            <w:szCs w:val="22"/>
            <w:lang w:eastAsia="nl-BE"/>
          </w:rPr>
          <w:tab/>
        </w:r>
        <w:r w:rsidR="00FD0206" w:rsidRPr="00AD63CB">
          <w:rPr>
            <w:rStyle w:val="Hyperlink"/>
          </w:rPr>
          <w:t>TABEL 13B: Afschrijvingen van de meerwaarde op basis van de iRAB (materiële vaste activa) - elektriciteit</w:t>
        </w:r>
        <w:r w:rsidR="00FD0206">
          <w:rPr>
            <w:webHidden/>
          </w:rPr>
          <w:tab/>
        </w:r>
        <w:r w:rsidR="00FD0206">
          <w:rPr>
            <w:webHidden/>
          </w:rPr>
          <w:fldChar w:fldCharType="begin"/>
        </w:r>
        <w:r w:rsidR="00FD0206">
          <w:rPr>
            <w:webHidden/>
          </w:rPr>
          <w:instrText xml:space="preserve"> PAGEREF _Toc81512453 \h </w:instrText>
        </w:r>
        <w:r w:rsidR="00FD0206">
          <w:rPr>
            <w:webHidden/>
          </w:rPr>
        </w:r>
        <w:r w:rsidR="00FD0206">
          <w:rPr>
            <w:webHidden/>
          </w:rPr>
          <w:fldChar w:fldCharType="separate"/>
        </w:r>
        <w:r w:rsidR="00FD0206">
          <w:rPr>
            <w:webHidden/>
          </w:rPr>
          <w:t>26</w:t>
        </w:r>
        <w:r w:rsidR="00FD0206">
          <w:rPr>
            <w:webHidden/>
          </w:rPr>
          <w:fldChar w:fldCharType="end"/>
        </w:r>
      </w:hyperlink>
    </w:p>
    <w:p w14:paraId="49CEDE6A" w14:textId="71EE2EC5" w:rsidR="00FD0206" w:rsidRDefault="007B5E9B">
      <w:pPr>
        <w:pStyle w:val="Inhopg4"/>
        <w:rPr>
          <w:rFonts w:eastAsiaTheme="minorEastAsia"/>
          <w:i w:val="0"/>
          <w:sz w:val="22"/>
          <w:szCs w:val="22"/>
          <w:lang w:eastAsia="nl-BE"/>
        </w:rPr>
      </w:pPr>
      <w:hyperlink w:anchor="_Toc81512454" w:history="1">
        <w:r w:rsidR="00FD0206" w:rsidRPr="00AD63CB">
          <w:rPr>
            <w:rStyle w:val="Hyperlink"/>
          </w:rPr>
          <w:t>1.1.1.24</w:t>
        </w:r>
        <w:r w:rsidR="00FD0206">
          <w:rPr>
            <w:rFonts w:eastAsiaTheme="minorEastAsia"/>
            <w:i w:val="0"/>
            <w:sz w:val="22"/>
            <w:szCs w:val="22"/>
            <w:lang w:eastAsia="nl-BE"/>
          </w:rPr>
          <w:tab/>
        </w:r>
        <w:r w:rsidR="00FD0206" w:rsidRPr="00AD63CB">
          <w:rPr>
            <w:rStyle w:val="Hyperlink"/>
          </w:rPr>
          <w:t>TABEL 13C: Afschrijvingen van de meerwaarde op basis van de historische indexatie (materiële vaste activa) - gas</w:t>
        </w:r>
        <w:r w:rsidR="00FD0206">
          <w:rPr>
            <w:webHidden/>
          </w:rPr>
          <w:tab/>
        </w:r>
        <w:r w:rsidR="00FD0206">
          <w:rPr>
            <w:webHidden/>
          </w:rPr>
          <w:fldChar w:fldCharType="begin"/>
        </w:r>
        <w:r w:rsidR="00FD0206">
          <w:rPr>
            <w:webHidden/>
          </w:rPr>
          <w:instrText xml:space="preserve"> PAGEREF _Toc81512454 \h </w:instrText>
        </w:r>
        <w:r w:rsidR="00FD0206">
          <w:rPr>
            <w:webHidden/>
          </w:rPr>
        </w:r>
        <w:r w:rsidR="00FD0206">
          <w:rPr>
            <w:webHidden/>
          </w:rPr>
          <w:fldChar w:fldCharType="separate"/>
        </w:r>
        <w:r w:rsidR="00FD0206">
          <w:rPr>
            <w:webHidden/>
          </w:rPr>
          <w:t>27</w:t>
        </w:r>
        <w:r w:rsidR="00FD0206">
          <w:rPr>
            <w:webHidden/>
          </w:rPr>
          <w:fldChar w:fldCharType="end"/>
        </w:r>
      </w:hyperlink>
    </w:p>
    <w:p w14:paraId="20375383" w14:textId="742DDABF" w:rsidR="00FD0206" w:rsidRDefault="007B5E9B">
      <w:pPr>
        <w:pStyle w:val="Inhopg4"/>
        <w:rPr>
          <w:rFonts w:eastAsiaTheme="minorEastAsia"/>
          <w:i w:val="0"/>
          <w:sz w:val="22"/>
          <w:szCs w:val="22"/>
          <w:lang w:eastAsia="nl-BE"/>
        </w:rPr>
      </w:pPr>
      <w:hyperlink w:anchor="_Toc81512455" w:history="1">
        <w:r w:rsidR="00FD0206" w:rsidRPr="00AD63CB">
          <w:rPr>
            <w:rStyle w:val="Hyperlink"/>
          </w:rPr>
          <w:t>1.1.1.25</w:t>
        </w:r>
        <w:r w:rsidR="00FD0206">
          <w:rPr>
            <w:rFonts w:eastAsiaTheme="minorEastAsia"/>
            <w:i w:val="0"/>
            <w:sz w:val="22"/>
            <w:szCs w:val="22"/>
            <w:lang w:eastAsia="nl-BE"/>
          </w:rPr>
          <w:tab/>
        </w:r>
        <w:r w:rsidR="00FD0206" w:rsidRPr="00AD63CB">
          <w:rPr>
            <w:rStyle w:val="Hyperlink"/>
          </w:rPr>
          <w:t>TABEL 13D: Afschrijvingen van de meerwaarde op basis van de iRAB (materiële vaste activa) - gas</w:t>
        </w:r>
        <w:r w:rsidR="00FD0206">
          <w:rPr>
            <w:webHidden/>
          </w:rPr>
          <w:tab/>
        </w:r>
        <w:r w:rsidR="00FD0206">
          <w:rPr>
            <w:webHidden/>
          </w:rPr>
          <w:fldChar w:fldCharType="begin"/>
        </w:r>
        <w:r w:rsidR="00FD0206">
          <w:rPr>
            <w:webHidden/>
          </w:rPr>
          <w:instrText xml:space="preserve"> PAGEREF _Toc81512455 \h </w:instrText>
        </w:r>
        <w:r w:rsidR="00FD0206">
          <w:rPr>
            <w:webHidden/>
          </w:rPr>
        </w:r>
        <w:r w:rsidR="00FD0206">
          <w:rPr>
            <w:webHidden/>
          </w:rPr>
          <w:fldChar w:fldCharType="separate"/>
        </w:r>
        <w:r w:rsidR="00FD0206">
          <w:rPr>
            <w:webHidden/>
          </w:rPr>
          <w:t>27</w:t>
        </w:r>
        <w:r w:rsidR="00FD0206">
          <w:rPr>
            <w:webHidden/>
          </w:rPr>
          <w:fldChar w:fldCharType="end"/>
        </w:r>
      </w:hyperlink>
    </w:p>
    <w:p w14:paraId="058B9B9D" w14:textId="757CAC1E" w:rsidR="00FD0206" w:rsidRDefault="007B5E9B">
      <w:pPr>
        <w:pStyle w:val="Inhopg4"/>
        <w:rPr>
          <w:rFonts w:eastAsiaTheme="minorEastAsia"/>
          <w:i w:val="0"/>
          <w:sz w:val="22"/>
          <w:szCs w:val="22"/>
          <w:lang w:eastAsia="nl-BE"/>
        </w:rPr>
      </w:pPr>
      <w:hyperlink w:anchor="_Toc81512456" w:history="1">
        <w:r w:rsidR="00FD0206" w:rsidRPr="00AD63CB">
          <w:rPr>
            <w:rStyle w:val="Hyperlink"/>
          </w:rPr>
          <w:t>1.1.1.26</w:t>
        </w:r>
        <w:r w:rsidR="00FD0206">
          <w:rPr>
            <w:rFonts w:eastAsiaTheme="minorEastAsia"/>
            <w:i w:val="0"/>
            <w:sz w:val="22"/>
            <w:szCs w:val="22"/>
            <w:lang w:eastAsia="nl-BE"/>
          </w:rPr>
          <w:tab/>
        </w:r>
        <w:r w:rsidR="00FD0206" w:rsidRPr="00AD63CB">
          <w:rPr>
            <w:rStyle w:val="Hyperlink"/>
          </w:rPr>
          <w:t>TABEL 14: Kapitaalkostvergoeding herwaarderingsmeerwaarden</w:t>
        </w:r>
        <w:r w:rsidR="00FD0206">
          <w:rPr>
            <w:webHidden/>
          </w:rPr>
          <w:tab/>
        </w:r>
        <w:r w:rsidR="00FD0206">
          <w:rPr>
            <w:webHidden/>
          </w:rPr>
          <w:fldChar w:fldCharType="begin"/>
        </w:r>
        <w:r w:rsidR="00FD0206">
          <w:rPr>
            <w:webHidden/>
          </w:rPr>
          <w:instrText xml:space="preserve"> PAGEREF _Toc81512456 \h </w:instrText>
        </w:r>
        <w:r w:rsidR="00FD0206">
          <w:rPr>
            <w:webHidden/>
          </w:rPr>
        </w:r>
        <w:r w:rsidR="00FD0206">
          <w:rPr>
            <w:webHidden/>
          </w:rPr>
          <w:fldChar w:fldCharType="separate"/>
        </w:r>
        <w:r w:rsidR="00FD0206">
          <w:rPr>
            <w:webHidden/>
          </w:rPr>
          <w:t>28</w:t>
        </w:r>
        <w:r w:rsidR="00FD0206">
          <w:rPr>
            <w:webHidden/>
          </w:rPr>
          <w:fldChar w:fldCharType="end"/>
        </w:r>
      </w:hyperlink>
    </w:p>
    <w:p w14:paraId="57DD9366" w14:textId="61AD5FB7" w:rsidR="00FD0206" w:rsidRDefault="007B5E9B">
      <w:pPr>
        <w:pStyle w:val="Inhopg2"/>
        <w:rPr>
          <w:rFonts w:eastAsiaTheme="minorEastAsia"/>
          <w:lang w:eastAsia="nl-BE"/>
        </w:rPr>
      </w:pPr>
      <w:hyperlink w:anchor="_Toc81512457" w:history="1">
        <w:r w:rsidR="00FD0206" w:rsidRPr="00AD63CB">
          <w:rPr>
            <w:rStyle w:val="Hyperlink"/>
          </w:rPr>
          <w:t>1.2</w:t>
        </w:r>
        <w:r w:rsidR="00FD0206">
          <w:rPr>
            <w:rFonts w:eastAsiaTheme="minorEastAsia"/>
            <w:lang w:eastAsia="nl-BE"/>
          </w:rPr>
          <w:tab/>
        </w:r>
        <w:r w:rsidR="00FD0206" w:rsidRPr="00AD63CB">
          <w:rPr>
            <w:rStyle w:val="Hyperlink"/>
          </w:rPr>
          <w:t>Invulinstructie Bijlage 4B: rapporteringsmodel exogene kosten en aanvullende endogene termen 2022-2024</w:t>
        </w:r>
        <w:r w:rsidR="00FD0206">
          <w:rPr>
            <w:webHidden/>
          </w:rPr>
          <w:tab/>
        </w:r>
        <w:r w:rsidR="00FD0206">
          <w:rPr>
            <w:webHidden/>
          </w:rPr>
          <w:fldChar w:fldCharType="begin"/>
        </w:r>
        <w:r w:rsidR="00FD0206">
          <w:rPr>
            <w:webHidden/>
          </w:rPr>
          <w:instrText xml:space="preserve"> PAGEREF _Toc81512457 \h </w:instrText>
        </w:r>
        <w:r w:rsidR="00FD0206">
          <w:rPr>
            <w:webHidden/>
          </w:rPr>
        </w:r>
        <w:r w:rsidR="00FD0206">
          <w:rPr>
            <w:webHidden/>
          </w:rPr>
          <w:fldChar w:fldCharType="separate"/>
        </w:r>
        <w:r w:rsidR="00FD0206">
          <w:rPr>
            <w:webHidden/>
          </w:rPr>
          <w:t>28</w:t>
        </w:r>
        <w:r w:rsidR="00FD0206">
          <w:rPr>
            <w:webHidden/>
          </w:rPr>
          <w:fldChar w:fldCharType="end"/>
        </w:r>
      </w:hyperlink>
    </w:p>
    <w:p w14:paraId="6A6CA730" w14:textId="1A6DDA7D" w:rsidR="00FD0206" w:rsidRDefault="007B5E9B">
      <w:pPr>
        <w:pStyle w:val="Inhopg3"/>
        <w:rPr>
          <w:rFonts w:eastAsiaTheme="minorEastAsia"/>
          <w:sz w:val="22"/>
          <w:szCs w:val="22"/>
          <w:lang w:eastAsia="nl-BE"/>
        </w:rPr>
      </w:pPr>
      <w:hyperlink w:anchor="_Toc81512458" w:history="1">
        <w:r w:rsidR="00FD0206" w:rsidRPr="00AD63CB">
          <w:rPr>
            <w:rStyle w:val="Hyperlink"/>
          </w:rPr>
          <w:t>1.2.1</w:t>
        </w:r>
        <w:r w:rsidR="00FD0206">
          <w:rPr>
            <w:rFonts w:eastAsiaTheme="minorEastAsia"/>
            <w:sz w:val="22"/>
            <w:szCs w:val="22"/>
            <w:lang w:eastAsia="nl-BE"/>
          </w:rPr>
          <w:tab/>
        </w:r>
        <w:r w:rsidR="00FD0206" w:rsidRPr="00AD63CB">
          <w:rPr>
            <w:rStyle w:val="Hyperlink"/>
          </w:rPr>
          <w:t>Algemene invulinstructie</w:t>
        </w:r>
        <w:r w:rsidR="00FD0206">
          <w:rPr>
            <w:webHidden/>
          </w:rPr>
          <w:tab/>
        </w:r>
        <w:r w:rsidR="00FD0206">
          <w:rPr>
            <w:webHidden/>
          </w:rPr>
          <w:fldChar w:fldCharType="begin"/>
        </w:r>
        <w:r w:rsidR="00FD0206">
          <w:rPr>
            <w:webHidden/>
          </w:rPr>
          <w:instrText xml:space="preserve"> PAGEREF _Toc81512458 \h </w:instrText>
        </w:r>
        <w:r w:rsidR="00FD0206">
          <w:rPr>
            <w:webHidden/>
          </w:rPr>
        </w:r>
        <w:r w:rsidR="00FD0206">
          <w:rPr>
            <w:webHidden/>
          </w:rPr>
          <w:fldChar w:fldCharType="separate"/>
        </w:r>
        <w:r w:rsidR="00FD0206">
          <w:rPr>
            <w:webHidden/>
          </w:rPr>
          <w:t>30</w:t>
        </w:r>
        <w:r w:rsidR="00FD0206">
          <w:rPr>
            <w:webHidden/>
          </w:rPr>
          <w:fldChar w:fldCharType="end"/>
        </w:r>
      </w:hyperlink>
    </w:p>
    <w:p w14:paraId="6556D54B" w14:textId="0B41E813" w:rsidR="00FD0206" w:rsidRDefault="007B5E9B">
      <w:pPr>
        <w:pStyle w:val="Inhopg4"/>
        <w:rPr>
          <w:rFonts w:eastAsiaTheme="minorEastAsia"/>
          <w:i w:val="0"/>
          <w:sz w:val="22"/>
          <w:szCs w:val="22"/>
          <w:lang w:eastAsia="nl-BE"/>
        </w:rPr>
      </w:pPr>
      <w:hyperlink w:anchor="_Toc81512459" w:history="1">
        <w:r w:rsidR="00FD0206" w:rsidRPr="00AD63CB">
          <w:rPr>
            <w:rStyle w:val="Hyperlink"/>
          </w:rPr>
          <w:t>1.2.1.1</w:t>
        </w:r>
        <w:r w:rsidR="00FD0206">
          <w:rPr>
            <w:rFonts w:eastAsiaTheme="minorEastAsia"/>
            <w:i w:val="0"/>
            <w:sz w:val="22"/>
            <w:szCs w:val="22"/>
            <w:lang w:eastAsia="nl-BE"/>
          </w:rPr>
          <w:tab/>
        </w:r>
        <w:r w:rsidR="00FD0206" w:rsidRPr="00AD63CB">
          <w:rPr>
            <w:rStyle w:val="Hyperlink"/>
          </w:rPr>
          <w:t>TITELBLAD</w:t>
        </w:r>
        <w:r w:rsidR="00FD0206">
          <w:rPr>
            <w:webHidden/>
          </w:rPr>
          <w:tab/>
        </w:r>
        <w:r w:rsidR="00FD0206">
          <w:rPr>
            <w:webHidden/>
          </w:rPr>
          <w:fldChar w:fldCharType="begin"/>
        </w:r>
        <w:r w:rsidR="00FD0206">
          <w:rPr>
            <w:webHidden/>
          </w:rPr>
          <w:instrText xml:space="preserve"> PAGEREF _Toc81512459 \h </w:instrText>
        </w:r>
        <w:r w:rsidR="00FD0206">
          <w:rPr>
            <w:webHidden/>
          </w:rPr>
        </w:r>
        <w:r w:rsidR="00FD0206">
          <w:rPr>
            <w:webHidden/>
          </w:rPr>
          <w:fldChar w:fldCharType="separate"/>
        </w:r>
        <w:r w:rsidR="00FD0206">
          <w:rPr>
            <w:webHidden/>
          </w:rPr>
          <w:t>31</w:t>
        </w:r>
        <w:r w:rsidR="00FD0206">
          <w:rPr>
            <w:webHidden/>
          </w:rPr>
          <w:fldChar w:fldCharType="end"/>
        </w:r>
      </w:hyperlink>
    </w:p>
    <w:p w14:paraId="4F419DEC" w14:textId="36D7E935" w:rsidR="00FD0206" w:rsidRDefault="007B5E9B">
      <w:pPr>
        <w:pStyle w:val="Inhopg4"/>
        <w:rPr>
          <w:rFonts w:eastAsiaTheme="minorEastAsia"/>
          <w:i w:val="0"/>
          <w:sz w:val="22"/>
          <w:szCs w:val="22"/>
          <w:lang w:eastAsia="nl-BE"/>
        </w:rPr>
      </w:pPr>
      <w:hyperlink w:anchor="_Toc81512460" w:history="1">
        <w:r w:rsidR="00FD0206" w:rsidRPr="00AD63CB">
          <w:rPr>
            <w:rStyle w:val="Hyperlink"/>
          </w:rPr>
          <w:t>1.2.1.2</w:t>
        </w:r>
        <w:r w:rsidR="00FD0206">
          <w:rPr>
            <w:rFonts w:eastAsiaTheme="minorEastAsia"/>
            <w:i w:val="0"/>
            <w:sz w:val="22"/>
            <w:szCs w:val="22"/>
            <w:lang w:eastAsia="nl-BE"/>
          </w:rPr>
          <w:tab/>
        </w:r>
        <w:r w:rsidR="00FD0206" w:rsidRPr="00AD63CB">
          <w:rPr>
            <w:rStyle w:val="Hyperlink"/>
          </w:rPr>
          <w:t>TABEL 1: Resultatenrekening (algemene boekhouding) voor boekjaar 20XX (waarden boekhouding)</w:t>
        </w:r>
        <w:r w:rsidR="00FD0206">
          <w:rPr>
            <w:webHidden/>
          </w:rPr>
          <w:tab/>
        </w:r>
        <w:r w:rsidR="00FD0206">
          <w:rPr>
            <w:webHidden/>
          </w:rPr>
          <w:fldChar w:fldCharType="begin"/>
        </w:r>
        <w:r w:rsidR="00FD0206">
          <w:rPr>
            <w:webHidden/>
          </w:rPr>
          <w:instrText xml:space="preserve"> PAGEREF _Toc81512460 \h </w:instrText>
        </w:r>
        <w:r w:rsidR="00FD0206">
          <w:rPr>
            <w:webHidden/>
          </w:rPr>
        </w:r>
        <w:r w:rsidR="00FD0206">
          <w:rPr>
            <w:webHidden/>
          </w:rPr>
          <w:fldChar w:fldCharType="separate"/>
        </w:r>
        <w:r w:rsidR="00FD0206">
          <w:rPr>
            <w:webHidden/>
          </w:rPr>
          <w:t>31</w:t>
        </w:r>
        <w:r w:rsidR="00FD0206">
          <w:rPr>
            <w:webHidden/>
          </w:rPr>
          <w:fldChar w:fldCharType="end"/>
        </w:r>
      </w:hyperlink>
    </w:p>
    <w:p w14:paraId="2354545B" w14:textId="3F0985C4" w:rsidR="00FD0206" w:rsidRDefault="007B5E9B">
      <w:pPr>
        <w:pStyle w:val="Inhopg4"/>
        <w:rPr>
          <w:rFonts w:eastAsiaTheme="minorEastAsia"/>
          <w:i w:val="0"/>
          <w:sz w:val="22"/>
          <w:szCs w:val="22"/>
          <w:lang w:eastAsia="nl-BE"/>
        </w:rPr>
      </w:pPr>
      <w:hyperlink w:anchor="_Toc81512461" w:history="1">
        <w:r w:rsidR="00FD0206" w:rsidRPr="00AD63CB">
          <w:rPr>
            <w:rStyle w:val="Hyperlink"/>
          </w:rPr>
          <w:t>1.2.1.3</w:t>
        </w:r>
        <w:r w:rsidR="00FD0206">
          <w:rPr>
            <w:rFonts w:eastAsiaTheme="minorEastAsia"/>
            <w:i w:val="0"/>
            <w:sz w:val="22"/>
            <w:szCs w:val="22"/>
            <w:lang w:eastAsia="nl-BE"/>
          </w:rPr>
          <w:tab/>
        </w:r>
        <w:r w:rsidR="00FD0206" w:rsidRPr="00AD63CB">
          <w:rPr>
            <w:rStyle w:val="Hyperlink"/>
          </w:rPr>
          <w:t>TABEL 2: Algemeen overzicht exogene kosten</w:t>
        </w:r>
        <w:r w:rsidR="00FD0206">
          <w:rPr>
            <w:webHidden/>
          </w:rPr>
          <w:tab/>
        </w:r>
        <w:r w:rsidR="00FD0206">
          <w:rPr>
            <w:webHidden/>
          </w:rPr>
          <w:fldChar w:fldCharType="begin"/>
        </w:r>
        <w:r w:rsidR="00FD0206">
          <w:rPr>
            <w:webHidden/>
          </w:rPr>
          <w:instrText xml:space="preserve"> PAGEREF _Toc81512461 \h </w:instrText>
        </w:r>
        <w:r w:rsidR="00FD0206">
          <w:rPr>
            <w:webHidden/>
          </w:rPr>
        </w:r>
        <w:r w:rsidR="00FD0206">
          <w:rPr>
            <w:webHidden/>
          </w:rPr>
          <w:fldChar w:fldCharType="separate"/>
        </w:r>
        <w:r w:rsidR="00FD0206">
          <w:rPr>
            <w:webHidden/>
          </w:rPr>
          <w:t>32</w:t>
        </w:r>
        <w:r w:rsidR="00FD0206">
          <w:rPr>
            <w:webHidden/>
          </w:rPr>
          <w:fldChar w:fldCharType="end"/>
        </w:r>
      </w:hyperlink>
    </w:p>
    <w:p w14:paraId="7534F6EE" w14:textId="270DD90C" w:rsidR="00FD0206" w:rsidRDefault="007B5E9B">
      <w:pPr>
        <w:pStyle w:val="Inhopg4"/>
        <w:rPr>
          <w:rFonts w:eastAsiaTheme="minorEastAsia"/>
          <w:i w:val="0"/>
          <w:sz w:val="22"/>
          <w:szCs w:val="22"/>
          <w:lang w:eastAsia="nl-BE"/>
        </w:rPr>
      </w:pPr>
      <w:hyperlink w:anchor="_Toc81512462" w:history="1">
        <w:r w:rsidR="00FD0206" w:rsidRPr="00AD63CB">
          <w:rPr>
            <w:rStyle w:val="Hyperlink"/>
          </w:rPr>
          <w:t>1.2.1.4</w:t>
        </w:r>
        <w:r w:rsidR="00FD0206">
          <w:rPr>
            <w:rFonts w:eastAsiaTheme="minorEastAsia"/>
            <w:i w:val="0"/>
            <w:sz w:val="22"/>
            <w:szCs w:val="22"/>
            <w:lang w:eastAsia="nl-BE"/>
          </w:rPr>
          <w:tab/>
        </w:r>
        <w:r w:rsidR="00FD0206" w:rsidRPr="00AD63CB">
          <w:rPr>
            <w:rStyle w:val="Hyperlink"/>
          </w:rPr>
          <w:t>TABEL 3: Detail inzake samenstelling exogene kosten</w:t>
        </w:r>
        <w:r w:rsidR="00FD0206">
          <w:rPr>
            <w:webHidden/>
          </w:rPr>
          <w:tab/>
        </w:r>
        <w:r w:rsidR="00FD0206">
          <w:rPr>
            <w:webHidden/>
          </w:rPr>
          <w:fldChar w:fldCharType="begin"/>
        </w:r>
        <w:r w:rsidR="00FD0206">
          <w:rPr>
            <w:webHidden/>
          </w:rPr>
          <w:instrText xml:space="preserve"> PAGEREF _Toc81512462 \h </w:instrText>
        </w:r>
        <w:r w:rsidR="00FD0206">
          <w:rPr>
            <w:webHidden/>
          </w:rPr>
        </w:r>
        <w:r w:rsidR="00FD0206">
          <w:rPr>
            <w:webHidden/>
          </w:rPr>
          <w:fldChar w:fldCharType="separate"/>
        </w:r>
        <w:r w:rsidR="00FD0206">
          <w:rPr>
            <w:webHidden/>
          </w:rPr>
          <w:t>32</w:t>
        </w:r>
        <w:r w:rsidR="00FD0206">
          <w:rPr>
            <w:webHidden/>
          </w:rPr>
          <w:fldChar w:fldCharType="end"/>
        </w:r>
      </w:hyperlink>
    </w:p>
    <w:p w14:paraId="0BF1FA6E" w14:textId="14C59CF0" w:rsidR="00FD0206" w:rsidRDefault="007B5E9B">
      <w:pPr>
        <w:pStyle w:val="Inhopg4"/>
        <w:rPr>
          <w:rFonts w:eastAsiaTheme="minorEastAsia"/>
          <w:i w:val="0"/>
          <w:sz w:val="22"/>
          <w:szCs w:val="22"/>
          <w:lang w:eastAsia="nl-BE"/>
        </w:rPr>
      </w:pPr>
      <w:hyperlink w:anchor="_Toc81512463" w:history="1">
        <w:r w:rsidR="00FD0206" w:rsidRPr="00AD63CB">
          <w:rPr>
            <w:rStyle w:val="Hyperlink"/>
          </w:rPr>
          <w:t>1.2.1.5</w:t>
        </w:r>
        <w:r w:rsidR="00FD0206">
          <w:rPr>
            <w:rFonts w:eastAsiaTheme="minorEastAsia"/>
            <w:i w:val="0"/>
            <w:sz w:val="22"/>
            <w:szCs w:val="22"/>
            <w:lang w:eastAsia="nl-BE"/>
          </w:rPr>
          <w:tab/>
        </w:r>
        <w:r w:rsidR="00FD0206" w:rsidRPr="00AD63CB">
          <w:rPr>
            <w:rStyle w:val="Hyperlink"/>
          </w:rPr>
          <w:t>TABEL 4A: Opvolging regulatoir saldo inzake exogene kosten</w:t>
        </w:r>
        <w:r w:rsidR="00FD0206">
          <w:rPr>
            <w:webHidden/>
          </w:rPr>
          <w:tab/>
        </w:r>
        <w:r w:rsidR="00FD0206">
          <w:rPr>
            <w:webHidden/>
          </w:rPr>
          <w:fldChar w:fldCharType="begin"/>
        </w:r>
        <w:r w:rsidR="00FD0206">
          <w:rPr>
            <w:webHidden/>
          </w:rPr>
          <w:instrText xml:space="preserve"> PAGEREF _Toc81512463 \h </w:instrText>
        </w:r>
        <w:r w:rsidR="00FD0206">
          <w:rPr>
            <w:webHidden/>
          </w:rPr>
        </w:r>
        <w:r w:rsidR="00FD0206">
          <w:rPr>
            <w:webHidden/>
          </w:rPr>
          <w:fldChar w:fldCharType="separate"/>
        </w:r>
        <w:r w:rsidR="00FD0206">
          <w:rPr>
            <w:webHidden/>
          </w:rPr>
          <w:t>38</w:t>
        </w:r>
        <w:r w:rsidR="00FD0206">
          <w:rPr>
            <w:webHidden/>
          </w:rPr>
          <w:fldChar w:fldCharType="end"/>
        </w:r>
      </w:hyperlink>
    </w:p>
    <w:p w14:paraId="5D210C13" w14:textId="0C87DAE6" w:rsidR="00FD0206" w:rsidRDefault="007B5E9B">
      <w:pPr>
        <w:pStyle w:val="Inhopg4"/>
        <w:rPr>
          <w:rFonts w:eastAsiaTheme="minorEastAsia"/>
          <w:i w:val="0"/>
          <w:sz w:val="22"/>
          <w:szCs w:val="22"/>
          <w:lang w:eastAsia="nl-BE"/>
        </w:rPr>
      </w:pPr>
      <w:hyperlink w:anchor="_Toc81512464" w:history="1">
        <w:r w:rsidR="00FD0206" w:rsidRPr="00AD63CB">
          <w:rPr>
            <w:rStyle w:val="Hyperlink"/>
          </w:rPr>
          <w:t>1.2.1.6</w:t>
        </w:r>
        <w:r w:rsidR="00FD0206">
          <w:rPr>
            <w:rFonts w:eastAsiaTheme="minorEastAsia"/>
            <w:i w:val="0"/>
            <w:sz w:val="22"/>
            <w:szCs w:val="22"/>
            <w:lang w:eastAsia="nl-BE"/>
          </w:rPr>
          <w:tab/>
        </w:r>
        <w:r w:rsidR="00FD0206" w:rsidRPr="00AD63CB">
          <w:rPr>
            <w:rStyle w:val="Hyperlink"/>
          </w:rPr>
          <w:t>TABEL 4B: Overzicht regulatoir saldo inzake exogene kosten per tariefcomponent</w:t>
        </w:r>
        <w:r w:rsidR="00FD0206">
          <w:rPr>
            <w:webHidden/>
          </w:rPr>
          <w:tab/>
        </w:r>
        <w:r w:rsidR="00FD0206">
          <w:rPr>
            <w:webHidden/>
          </w:rPr>
          <w:fldChar w:fldCharType="begin"/>
        </w:r>
        <w:r w:rsidR="00FD0206">
          <w:rPr>
            <w:webHidden/>
          </w:rPr>
          <w:instrText xml:space="preserve"> PAGEREF _Toc81512464 \h </w:instrText>
        </w:r>
        <w:r w:rsidR="00FD0206">
          <w:rPr>
            <w:webHidden/>
          </w:rPr>
        </w:r>
        <w:r w:rsidR="00FD0206">
          <w:rPr>
            <w:webHidden/>
          </w:rPr>
          <w:fldChar w:fldCharType="separate"/>
        </w:r>
        <w:r w:rsidR="00FD0206">
          <w:rPr>
            <w:webHidden/>
          </w:rPr>
          <w:t>38</w:t>
        </w:r>
        <w:r w:rsidR="00FD0206">
          <w:rPr>
            <w:webHidden/>
          </w:rPr>
          <w:fldChar w:fldCharType="end"/>
        </w:r>
      </w:hyperlink>
    </w:p>
    <w:p w14:paraId="57D924FE" w14:textId="0F56CBBE" w:rsidR="00FD0206" w:rsidRDefault="007B5E9B">
      <w:pPr>
        <w:pStyle w:val="Inhopg4"/>
        <w:rPr>
          <w:rFonts w:eastAsiaTheme="minorEastAsia"/>
          <w:i w:val="0"/>
          <w:sz w:val="22"/>
          <w:szCs w:val="22"/>
          <w:lang w:eastAsia="nl-BE"/>
        </w:rPr>
      </w:pPr>
      <w:hyperlink w:anchor="_Toc81512465" w:history="1">
        <w:r w:rsidR="00FD0206" w:rsidRPr="00AD63CB">
          <w:rPr>
            <w:rStyle w:val="Hyperlink"/>
          </w:rPr>
          <w:t>1.2.1.7</w:t>
        </w:r>
        <w:r w:rsidR="00FD0206">
          <w:rPr>
            <w:rFonts w:eastAsiaTheme="minorEastAsia"/>
            <w:i w:val="0"/>
            <w:sz w:val="22"/>
            <w:szCs w:val="22"/>
            <w:lang w:eastAsia="nl-BE"/>
          </w:rPr>
          <w:tab/>
        </w:r>
        <w:r w:rsidR="00FD0206" w:rsidRPr="00AD63CB">
          <w:rPr>
            <w:rStyle w:val="Hyperlink"/>
          </w:rPr>
          <w:t>TABEL 5A: Opvolging regulatoir saldo inzake volumerisico endogeen budget</w:t>
        </w:r>
        <w:r w:rsidR="00FD0206">
          <w:rPr>
            <w:webHidden/>
          </w:rPr>
          <w:tab/>
        </w:r>
        <w:r w:rsidR="00FD0206">
          <w:rPr>
            <w:webHidden/>
          </w:rPr>
          <w:fldChar w:fldCharType="begin"/>
        </w:r>
        <w:r w:rsidR="00FD0206">
          <w:rPr>
            <w:webHidden/>
          </w:rPr>
          <w:instrText xml:space="preserve"> PAGEREF _Toc81512465 \h </w:instrText>
        </w:r>
        <w:r w:rsidR="00FD0206">
          <w:rPr>
            <w:webHidden/>
          </w:rPr>
        </w:r>
        <w:r w:rsidR="00FD0206">
          <w:rPr>
            <w:webHidden/>
          </w:rPr>
          <w:fldChar w:fldCharType="separate"/>
        </w:r>
        <w:r w:rsidR="00FD0206">
          <w:rPr>
            <w:webHidden/>
          </w:rPr>
          <w:t>41</w:t>
        </w:r>
        <w:r w:rsidR="00FD0206">
          <w:rPr>
            <w:webHidden/>
          </w:rPr>
          <w:fldChar w:fldCharType="end"/>
        </w:r>
      </w:hyperlink>
    </w:p>
    <w:p w14:paraId="406D1A49" w14:textId="70113A94" w:rsidR="00FD0206" w:rsidRDefault="007B5E9B">
      <w:pPr>
        <w:pStyle w:val="Inhopg4"/>
        <w:rPr>
          <w:rFonts w:eastAsiaTheme="minorEastAsia"/>
          <w:i w:val="0"/>
          <w:sz w:val="22"/>
          <w:szCs w:val="22"/>
          <w:lang w:eastAsia="nl-BE"/>
        </w:rPr>
      </w:pPr>
      <w:hyperlink w:anchor="_Toc81512466" w:history="1">
        <w:r w:rsidR="00FD0206" w:rsidRPr="00AD63CB">
          <w:rPr>
            <w:rStyle w:val="Hyperlink"/>
          </w:rPr>
          <w:t>1.2.1.8</w:t>
        </w:r>
        <w:r w:rsidR="00FD0206">
          <w:rPr>
            <w:rFonts w:eastAsiaTheme="minorEastAsia"/>
            <w:i w:val="0"/>
            <w:sz w:val="22"/>
            <w:szCs w:val="22"/>
            <w:lang w:eastAsia="nl-BE"/>
          </w:rPr>
          <w:tab/>
        </w:r>
        <w:r w:rsidR="00FD0206" w:rsidRPr="00AD63CB">
          <w:rPr>
            <w:rStyle w:val="Hyperlink"/>
          </w:rPr>
          <w:t>TABEL 5B: Overzicht regulatoir saldo inzake volumerisico endogeen budget per tariefcomponent</w:t>
        </w:r>
        <w:r w:rsidR="00FD0206">
          <w:rPr>
            <w:webHidden/>
          </w:rPr>
          <w:tab/>
        </w:r>
        <w:r w:rsidR="00FD0206">
          <w:rPr>
            <w:webHidden/>
          </w:rPr>
          <w:fldChar w:fldCharType="begin"/>
        </w:r>
        <w:r w:rsidR="00FD0206">
          <w:rPr>
            <w:webHidden/>
          </w:rPr>
          <w:instrText xml:space="preserve"> PAGEREF _Toc81512466 \h </w:instrText>
        </w:r>
        <w:r w:rsidR="00FD0206">
          <w:rPr>
            <w:webHidden/>
          </w:rPr>
        </w:r>
        <w:r w:rsidR="00FD0206">
          <w:rPr>
            <w:webHidden/>
          </w:rPr>
          <w:fldChar w:fldCharType="separate"/>
        </w:r>
        <w:r w:rsidR="00FD0206">
          <w:rPr>
            <w:webHidden/>
          </w:rPr>
          <w:t>43</w:t>
        </w:r>
        <w:r w:rsidR="00FD0206">
          <w:rPr>
            <w:webHidden/>
          </w:rPr>
          <w:fldChar w:fldCharType="end"/>
        </w:r>
      </w:hyperlink>
    </w:p>
    <w:p w14:paraId="34963F95" w14:textId="7214D427" w:rsidR="00FD0206" w:rsidRDefault="007B5E9B">
      <w:pPr>
        <w:pStyle w:val="Inhopg4"/>
        <w:rPr>
          <w:rFonts w:eastAsiaTheme="minorEastAsia"/>
          <w:i w:val="0"/>
          <w:sz w:val="22"/>
          <w:szCs w:val="22"/>
          <w:lang w:eastAsia="nl-BE"/>
        </w:rPr>
      </w:pPr>
      <w:hyperlink w:anchor="_Toc81512467" w:history="1">
        <w:r w:rsidR="00FD0206" w:rsidRPr="00AD63CB">
          <w:rPr>
            <w:rStyle w:val="Hyperlink"/>
          </w:rPr>
          <w:t>1.2.1.9</w:t>
        </w:r>
        <w:r w:rsidR="00FD0206">
          <w:rPr>
            <w:rFonts w:eastAsiaTheme="minorEastAsia"/>
            <w:i w:val="0"/>
            <w:sz w:val="22"/>
            <w:szCs w:val="22"/>
            <w:lang w:eastAsia="nl-BE"/>
          </w:rPr>
          <w:tab/>
        </w:r>
        <w:r w:rsidR="00FD0206" w:rsidRPr="00AD63CB">
          <w:rPr>
            <w:rStyle w:val="Hyperlink"/>
          </w:rPr>
          <w:t>TABEL 5C: Werkelijke opbrengsten uit periodieke distributienettarieven in boekjaar 20XX (elektriciteit – afname)</w:t>
        </w:r>
        <w:r w:rsidR="00FD0206">
          <w:rPr>
            <w:webHidden/>
          </w:rPr>
          <w:tab/>
        </w:r>
        <w:r w:rsidR="00FD0206">
          <w:rPr>
            <w:webHidden/>
          </w:rPr>
          <w:fldChar w:fldCharType="begin"/>
        </w:r>
        <w:r w:rsidR="00FD0206">
          <w:rPr>
            <w:webHidden/>
          </w:rPr>
          <w:instrText xml:space="preserve"> PAGEREF _Toc81512467 \h </w:instrText>
        </w:r>
        <w:r w:rsidR="00FD0206">
          <w:rPr>
            <w:webHidden/>
          </w:rPr>
        </w:r>
        <w:r w:rsidR="00FD0206">
          <w:rPr>
            <w:webHidden/>
          </w:rPr>
          <w:fldChar w:fldCharType="separate"/>
        </w:r>
        <w:r w:rsidR="00FD0206">
          <w:rPr>
            <w:webHidden/>
          </w:rPr>
          <w:t>44</w:t>
        </w:r>
        <w:r w:rsidR="00FD0206">
          <w:rPr>
            <w:webHidden/>
          </w:rPr>
          <w:fldChar w:fldCharType="end"/>
        </w:r>
      </w:hyperlink>
    </w:p>
    <w:p w14:paraId="03120189" w14:textId="6D6683E5" w:rsidR="00FD0206" w:rsidRDefault="007B5E9B">
      <w:pPr>
        <w:pStyle w:val="Inhopg4"/>
        <w:rPr>
          <w:rFonts w:eastAsiaTheme="minorEastAsia"/>
          <w:i w:val="0"/>
          <w:sz w:val="22"/>
          <w:szCs w:val="22"/>
          <w:lang w:eastAsia="nl-BE"/>
        </w:rPr>
      </w:pPr>
      <w:hyperlink w:anchor="_Toc81512468" w:history="1">
        <w:r w:rsidR="00FD0206" w:rsidRPr="00AD63CB">
          <w:rPr>
            <w:rStyle w:val="Hyperlink"/>
          </w:rPr>
          <w:t>1.2.1.10</w:t>
        </w:r>
        <w:r w:rsidR="00FD0206">
          <w:rPr>
            <w:rFonts w:eastAsiaTheme="minorEastAsia"/>
            <w:i w:val="0"/>
            <w:sz w:val="22"/>
            <w:szCs w:val="22"/>
            <w:lang w:eastAsia="nl-BE"/>
          </w:rPr>
          <w:tab/>
        </w:r>
        <w:r w:rsidR="00FD0206" w:rsidRPr="00AD63CB">
          <w:rPr>
            <w:rStyle w:val="Hyperlink"/>
          </w:rPr>
          <w:t>TABEL 5D: Werkelijke opbrengsten uit periodieke distributienettarieven in boekjaar 20XX (elektriciteit – injectie)</w:t>
        </w:r>
        <w:r w:rsidR="00FD0206">
          <w:rPr>
            <w:webHidden/>
          </w:rPr>
          <w:tab/>
        </w:r>
        <w:r w:rsidR="00FD0206">
          <w:rPr>
            <w:webHidden/>
          </w:rPr>
          <w:fldChar w:fldCharType="begin"/>
        </w:r>
        <w:r w:rsidR="00FD0206">
          <w:rPr>
            <w:webHidden/>
          </w:rPr>
          <w:instrText xml:space="preserve"> PAGEREF _Toc81512468 \h </w:instrText>
        </w:r>
        <w:r w:rsidR="00FD0206">
          <w:rPr>
            <w:webHidden/>
          </w:rPr>
        </w:r>
        <w:r w:rsidR="00FD0206">
          <w:rPr>
            <w:webHidden/>
          </w:rPr>
          <w:fldChar w:fldCharType="separate"/>
        </w:r>
        <w:r w:rsidR="00FD0206">
          <w:rPr>
            <w:webHidden/>
          </w:rPr>
          <w:t>45</w:t>
        </w:r>
        <w:r w:rsidR="00FD0206">
          <w:rPr>
            <w:webHidden/>
          </w:rPr>
          <w:fldChar w:fldCharType="end"/>
        </w:r>
      </w:hyperlink>
    </w:p>
    <w:p w14:paraId="64D1A668" w14:textId="029EF2E7" w:rsidR="00FD0206" w:rsidRDefault="007B5E9B">
      <w:pPr>
        <w:pStyle w:val="Inhopg4"/>
        <w:rPr>
          <w:rFonts w:eastAsiaTheme="minorEastAsia"/>
          <w:i w:val="0"/>
          <w:sz w:val="22"/>
          <w:szCs w:val="22"/>
          <w:lang w:eastAsia="nl-BE"/>
        </w:rPr>
      </w:pPr>
      <w:hyperlink w:anchor="_Toc81512469" w:history="1">
        <w:r w:rsidR="00FD0206" w:rsidRPr="00AD63CB">
          <w:rPr>
            <w:rStyle w:val="Hyperlink"/>
          </w:rPr>
          <w:t>1.2.1.11</w:t>
        </w:r>
        <w:r w:rsidR="00FD0206">
          <w:rPr>
            <w:rFonts w:eastAsiaTheme="minorEastAsia"/>
            <w:i w:val="0"/>
            <w:sz w:val="22"/>
            <w:szCs w:val="22"/>
            <w:lang w:eastAsia="nl-BE"/>
          </w:rPr>
          <w:tab/>
        </w:r>
        <w:r w:rsidR="00FD0206" w:rsidRPr="00AD63CB">
          <w:rPr>
            <w:rStyle w:val="Hyperlink"/>
          </w:rPr>
          <w:t>TABEL 5E: Werkelijke opbrengsten uit periodieke distributienettarieven in boekjaar 20XX (gas - afname)</w:t>
        </w:r>
        <w:r w:rsidR="00FD0206">
          <w:rPr>
            <w:webHidden/>
          </w:rPr>
          <w:tab/>
        </w:r>
        <w:r w:rsidR="00FD0206">
          <w:rPr>
            <w:webHidden/>
          </w:rPr>
          <w:fldChar w:fldCharType="begin"/>
        </w:r>
        <w:r w:rsidR="00FD0206">
          <w:rPr>
            <w:webHidden/>
          </w:rPr>
          <w:instrText xml:space="preserve"> PAGEREF _Toc81512469 \h </w:instrText>
        </w:r>
        <w:r w:rsidR="00FD0206">
          <w:rPr>
            <w:webHidden/>
          </w:rPr>
        </w:r>
        <w:r w:rsidR="00FD0206">
          <w:rPr>
            <w:webHidden/>
          </w:rPr>
          <w:fldChar w:fldCharType="separate"/>
        </w:r>
        <w:r w:rsidR="00FD0206">
          <w:rPr>
            <w:webHidden/>
          </w:rPr>
          <w:t>46</w:t>
        </w:r>
        <w:r w:rsidR="00FD0206">
          <w:rPr>
            <w:webHidden/>
          </w:rPr>
          <w:fldChar w:fldCharType="end"/>
        </w:r>
      </w:hyperlink>
    </w:p>
    <w:p w14:paraId="59E9C21E" w14:textId="40EB1696" w:rsidR="00FD0206" w:rsidRDefault="007B5E9B">
      <w:pPr>
        <w:pStyle w:val="Inhopg4"/>
        <w:rPr>
          <w:rFonts w:eastAsiaTheme="minorEastAsia"/>
          <w:i w:val="0"/>
          <w:sz w:val="22"/>
          <w:szCs w:val="22"/>
          <w:lang w:eastAsia="nl-BE"/>
        </w:rPr>
      </w:pPr>
      <w:hyperlink w:anchor="_Toc81512470" w:history="1">
        <w:r w:rsidR="00FD0206" w:rsidRPr="00AD63CB">
          <w:rPr>
            <w:rStyle w:val="Hyperlink"/>
          </w:rPr>
          <w:t>1.2.1.12</w:t>
        </w:r>
        <w:r w:rsidR="00FD0206">
          <w:rPr>
            <w:rFonts w:eastAsiaTheme="minorEastAsia"/>
            <w:i w:val="0"/>
            <w:sz w:val="22"/>
            <w:szCs w:val="22"/>
            <w:lang w:eastAsia="nl-BE"/>
          </w:rPr>
          <w:tab/>
        </w:r>
        <w:r w:rsidR="00FD0206" w:rsidRPr="00AD63CB">
          <w:rPr>
            <w:rStyle w:val="Hyperlink"/>
          </w:rPr>
          <w:t>TABEL 5F: Werkelijke opbrengsten uit periodieke distributienettarieven in boekjaar 20XX (gas - injectie)</w:t>
        </w:r>
        <w:r w:rsidR="00FD0206">
          <w:rPr>
            <w:webHidden/>
          </w:rPr>
          <w:tab/>
        </w:r>
        <w:r w:rsidR="00FD0206">
          <w:rPr>
            <w:webHidden/>
          </w:rPr>
          <w:fldChar w:fldCharType="begin"/>
        </w:r>
        <w:r w:rsidR="00FD0206">
          <w:rPr>
            <w:webHidden/>
          </w:rPr>
          <w:instrText xml:space="preserve"> PAGEREF _Toc81512470 \h </w:instrText>
        </w:r>
        <w:r w:rsidR="00FD0206">
          <w:rPr>
            <w:webHidden/>
          </w:rPr>
        </w:r>
        <w:r w:rsidR="00FD0206">
          <w:rPr>
            <w:webHidden/>
          </w:rPr>
          <w:fldChar w:fldCharType="separate"/>
        </w:r>
        <w:r w:rsidR="00FD0206">
          <w:rPr>
            <w:webHidden/>
          </w:rPr>
          <w:t>47</w:t>
        </w:r>
        <w:r w:rsidR="00FD0206">
          <w:rPr>
            <w:webHidden/>
          </w:rPr>
          <w:fldChar w:fldCharType="end"/>
        </w:r>
      </w:hyperlink>
    </w:p>
    <w:p w14:paraId="77C8DDAD" w14:textId="7F76C451" w:rsidR="00FD0206" w:rsidRDefault="007B5E9B">
      <w:pPr>
        <w:pStyle w:val="Inhopg4"/>
        <w:rPr>
          <w:rFonts w:eastAsiaTheme="minorEastAsia"/>
          <w:i w:val="0"/>
          <w:sz w:val="22"/>
          <w:szCs w:val="22"/>
          <w:lang w:eastAsia="nl-BE"/>
        </w:rPr>
      </w:pPr>
      <w:hyperlink w:anchor="_Toc81512471" w:history="1">
        <w:r w:rsidR="00FD0206" w:rsidRPr="00AD63CB">
          <w:rPr>
            <w:rStyle w:val="Hyperlink"/>
          </w:rPr>
          <w:t>1.2.1.13</w:t>
        </w:r>
        <w:r w:rsidR="00FD0206">
          <w:rPr>
            <w:rFonts w:eastAsiaTheme="minorEastAsia"/>
            <w:i w:val="0"/>
            <w:sz w:val="22"/>
            <w:szCs w:val="22"/>
            <w:lang w:eastAsia="nl-BE"/>
          </w:rPr>
          <w:tab/>
        </w:r>
        <w:r w:rsidR="00FD0206" w:rsidRPr="00AD63CB">
          <w:rPr>
            <w:rStyle w:val="Hyperlink"/>
          </w:rPr>
          <w:t>TABEL 6A: Opvolging regulatoir saldo inzake herindexering van het budget voor endogene kosten</w:t>
        </w:r>
        <w:r w:rsidR="00FD0206">
          <w:rPr>
            <w:webHidden/>
          </w:rPr>
          <w:tab/>
        </w:r>
        <w:r w:rsidR="00FD0206">
          <w:rPr>
            <w:webHidden/>
          </w:rPr>
          <w:fldChar w:fldCharType="begin"/>
        </w:r>
        <w:r w:rsidR="00FD0206">
          <w:rPr>
            <w:webHidden/>
          </w:rPr>
          <w:instrText xml:space="preserve"> PAGEREF _Toc81512471 \h </w:instrText>
        </w:r>
        <w:r w:rsidR="00FD0206">
          <w:rPr>
            <w:webHidden/>
          </w:rPr>
        </w:r>
        <w:r w:rsidR="00FD0206">
          <w:rPr>
            <w:webHidden/>
          </w:rPr>
          <w:fldChar w:fldCharType="separate"/>
        </w:r>
        <w:r w:rsidR="00FD0206">
          <w:rPr>
            <w:webHidden/>
          </w:rPr>
          <w:t>48</w:t>
        </w:r>
        <w:r w:rsidR="00FD0206">
          <w:rPr>
            <w:webHidden/>
          </w:rPr>
          <w:fldChar w:fldCharType="end"/>
        </w:r>
      </w:hyperlink>
    </w:p>
    <w:p w14:paraId="6FED1B73" w14:textId="15EF834E" w:rsidR="00FD0206" w:rsidRDefault="007B5E9B">
      <w:pPr>
        <w:pStyle w:val="Inhopg4"/>
        <w:rPr>
          <w:rFonts w:eastAsiaTheme="minorEastAsia"/>
          <w:i w:val="0"/>
          <w:sz w:val="22"/>
          <w:szCs w:val="22"/>
          <w:lang w:eastAsia="nl-BE"/>
        </w:rPr>
      </w:pPr>
      <w:hyperlink w:anchor="_Toc81512472" w:history="1">
        <w:r w:rsidR="00FD0206" w:rsidRPr="00AD63CB">
          <w:rPr>
            <w:rStyle w:val="Hyperlink"/>
          </w:rPr>
          <w:t>1.2.1.14</w:t>
        </w:r>
        <w:r w:rsidR="00FD0206">
          <w:rPr>
            <w:rFonts w:eastAsiaTheme="minorEastAsia"/>
            <w:i w:val="0"/>
            <w:sz w:val="22"/>
            <w:szCs w:val="22"/>
            <w:lang w:eastAsia="nl-BE"/>
          </w:rPr>
          <w:tab/>
        </w:r>
        <w:r w:rsidR="00FD0206" w:rsidRPr="00AD63CB">
          <w:rPr>
            <w:rStyle w:val="Hyperlink"/>
          </w:rPr>
          <w:t>TABEL 6B: Overzicht regulatoir saldo inzake herindexering van het budget voor endogene kosten per tariefcomponent</w:t>
        </w:r>
        <w:r w:rsidR="00FD0206">
          <w:rPr>
            <w:webHidden/>
          </w:rPr>
          <w:tab/>
        </w:r>
        <w:r w:rsidR="00FD0206">
          <w:rPr>
            <w:webHidden/>
          </w:rPr>
          <w:fldChar w:fldCharType="begin"/>
        </w:r>
        <w:r w:rsidR="00FD0206">
          <w:rPr>
            <w:webHidden/>
          </w:rPr>
          <w:instrText xml:space="preserve"> PAGEREF _Toc81512472 \h </w:instrText>
        </w:r>
        <w:r w:rsidR="00FD0206">
          <w:rPr>
            <w:webHidden/>
          </w:rPr>
        </w:r>
        <w:r w:rsidR="00FD0206">
          <w:rPr>
            <w:webHidden/>
          </w:rPr>
          <w:fldChar w:fldCharType="separate"/>
        </w:r>
        <w:r w:rsidR="00FD0206">
          <w:rPr>
            <w:webHidden/>
          </w:rPr>
          <w:t>50</w:t>
        </w:r>
        <w:r w:rsidR="00FD0206">
          <w:rPr>
            <w:webHidden/>
          </w:rPr>
          <w:fldChar w:fldCharType="end"/>
        </w:r>
      </w:hyperlink>
    </w:p>
    <w:p w14:paraId="7642F04D" w14:textId="7133EC9E" w:rsidR="00FD0206" w:rsidRDefault="007B5E9B">
      <w:pPr>
        <w:pStyle w:val="Inhopg4"/>
        <w:rPr>
          <w:rFonts w:eastAsiaTheme="minorEastAsia"/>
          <w:i w:val="0"/>
          <w:sz w:val="22"/>
          <w:szCs w:val="22"/>
          <w:lang w:eastAsia="nl-BE"/>
        </w:rPr>
      </w:pPr>
      <w:hyperlink w:anchor="_Toc81512473" w:history="1">
        <w:r w:rsidR="00FD0206" w:rsidRPr="00AD63CB">
          <w:rPr>
            <w:rStyle w:val="Hyperlink"/>
          </w:rPr>
          <w:t>1.2.1.15</w:t>
        </w:r>
        <w:r w:rsidR="00FD0206">
          <w:rPr>
            <w:rFonts w:eastAsiaTheme="minorEastAsia"/>
            <w:i w:val="0"/>
            <w:sz w:val="22"/>
            <w:szCs w:val="22"/>
            <w:lang w:eastAsia="nl-BE"/>
          </w:rPr>
          <w:tab/>
        </w:r>
        <w:r w:rsidR="00FD0206" w:rsidRPr="00AD63CB">
          <w:rPr>
            <w:rStyle w:val="Hyperlink"/>
          </w:rPr>
          <w:t>TABEL 7: Opvolging regulatoir saldo inzake vennootschapsbelasting</w:t>
        </w:r>
        <w:r w:rsidR="00FD0206">
          <w:rPr>
            <w:webHidden/>
          </w:rPr>
          <w:tab/>
        </w:r>
        <w:r w:rsidR="00FD0206">
          <w:rPr>
            <w:webHidden/>
          </w:rPr>
          <w:fldChar w:fldCharType="begin"/>
        </w:r>
        <w:r w:rsidR="00FD0206">
          <w:rPr>
            <w:webHidden/>
          </w:rPr>
          <w:instrText xml:space="preserve"> PAGEREF _Toc81512473 \h </w:instrText>
        </w:r>
        <w:r w:rsidR="00FD0206">
          <w:rPr>
            <w:webHidden/>
          </w:rPr>
        </w:r>
        <w:r w:rsidR="00FD0206">
          <w:rPr>
            <w:webHidden/>
          </w:rPr>
          <w:fldChar w:fldCharType="separate"/>
        </w:r>
        <w:r w:rsidR="00FD0206">
          <w:rPr>
            <w:webHidden/>
          </w:rPr>
          <w:t>51</w:t>
        </w:r>
        <w:r w:rsidR="00FD0206">
          <w:rPr>
            <w:webHidden/>
          </w:rPr>
          <w:fldChar w:fldCharType="end"/>
        </w:r>
      </w:hyperlink>
    </w:p>
    <w:p w14:paraId="0109BEF9" w14:textId="3B132590" w:rsidR="00FD0206" w:rsidRDefault="007B5E9B">
      <w:pPr>
        <w:pStyle w:val="Inhopg4"/>
        <w:rPr>
          <w:rFonts w:eastAsiaTheme="minorEastAsia"/>
          <w:i w:val="0"/>
          <w:sz w:val="22"/>
          <w:szCs w:val="22"/>
          <w:lang w:eastAsia="nl-BE"/>
        </w:rPr>
      </w:pPr>
      <w:hyperlink w:anchor="_Toc81512474" w:history="1">
        <w:r w:rsidR="00FD0206" w:rsidRPr="00AD63CB">
          <w:rPr>
            <w:rStyle w:val="Hyperlink"/>
          </w:rPr>
          <w:t>1.2.1.16</w:t>
        </w:r>
        <w:r w:rsidR="00FD0206">
          <w:rPr>
            <w:rFonts w:eastAsiaTheme="minorEastAsia"/>
            <w:i w:val="0"/>
            <w:sz w:val="22"/>
            <w:szCs w:val="22"/>
            <w:lang w:eastAsia="nl-BE"/>
          </w:rPr>
          <w:tab/>
        </w:r>
        <w:r w:rsidR="00FD0206" w:rsidRPr="00AD63CB">
          <w:rPr>
            <w:rStyle w:val="Hyperlink"/>
          </w:rPr>
          <w:t>TABEL 8: Opvolging regulatoir saldo inzake herwaarderingsmeerwaarden</w:t>
        </w:r>
        <w:r w:rsidR="00FD0206">
          <w:rPr>
            <w:webHidden/>
          </w:rPr>
          <w:tab/>
        </w:r>
        <w:r w:rsidR="00FD0206">
          <w:rPr>
            <w:webHidden/>
          </w:rPr>
          <w:fldChar w:fldCharType="begin"/>
        </w:r>
        <w:r w:rsidR="00FD0206">
          <w:rPr>
            <w:webHidden/>
          </w:rPr>
          <w:instrText xml:space="preserve"> PAGEREF _Toc81512474 \h </w:instrText>
        </w:r>
        <w:r w:rsidR="00FD0206">
          <w:rPr>
            <w:webHidden/>
          </w:rPr>
        </w:r>
        <w:r w:rsidR="00FD0206">
          <w:rPr>
            <w:webHidden/>
          </w:rPr>
          <w:fldChar w:fldCharType="separate"/>
        </w:r>
        <w:r w:rsidR="00FD0206">
          <w:rPr>
            <w:webHidden/>
          </w:rPr>
          <w:t>51</w:t>
        </w:r>
        <w:r w:rsidR="00FD0206">
          <w:rPr>
            <w:webHidden/>
          </w:rPr>
          <w:fldChar w:fldCharType="end"/>
        </w:r>
      </w:hyperlink>
    </w:p>
    <w:p w14:paraId="6DF019D1" w14:textId="09359BCD" w:rsidR="00FD0206" w:rsidRDefault="007B5E9B">
      <w:pPr>
        <w:pStyle w:val="Inhopg4"/>
        <w:rPr>
          <w:rFonts w:eastAsiaTheme="minorEastAsia"/>
          <w:i w:val="0"/>
          <w:sz w:val="22"/>
          <w:szCs w:val="22"/>
          <w:lang w:eastAsia="nl-BE"/>
        </w:rPr>
      </w:pPr>
      <w:hyperlink w:anchor="_Toc81512475" w:history="1">
        <w:r w:rsidR="00FD0206" w:rsidRPr="00AD63CB">
          <w:rPr>
            <w:rStyle w:val="Hyperlink"/>
          </w:rPr>
          <w:t>1.2.1.17</w:t>
        </w:r>
        <w:r w:rsidR="00FD0206">
          <w:rPr>
            <w:rFonts w:eastAsiaTheme="minorEastAsia"/>
            <w:i w:val="0"/>
            <w:sz w:val="22"/>
            <w:szCs w:val="22"/>
            <w:lang w:eastAsia="nl-BE"/>
          </w:rPr>
          <w:tab/>
        </w:r>
        <w:r w:rsidR="00FD0206" w:rsidRPr="00AD63CB">
          <w:rPr>
            <w:rStyle w:val="Hyperlink"/>
          </w:rPr>
          <w:t>TABEL 9: Algemeen overzicht aanvullende endogene termen</w:t>
        </w:r>
        <w:r w:rsidR="00FD0206">
          <w:rPr>
            <w:webHidden/>
          </w:rPr>
          <w:tab/>
        </w:r>
        <w:r w:rsidR="00FD0206">
          <w:rPr>
            <w:webHidden/>
          </w:rPr>
          <w:fldChar w:fldCharType="begin"/>
        </w:r>
        <w:r w:rsidR="00FD0206">
          <w:rPr>
            <w:webHidden/>
          </w:rPr>
          <w:instrText xml:space="preserve"> PAGEREF _Toc81512475 \h </w:instrText>
        </w:r>
        <w:r w:rsidR="00FD0206">
          <w:rPr>
            <w:webHidden/>
          </w:rPr>
        </w:r>
        <w:r w:rsidR="00FD0206">
          <w:rPr>
            <w:webHidden/>
          </w:rPr>
          <w:fldChar w:fldCharType="separate"/>
        </w:r>
        <w:r w:rsidR="00FD0206">
          <w:rPr>
            <w:webHidden/>
          </w:rPr>
          <w:t>52</w:t>
        </w:r>
        <w:r w:rsidR="00FD0206">
          <w:rPr>
            <w:webHidden/>
          </w:rPr>
          <w:fldChar w:fldCharType="end"/>
        </w:r>
      </w:hyperlink>
    </w:p>
    <w:p w14:paraId="2F1B4C15" w14:textId="25B8E172" w:rsidR="00FD0206" w:rsidRDefault="007B5E9B">
      <w:pPr>
        <w:pStyle w:val="Inhopg4"/>
        <w:rPr>
          <w:rFonts w:eastAsiaTheme="minorEastAsia"/>
          <w:i w:val="0"/>
          <w:sz w:val="22"/>
          <w:szCs w:val="22"/>
          <w:lang w:eastAsia="nl-BE"/>
        </w:rPr>
      </w:pPr>
      <w:hyperlink w:anchor="_Toc81512476" w:history="1">
        <w:r w:rsidR="00FD0206" w:rsidRPr="00AD63CB">
          <w:rPr>
            <w:rStyle w:val="Hyperlink"/>
          </w:rPr>
          <w:t>1.2.1.18</w:t>
        </w:r>
        <w:r w:rsidR="00FD0206">
          <w:rPr>
            <w:rFonts w:eastAsiaTheme="minorEastAsia"/>
            <w:i w:val="0"/>
            <w:sz w:val="22"/>
            <w:szCs w:val="22"/>
            <w:lang w:eastAsia="nl-BE"/>
          </w:rPr>
          <w:tab/>
        </w:r>
        <w:r w:rsidR="00FD0206" w:rsidRPr="00AD63CB">
          <w:rPr>
            <w:rStyle w:val="Hyperlink"/>
          </w:rPr>
          <w:t>TABEL 10: Fiscaal niet-aftrekbare afschrijvingen op herwaarderingsmeerwaarden</w:t>
        </w:r>
        <w:r w:rsidR="00FD0206">
          <w:rPr>
            <w:webHidden/>
          </w:rPr>
          <w:tab/>
        </w:r>
        <w:r w:rsidR="00FD0206">
          <w:rPr>
            <w:webHidden/>
          </w:rPr>
          <w:fldChar w:fldCharType="begin"/>
        </w:r>
        <w:r w:rsidR="00FD0206">
          <w:rPr>
            <w:webHidden/>
          </w:rPr>
          <w:instrText xml:space="preserve"> PAGEREF _Toc81512476 \h </w:instrText>
        </w:r>
        <w:r w:rsidR="00FD0206">
          <w:rPr>
            <w:webHidden/>
          </w:rPr>
        </w:r>
        <w:r w:rsidR="00FD0206">
          <w:rPr>
            <w:webHidden/>
          </w:rPr>
          <w:fldChar w:fldCharType="separate"/>
        </w:r>
        <w:r w:rsidR="00FD0206">
          <w:rPr>
            <w:webHidden/>
          </w:rPr>
          <w:t>53</w:t>
        </w:r>
        <w:r w:rsidR="00FD0206">
          <w:rPr>
            <w:webHidden/>
          </w:rPr>
          <w:fldChar w:fldCharType="end"/>
        </w:r>
      </w:hyperlink>
    </w:p>
    <w:p w14:paraId="454288E3" w14:textId="4C52E1AC" w:rsidR="00FD0206" w:rsidRDefault="007B5E9B">
      <w:pPr>
        <w:pStyle w:val="Inhopg4"/>
        <w:rPr>
          <w:rFonts w:eastAsiaTheme="minorEastAsia"/>
          <w:i w:val="0"/>
          <w:sz w:val="22"/>
          <w:szCs w:val="22"/>
          <w:lang w:eastAsia="nl-BE"/>
        </w:rPr>
      </w:pPr>
      <w:hyperlink w:anchor="_Toc81512477" w:history="1">
        <w:r w:rsidR="00FD0206" w:rsidRPr="00AD63CB">
          <w:rPr>
            <w:rStyle w:val="Hyperlink"/>
          </w:rPr>
          <w:t>1.2.1.19</w:t>
        </w:r>
        <w:r w:rsidR="00FD0206">
          <w:rPr>
            <w:rFonts w:eastAsiaTheme="minorEastAsia"/>
            <w:i w:val="0"/>
            <w:sz w:val="22"/>
            <w:szCs w:val="22"/>
            <w:lang w:eastAsia="nl-BE"/>
          </w:rPr>
          <w:tab/>
        </w:r>
        <w:r w:rsidR="00FD0206" w:rsidRPr="00AD63CB">
          <w:rPr>
            <w:rStyle w:val="Hyperlink"/>
          </w:rPr>
          <w:t>TABEL 11: Fiscaal niet-aftrekbare heffing volgens het Decreet houdende het Grootschalig Referentiebestand</w:t>
        </w:r>
        <w:r w:rsidR="00FD0206">
          <w:rPr>
            <w:webHidden/>
          </w:rPr>
          <w:tab/>
        </w:r>
        <w:r w:rsidR="00FD0206">
          <w:rPr>
            <w:webHidden/>
          </w:rPr>
          <w:fldChar w:fldCharType="begin"/>
        </w:r>
        <w:r w:rsidR="00FD0206">
          <w:rPr>
            <w:webHidden/>
          </w:rPr>
          <w:instrText xml:space="preserve"> PAGEREF _Toc81512477 \h </w:instrText>
        </w:r>
        <w:r w:rsidR="00FD0206">
          <w:rPr>
            <w:webHidden/>
          </w:rPr>
        </w:r>
        <w:r w:rsidR="00FD0206">
          <w:rPr>
            <w:webHidden/>
          </w:rPr>
          <w:fldChar w:fldCharType="separate"/>
        </w:r>
        <w:r w:rsidR="00FD0206">
          <w:rPr>
            <w:webHidden/>
          </w:rPr>
          <w:t>53</w:t>
        </w:r>
        <w:r w:rsidR="00FD0206">
          <w:rPr>
            <w:webHidden/>
          </w:rPr>
          <w:fldChar w:fldCharType="end"/>
        </w:r>
      </w:hyperlink>
    </w:p>
    <w:p w14:paraId="248A3C57" w14:textId="71FB8F74" w:rsidR="00FD0206" w:rsidRDefault="007B5E9B">
      <w:pPr>
        <w:pStyle w:val="Inhopg4"/>
        <w:rPr>
          <w:rFonts w:eastAsiaTheme="minorEastAsia"/>
          <w:i w:val="0"/>
          <w:sz w:val="22"/>
          <w:szCs w:val="22"/>
          <w:lang w:eastAsia="nl-BE"/>
        </w:rPr>
      </w:pPr>
      <w:hyperlink w:anchor="_Toc81512478" w:history="1">
        <w:r w:rsidR="00FD0206" w:rsidRPr="00AD63CB">
          <w:rPr>
            <w:rStyle w:val="Hyperlink"/>
          </w:rPr>
          <w:t>1.2.1.20</w:t>
        </w:r>
        <w:r w:rsidR="00FD0206">
          <w:rPr>
            <w:rFonts w:eastAsiaTheme="minorEastAsia"/>
            <w:i w:val="0"/>
            <w:sz w:val="22"/>
            <w:szCs w:val="22"/>
            <w:lang w:eastAsia="nl-BE"/>
          </w:rPr>
          <w:tab/>
        </w:r>
        <w:r w:rsidR="00FD0206" w:rsidRPr="00AD63CB">
          <w:rPr>
            <w:rStyle w:val="Hyperlink"/>
          </w:rPr>
          <w:t>TABEL 12: Notionele intrestaftrek</w:t>
        </w:r>
        <w:r w:rsidR="00FD0206">
          <w:rPr>
            <w:webHidden/>
          </w:rPr>
          <w:tab/>
        </w:r>
        <w:r w:rsidR="00FD0206">
          <w:rPr>
            <w:webHidden/>
          </w:rPr>
          <w:fldChar w:fldCharType="begin"/>
        </w:r>
        <w:r w:rsidR="00FD0206">
          <w:rPr>
            <w:webHidden/>
          </w:rPr>
          <w:instrText xml:space="preserve"> PAGEREF _Toc81512478 \h </w:instrText>
        </w:r>
        <w:r w:rsidR="00FD0206">
          <w:rPr>
            <w:webHidden/>
          </w:rPr>
        </w:r>
        <w:r w:rsidR="00FD0206">
          <w:rPr>
            <w:webHidden/>
          </w:rPr>
          <w:fldChar w:fldCharType="separate"/>
        </w:r>
        <w:r w:rsidR="00FD0206">
          <w:rPr>
            <w:webHidden/>
          </w:rPr>
          <w:t>53</w:t>
        </w:r>
        <w:r w:rsidR="00FD0206">
          <w:rPr>
            <w:webHidden/>
          </w:rPr>
          <w:fldChar w:fldCharType="end"/>
        </w:r>
      </w:hyperlink>
    </w:p>
    <w:p w14:paraId="6639A135" w14:textId="5B9A6DB5" w:rsidR="00FD0206" w:rsidRDefault="007B5E9B">
      <w:pPr>
        <w:pStyle w:val="Inhopg4"/>
        <w:rPr>
          <w:rFonts w:eastAsiaTheme="minorEastAsia"/>
          <w:i w:val="0"/>
          <w:sz w:val="22"/>
          <w:szCs w:val="22"/>
          <w:lang w:eastAsia="nl-BE"/>
        </w:rPr>
      </w:pPr>
      <w:hyperlink w:anchor="_Toc81512479" w:history="1">
        <w:r w:rsidR="00FD0206" w:rsidRPr="00AD63CB">
          <w:rPr>
            <w:rStyle w:val="Hyperlink"/>
          </w:rPr>
          <w:t>1.2.1.21</w:t>
        </w:r>
        <w:r w:rsidR="00FD0206">
          <w:rPr>
            <w:rFonts w:eastAsiaTheme="minorEastAsia"/>
            <w:i w:val="0"/>
            <w:sz w:val="22"/>
            <w:szCs w:val="22"/>
            <w:lang w:eastAsia="nl-BE"/>
          </w:rPr>
          <w:tab/>
        </w:r>
        <w:r w:rsidR="00FD0206" w:rsidRPr="00AD63CB">
          <w:rPr>
            <w:rStyle w:val="Hyperlink"/>
          </w:rPr>
          <w:t>TABEL 13A: Afschrijvingen van de meerwaarde op basis van de historische indexatie (materiële vaste activa) - elektriciteit</w:t>
        </w:r>
        <w:r w:rsidR="00FD0206">
          <w:rPr>
            <w:webHidden/>
          </w:rPr>
          <w:tab/>
        </w:r>
        <w:r w:rsidR="00FD0206">
          <w:rPr>
            <w:webHidden/>
          </w:rPr>
          <w:fldChar w:fldCharType="begin"/>
        </w:r>
        <w:r w:rsidR="00FD0206">
          <w:rPr>
            <w:webHidden/>
          </w:rPr>
          <w:instrText xml:space="preserve"> PAGEREF _Toc81512479 \h </w:instrText>
        </w:r>
        <w:r w:rsidR="00FD0206">
          <w:rPr>
            <w:webHidden/>
          </w:rPr>
        </w:r>
        <w:r w:rsidR="00FD0206">
          <w:rPr>
            <w:webHidden/>
          </w:rPr>
          <w:fldChar w:fldCharType="separate"/>
        </w:r>
        <w:r w:rsidR="00FD0206">
          <w:rPr>
            <w:webHidden/>
          </w:rPr>
          <w:t>53</w:t>
        </w:r>
        <w:r w:rsidR="00FD0206">
          <w:rPr>
            <w:webHidden/>
          </w:rPr>
          <w:fldChar w:fldCharType="end"/>
        </w:r>
      </w:hyperlink>
    </w:p>
    <w:p w14:paraId="4BEA52A8" w14:textId="65E94271" w:rsidR="00FD0206" w:rsidRDefault="007B5E9B">
      <w:pPr>
        <w:pStyle w:val="Inhopg4"/>
        <w:rPr>
          <w:rFonts w:eastAsiaTheme="minorEastAsia"/>
          <w:i w:val="0"/>
          <w:sz w:val="22"/>
          <w:szCs w:val="22"/>
          <w:lang w:eastAsia="nl-BE"/>
        </w:rPr>
      </w:pPr>
      <w:hyperlink w:anchor="_Toc81512480" w:history="1">
        <w:r w:rsidR="00FD0206" w:rsidRPr="00AD63CB">
          <w:rPr>
            <w:rStyle w:val="Hyperlink"/>
          </w:rPr>
          <w:t>1.2.1.22</w:t>
        </w:r>
        <w:r w:rsidR="00FD0206">
          <w:rPr>
            <w:rFonts w:eastAsiaTheme="minorEastAsia"/>
            <w:i w:val="0"/>
            <w:sz w:val="22"/>
            <w:szCs w:val="22"/>
            <w:lang w:eastAsia="nl-BE"/>
          </w:rPr>
          <w:tab/>
        </w:r>
        <w:r w:rsidR="00FD0206" w:rsidRPr="00AD63CB">
          <w:rPr>
            <w:rStyle w:val="Hyperlink"/>
          </w:rPr>
          <w:t>TABEL 13B: Afschrijvingen van de meerwaarde op basis van de iRAB (materiële vaste activa) - elektriciteit</w:t>
        </w:r>
        <w:r w:rsidR="00FD0206">
          <w:rPr>
            <w:webHidden/>
          </w:rPr>
          <w:tab/>
        </w:r>
        <w:r w:rsidR="00FD0206">
          <w:rPr>
            <w:webHidden/>
          </w:rPr>
          <w:fldChar w:fldCharType="begin"/>
        </w:r>
        <w:r w:rsidR="00FD0206">
          <w:rPr>
            <w:webHidden/>
          </w:rPr>
          <w:instrText xml:space="preserve"> PAGEREF _Toc81512480 \h </w:instrText>
        </w:r>
        <w:r w:rsidR="00FD0206">
          <w:rPr>
            <w:webHidden/>
          </w:rPr>
        </w:r>
        <w:r w:rsidR="00FD0206">
          <w:rPr>
            <w:webHidden/>
          </w:rPr>
          <w:fldChar w:fldCharType="separate"/>
        </w:r>
        <w:r w:rsidR="00FD0206">
          <w:rPr>
            <w:webHidden/>
          </w:rPr>
          <w:t>54</w:t>
        </w:r>
        <w:r w:rsidR="00FD0206">
          <w:rPr>
            <w:webHidden/>
          </w:rPr>
          <w:fldChar w:fldCharType="end"/>
        </w:r>
      </w:hyperlink>
    </w:p>
    <w:p w14:paraId="7771E027" w14:textId="7B3E02B0" w:rsidR="00FD0206" w:rsidRDefault="007B5E9B">
      <w:pPr>
        <w:pStyle w:val="Inhopg4"/>
        <w:rPr>
          <w:rFonts w:eastAsiaTheme="minorEastAsia"/>
          <w:i w:val="0"/>
          <w:sz w:val="22"/>
          <w:szCs w:val="22"/>
          <w:lang w:eastAsia="nl-BE"/>
        </w:rPr>
      </w:pPr>
      <w:hyperlink w:anchor="_Toc81512481" w:history="1">
        <w:r w:rsidR="00FD0206" w:rsidRPr="00AD63CB">
          <w:rPr>
            <w:rStyle w:val="Hyperlink"/>
          </w:rPr>
          <w:t>1.2.1.23</w:t>
        </w:r>
        <w:r w:rsidR="00FD0206">
          <w:rPr>
            <w:rFonts w:eastAsiaTheme="minorEastAsia"/>
            <w:i w:val="0"/>
            <w:sz w:val="22"/>
            <w:szCs w:val="22"/>
            <w:lang w:eastAsia="nl-BE"/>
          </w:rPr>
          <w:tab/>
        </w:r>
        <w:r w:rsidR="00FD0206" w:rsidRPr="00AD63CB">
          <w:rPr>
            <w:rStyle w:val="Hyperlink"/>
          </w:rPr>
          <w:t>TABEL 13C: Afschrijvingen van de meerwaarde op basis van de historische indexatie (materiële vaste activa) - gas</w:t>
        </w:r>
        <w:r w:rsidR="00FD0206">
          <w:rPr>
            <w:webHidden/>
          </w:rPr>
          <w:tab/>
        </w:r>
        <w:r w:rsidR="00FD0206">
          <w:rPr>
            <w:webHidden/>
          </w:rPr>
          <w:fldChar w:fldCharType="begin"/>
        </w:r>
        <w:r w:rsidR="00FD0206">
          <w:rPr>
            <w:webHidden/>
          </w:rPr>
          <w:instrText xml:space="preserve"> PAGEREF _Toc81512481 \h </w:instrText>
        </w:r>
        <w:r w:rsidR="00FD0206">
          <w:rPr>
            <w:webHidden/>
          </w:rPr>
        </w:r>
        <w:r w:rsidR="00FD0206">
          <w:rPr>
            <w:webHidden/>
          </w:rPr>
          <w:fldChar w:fldCharType="separate"/>
        </w:r>
        <w:r w:rsidR="00FD0206">
          <w:rPr>
            <w:webHidden/>
          </w:rPr>
          <w:t>55</w:t>
        </w:r>
        <w:r w:rsidR="00FD0206">
          <w:rPr>
            <w:webHidden/>
          </w:rPr>
          <w:fldChar w:fldCharType="end"/>
        </w:r>
      </w:hyperlink>
    </w:p>
    <w:p w14:paraId="66B1324D" w14:textId="3961C1C1" w:rsidR="00FD0206" w:rsidRDefault="007B5E9B">
      <w:pPr>
        <w:pStyle w:val="Inhopg4"/>
        <w:rPr>
          <w:rFonts w:eastAsiaTheme="minorEastAsia"/>
          <w:i w:val="0"/>
          <w:sz w:val="22"/>
          <w:szCs w:val="22"/>
          <w:lang w:eastAsia="nl-BE"/>
        </w:rPr>
      </w:pPr>
      <w:hyperlink w:anchor="_Toc81512482" w:history="1">
        <w:r w:rsidR="00FD0206" w:rsidRPr="00AD63CB">
          <w:rPr>
            <w:rStyle w:val="Hyperlink"/>
          </w:rPr>
          <w:t>1.2.1.24</w:t>
        </w:r>
        <w:r w:rsidR="00FD0206">
          <w:rPr>
            <w:rFonts w:eastAsiaTheme="minorEastAsia"/>
            <w:i w:val="0"/>
            <w:sz w:val="22"/>
            <w:szCs w:val="22"/>
            <w:lang w:eastAsia="nl-BE"/>
          </w:rPr>
          <w:tab/>
        </w:r>
        <w:r w:rsidR="00FD0206" w:rsidRPr="00AD63CB">
          <w:rPr>
            <w:rStyle w:val="Hyperlink"/>
          </w:rPr>
          <w:t>TABEL 13D: Afschrijvingen van de meerwaarde op basis van de iRAB (materiële vaste activa) - gas</w:t>
        </w:r>
        <w:r w:rsidR="00FD0206">
          <w:rPr>
            <w:webHidden/>
          </w:rPr>
          <w:tab/>
        </w:r>
        <w:r w:rsidR="00FD0206">
          <w:rPr>
            <w:webHidden/>
          </w:rPr>
          <w:fldChar w:fldCharType="begin"/>
        </w:r>
        <w:r w:rsidR="00FD0206">
          <w:rPr>
            <w:webHidden/>
          </w:rPr>
          <w:instrText xml:space="preserve"> PAGEREF _Toc81512482 \h </w:instrText>
        </w:r>
        <w:r w:rsidR="00FD0206">
          <w:rPr>
            <w:webHidden/>
          </w:rPr>
        </w:r>
        <w:r w:rsidR="00FD0206">
          <w:rPr>
            <w:webHidden/>
          </w:rPr>
          <w:fldChar w:fldCharType="separate"/>
        </w:r>
        <w:r w:rsidR="00FD0206">
          <w:rPr>
            <w:webHidden/>
          </w:rPr>
          <w:t>56</w:t>
        </w:r>
        <w:r w:rsidR="00FD0206">
          <w:rPr>
            <w:webHidden/>
          </w:rPr>
          <w:fldChar w:fldCharType="end"/>
        </w:r>
      </w:hyperlink>
    </w:p>
    <w:p w14:paraId="36E390CF" w14:textId="3E4F21C7" w:rsidR="00FD0206" w:rsidRDefault="007B5E9B">
      <w:pPr>
        <w:pStyle w:val="Inhopg4"/>
        <w:rPr>
          <w:rFonts w:eastAsiaTheme="minorEastAsia"/>
          <w:i w:val="0"/>
          <w:sz w:val="22"/>
          <w:szCs w:val="22"/>
          <w:lang w:eastAsia="nl-BE"/>
        </w:rPr>
      </w:pPr>
      <w:hyperlink w:anchor="_Toc81512483" w:history="1">
        <w:r w:rsidR="00FD0206" w:rsidRPr="00AD63CB">
          <w:rPr>
            <w:rStyle w:val="Hyperlink"/>
          </w:rPr>
          <w:t>1.2.1.25</w:t>
        </w:r>
        <w:r w:rsidR="00FD0206">
          <w:rPr>
            <w:rFonts w:eastAsiaTheme="minorEastAsia"/>
            <w:i w:val="0"/>
            <w:sz w:val="22"/>
            <w:szCs w:val="22"/>
            <w:lang w:eastAsia="nl-BE"/>
          </w:rPr>
          <w:tab/>
        </w:r>
        <w:r w:rsidR="00FD0206" w:rsidRPr="00AD63CB">
          <w:rPr>
            <w:rStyle w:val="Hyperlink"/>
          </w:rPr>
          <w:t>TABEL 14: Kapitaalkostvergoeding herwaarderingsmeerwaarden</w:t>
        </w:r>
        <w:r w:rsidR="00FD0206">
          <w:rPr>
            <w:webHidden/>
          </w:rPr>
          <w:tab/>
        </w:r>
        <w:r w:rsidR="00FD0206">
          <w:rPr>
            <w:webHidden/>
          </w:rPr>
          <w:fldChar w:fldCharType="begin"/>
        </w:r>
        <w:r w:rsidR="00FD0206">
          <w:rPr>
            <w:webHidden/>
          </w:rPr>
          <w:instrText xml:space="preserve"> PAGEREF _Toc81512483 \h </w:instrText>
        </w:r>
        <w:r w:rsidR="00FD0206">
          <w:rPr>
            <w:webHidden/>
          </w:rPr>
        </w:r>
        <w:r w:rsidR="00FD0206">
          <w:rPr>
            <w:webHidden/>
          </w:rPr>
          <w:fldChar w:fldCharType="separate"/>
        </w:r>
        <w:r w:rsidR="00FD0206">
          <w:rPr>
            <w:webHidden/>
          </w:rPr>
          <w:t>56</w:t>
        </w:r>
        <w:r w:rsidR="00FD0206">
          <w:rPr>
            <w:webHidden/>
          </w:rPr>
          <w:fldChar w:fldCharType="end"/>
        </w:r>
      </w:hyperlink>
    </w:p>
    <w:p w14:paraId="5337310F" w14:textId="3D7D01F2" w:rsidR="00FD0206" w:rsidRDefault="007B5E9B">
      <w:pPr>
        <w:pStyle w:val="Inhopg2"/>
        <w:rPr>
          <w:rFonts w:eastAsiaTheme="minorEastAsia"/>
          <w:lang w:eastAsia="nl-BE"/>
        </w:rPr>
      </w:pPr>
      <w:hyperlink w:anchor="_Toc81512484" w:history="1">
        <w:r w:rsidR="00FD0206" w:rsidRPr="00AD63CB">
          <w:rPr>
            <w:rStyle w:val="Hyperlink"/>
          </w:rPr>
          <w:t>1.3</w:t>
        </w:r>
        <w:r w:rsidR="00FD0206">
          <w:rPr>
            <w:rFonts w:eastAsiaTheme="minorEastAsia"/>
            <w:lang w:eastAsia="nl-BE"/>
          </w:rPr>
          <w:tab/>
        </w:r>
        <w:r w:rsidR="00FD0206" w:rsidRPr="00AD63CB">
          <w:rPr>
            <w:rStyle w:val="Hyperlink"/>
          </w:rPr>
          <w:t>Invulinstructie Bijlage 5: Jaarlijks ex-post rapporteringsmodel endogene kosten 2021-2024</w:t>
        </w:r>
        <w:r w:rsidR="00FD0206">
          <w:rPr>
            <w:webHidden/>
          </w:rPr>
          <w:tab/>
        </w:r>
        <w:r w:rsidR="00FD0206">
          <w:rPr>
            <w:webHidden/>
          </w:rPr>
          <w:fldChar w:fldCharType="begin"/>
        </w:r>
        <w:r w:rsidR="00FD0206">
          <w:rPr>
            <w:webHidden/>
          </w:rPr>
          <w:instrText xml:space="preserve"> PAGEREF _Toc81512484 \h </w:instrText>
        </w:r>
        <w:r w:rsidR="00FD0206">
          <w:rPr>
            <w:webHidden/>
          </w:rPr>
        </w:r>
        <w:r w:rsidR="00FD0206">
          <w:rPr>
            <w:webHidden/>
          </w:rPr>
          <w:fldChar w:fldCharType="separate"/>
        </w:r>
        <w:r w:rsidR="00FD0206">
          <w:rPr>
            <w:webHidden/>
          </w:rPr>
          <w:t>56</w:t>
        </w:r>
        <w:r w:rsidR="00FD0206">
          <w:rPr>
            <w:webHidden/>
          </w:rPr>
          <w:fldChar w:fldCharType="end"/>
        </w:r>
      </w:hyperlink>
    </w:p>
    <w:p w14:paraId="076200D1" w14:textId="66FE3A6B" w:rsidR="00FD0206" w:rsidRDefault="007B5E9B">
      <w:pPr>
        <w:pStyle w:val="Inhopg3"/>
        <w:rPr>
          <w:rFonts w:eastAsiaTheme="minorEastAsia"/>
          <w:sz w:val="22"/>
          <w:szCs w:val="22"/>
          <w:lang w:eastAsia="nl-BE"/>
        </w:rPr>
      </w:pPr>
      <w:hyperlink w:anchor="_Toc81512485" w:history="1">
        <w:r w:rsidR="00FD0206" w:rsidRPr="00AD63CB">
          <w:rPr>
            <w:rStyle w:val="Hyperlink"/>
          </w:rPr>
          <w:t>1.3.1</w:t>
        </w:r>
        <w:r w:rsidR="00FD0206">
          <w:rPr>
            <w:rFonts w:eastAsiaTheme="minorEastAsia"/>
            <w:sz w:val="22"/>
            <w:szCs w:val="22"/>
            <w:lang w:eastAsia="nl-BE"/>
          </w:rPr>
          <w:tab/>
        </w:r>
        <w:r w:rsidR="00FD0206" w:rsidRPr="00AD63CB">
          <w:rPr>
            <w:rStyle w:val="Hyperlink"/>
          </w:rPr>
          <w:t>Algemene invulinstructie</w:t>
        </w:r>
        <w:r w:rsidR="00FD0206">
          <w:rPr>
            <w:webHidden/>
          </w:rPr>
          <w:tab/>
        </w:r>
        <w:r w:rsidR="00FD0206">
          <w:rPr>
            <w:webHidden/>
          </w:rPr>
          <w:fldChar w:fldCharType="begin"/>
        </w:r>
        <w:r w:rsidR="00FD0206">
          <w:rPr>
            <w:webHidden/>
          </w:rPr>
          <w:instrText xml:space="preserve"> PAGEREF _Toc81512485 \h </w:instrText>
        </w:r>
        <w:r w:rsidR="00FD0206">
          <w:rPr>
            <w:webHidden/>
          </w:rPr>
        </w:r>
        <w:r w:rsidR="00FD0206">
          <w:rPr>
            <w:webHidden/>
          </w:rPr>
          <w:fldChar w:fldCharType="separate"/>
        </w:r>
        <w:r w:rsidR="00FD0206">
          <w:rPr>
            <w:webHidden/>
          </w:rPr>
          <w:t>57</w:t>
        </w:r>
        <w:r w:rsidR="00FD0206">
          <w:rPr>
            <w:webHidden/>
          </w:rPr>
          <w:fldChar w:fldCharType="end"/>
        </w:r>
      </w:hyperlink>
    </w:p>
    <w:p w14:paraId="55C608C6" w14:textId="5CEE4DC9" w:rsidR="00FD0206" w:rsidRDefault="007B5E9B">
      <w:pPr>
        <w:pStyle w:val="Inhopg4"/>
        <w:rPr>
          <w:rFonts w:eastAsiaTheme="minorEastAsia"/>
          <w:i w:val="0"/>
          <w:sz w:val="22"/>
          <w:szCs w:val="22"/>
          <w:lang w:eastAsia="nl-BE"/>
        </w:rPr>
      </w:pPr>
      <w:hyperlink w:anchor="_Toc81512486" w:history="1">
        <w:r w:rsidR="00FD0206" w:rsidRPr="00AD63CB">
          <w:rPr>
            <w:rStyle w:val="Hyperlink"/>
          </w:rPr>
          <w:t>1.3.1.1</w:t>
        </w:r>
        <w:r w:rsidR="00FD0206">
          <w:rPr>
            <w:rFonts w:eastAsiaTheme="minorEastAsia"/>
            <w:i w:val="0"/>
            <w:sz w:val="22"/>
            <w:szCs w:val="22"/>
            <w:lang w:eastAsia="nl-BE"/>
          </w:rPr>
          <w:tab/>
        </w:r>
        <w:r w:rsidR="00FD0206" w:rsidRPr="00AD63CB">
          <w:rPr>
            <w:rStyle w:val="Hyperlink"/>
          </w:rPr>
          <w:t>TITELBLAD</w:t>
        </w:r>
        <w:r w:rsidR="00FD0206">
          <w:rPr>
            <w:webHidden/>
          </w:rPr>
          <w:tab/>
        </w:r>
        <w:r w:rsidR="00FD0206">
          <w:rPr>
            <w:webHidden/>
          </w:rPr>
          <w:fldChar w:fldCharType="begin"/>
        </w:r>
        <w:r w:rsidR="00FD0206">
          <w:rPr>
            <w:webHidden/>
          </w:rPr>
          <w:instrText xml:space="preserve"> PAGEREF _Toc81512486 \h </w:instrText>
        </w:r>
        <w:r w:rsidR="00FD0206">
          <w:rPr>
            <w:webHidden/>
          </w:rPr>
        </w:r>
        <w:r w:rsidR="00FD0206">
          <w:rPr>
            <w:webHidden/>
          </w:rPr>
          <w:fldChar w:fldCharType="separate"/>
        </w:r>
        <w:r w:rsidR="00FD0206">
          <w:rPr>
            <w:webHidden/>
          </w:rPr>
          <w:t>58</w:t>
        </w:r>
        <w:r w:rsidR="00FD0206">
          <w:rPr>
            <w:webHidden/>
          </w:rPr>
          <w:fldChar w:fldCharType="end"/>
        </w:r>
      </w:hyperlink>
    </w:p>
    <w:p w14:paraId="294B6C46" w14:textId="2CF9B27B" w:rsidR="00FD0206" w:rsidRDefault="007B5E9B">
      <w:pPr>
        <w:pStyle w:val="Inhopg4"/>
        <w:rPr>
          <w:rFonts w:eastAsiaTheme="minorEastAsia"/>
          <w:i w:val="0"/>
          <w:sz w:val="22"/>
          <w:szCs w:val="22"/>
          <w:lang w:eastAsia="nl-BE"/>
        </w:rPr>
      </w:pPr>
      <w:hyperlink w:anchor="_Toc81512487" w:history="1">
        <w:r w:rsidR="00FD0206" w:rsidRPr="00AD63CB">
          <w:rPr>
            <w:rStyle w:val="Hyperlink"/>
          </w:rPr>
          <w:t>1.3.1.2</w:t>
        </w:r>
        <w:r w:rsidR="00FD0206">
          <w:rPr>
            <w:rFonts w:eastAsiaTheme="minorEastAsia"/>
            <w:i w:val="0"/>
            <w:sz w:val="22"/>
            <w:szCs w:val="22"/>
            <w:lang w:eastAsia="nl-BE"/>
          </w:rPr>
          <w:tab/>
        </w:r>
        <w:r w:rsidR="00FD0206" w:rsidRPr="00AD63CB">
          <w:rPr>
            <w:rStyle w:val="Hyperlink"/>
          </w:rPr>
          <w:t>ASSUMPTIES</w:t>
        </w:r>
        <w:r w:rsidR="00FD0206">
          <w:rPr>
            <w:webHidden/>
          </w:rPr>
          <w:tab/>
        </w:r>
        <w:r w:rsidR="00FD0206">
          <w:rPr>
            <w:webHidden/>
          </w:rPr>
          <w:fldChar w:fldCharType="begin"/>
        </w:r>
        <w:r w:rsidR="00FD0206">
          <w:rPr>
            <w:webHidden/>
          </w:rPr>
          <w:instrText xml:space="preserve"> PAGEREF _Toc81512487 \h </w:instrText>
        </w:r>
        <w:r w:rsidR="00FD0206">
          <w:rPr>
            <w:webHidden/>
          </w:rPr>
        </w:r>
        <w:r w:rsidR="00FD0206">
          <w:rPr>
            <w:webHidden/>
          </w:rPr>
          <w:fldChar w:fldCharType="separate"/>
        </w:r>
        <w:r w:rsidR="00FD0206">
          <w:rPr>
            <w:webHidden/>
          </w:rPr>
          <w:t>59</w:t>
        </w:r>
        <w:r w:rsidR="00FD0206">
          <w:rPr>
            <w:webHidden/>
          </w:rPr>
          <w:fldChar w:fldCharType="end"/>
        </w:r>
      </w:hyperlink>
    </w:p>
    <w:p w14:paraId="4D8572D3" w14:textId="2DB911DF" w:rsidR="00FD0206" w:rsidRDefault="007B5E9B">
      <w:pPr>
        <w:pStyle w:val="Inhopg4"/>
        <w:rPr>
          <w:rFonts w:eastAsiaTheme="minorEastAsia"/>
          <w:i w:val="0"/>
          <w:sz w:val="22"/>
          <w:szCs w:val="22"/>
          <w:lang w:eastAsia="nl-BE"/>
        </w:rPr>
      </w:pPr>
      <w:hyperlink w:anchor="_Toc81512488" w:history="1">
        <w:r w:rsidR="00FD0206" w:rsidRPr="00AD63CB">
          <w:rPr>
            <w:rStyle w:val="Hyperlink"/>
          </w:rPr>
          <w:t>1.3.1.3</w:t>
        </w:r>
        <w:r w:rsidR="00FD0206">
          <w:rPr>
            <w:rFonts w:eastAsiaTheme="minorEastAsia"/>
            <w:i w:val="0"/>
            <w:sz w:val="22"/>
            <w:szCs w:val="22"/>
            <w:lang w:eastAsia="nl-BE"/>
          </w:rPr>
          <w:tab/>
        </w:r>
        <w:r w:rsidR="00FD0206" w:rsidRPr="00AD63CB">
          <w:rPr>
            <w:rStyle w:val="Hyperlink"/>
          </w:rPr>
          <w:t>TABEL 1: Balans (algemene boekhouding) voor boekjaar 20XX</w:t>
        </w:r>
        <w:r w:rsidR="00FD0206">
          <w:rPr>
            <w:webHidden/>
          </w:rPr>
          <w:tab/>
        </w:r>
        <w:r w:rsidR="00FD0206">
          <w:rPr>
            <w:webHidden/>
          </w:rPr>
          <w:fldChar w:fldCharType="begin"/>
        </w:r>
        <w:r w:rsidR="00FD0206">
          <w:rPr>
            <w:webHidden/>
          </w:rPr>
          <w:instrText xml:space="preserve"> PAGEREF _Toc81512488 \h </w:instrText>
        </w:r>
        <w:r w:rsidR="00FD0206">
          <w:rPr>
            <w:webHidden/>
          </w:rPr>
        </w:r>
        <w:r w:rsidR="00FD0206">
          <w:rPr>
            <w:webHidden/>
          </w:rPr>
          <w:fldChar w:fldCharType="separate"/>
        </w:r>
        <w:r w:rsidR="00FD0206">
          <w:rPr>
            <w:webHidden/>
          </w:rPr>
          <w:t>59</w:t>
        </w:r>
        <w:r w:rsidR="00FD0206">
          <w:rPr>
            <w:webHidden/>
          </w:rPr>
          <w:fldChar w:fldCharType="end"/>
        </w:r>
      </w:hyperlink>
    </w:p>
    <w:p w14:paraId="1392E7BD" w14:textId="2C6C8D7E" w:rsidR="00FD0206" w:rsidRDefault="007B5E9B">
      <w:pPr>
        <w:pStyle w:val="Inhopg4"/>
        <w:rPr>
          <w:rFonts w:eastAsiaTheme="minorEastAsia"/>
          <w:i w:val="0"/>
          <w:sz w:val="22"/>
          <w:szCs w:val="22"/>
          <w:lang w:eastAsia="nl-BE"/>
        </w:rPr>
      </w:pPr>
      <w:hyperlink w:anchor="_Toc81512489" w:history="1">
        <w:r w:rsidR="00FD0206" w:rsidRPr="00AD63CB">
          <w:rPr>
            <w:rStyle w:val="Hyperlink"/>
          </w:rPr>
          <w:t>1.3.1.4</w:t>
        </w:r>
        <w:r w:rsidR="00FD0206">
          <w:rPr>
            <w:rFonts w:eastAsiaTheme="minorEastAsia"/>
            <w:i w:val="0"/>
            <w:sz w:val="22"/>
            <w:szCs w:val="22"/>
            <w:lang w:eastAsia="nl-BE"/>
          </w:rPr>
          <w:tab/>
        </w:r>
        <w:r w:rsidR="00FD0206" w:rsidRPr="00AD63CB">
          <w:rPr>
            <w:rStyle w:val="Hyperlink"/>
          </w:rPr>
          <w:t>TABEL 2: Resultatenrekening (algemene boekhouding) voor boekjaar 20XX</w:t>
        </w:r>
        <w:r w:rsidR="00FD0206">
          <w:rPr>
            <w:webHidden/>
          </w:rPr>
          <w:tab/>
        </w:r>
        <w:r w:rsidR="00FD0206">
          <w:rPr>
            <w:webHidden/>
          </w:rPr>
          <w:fldChar w:fldCharType="begin"/>
        </w:r>
        <w:r w:rsidR="00FD0206">
          <w:rPr>
            <w:webHidden/>
          </w:rPr>
          <w:instrText xml:space="preserve"> PAGEREF _Toc81512489 \h </w:instrText>
        </w:r>
        <w:r w:rsidR="00FD0206">
          <w:rPr>
            <w:webHidden/>
          </w:rPr>
        </w:r>
        <w:r w:rsidR="00FD0206">
          <w:rPr>
            <w:webHidden/>
          </w:rPr>
          <w:fldChar w:fldCharType="separate"/>
        </w:r>
        <w:r w:rsidR="00FD0206">
          <w:rPr>
            <w:webHidden/>
          </w:rPr>
          <w:t>59</w:t>
        </w:r>
        <w:r w:rsidR="00FD0206">
          <w:rPr>
            <w:webHidden/>
          </w:rPr>
          <w:fldChar w:fldCharType="end"/>
        </w:r>
      </w:hyperlink>
    </w:p>
    <w:p w14:paraId="05D10465" w14:textId="06BBBB78" w:rsidR="00FD0206" w:rsidRDefault="007B5E9B">
      <w:pPr>
        <w:pStyle w:val="Inhopg4"/>
        <w:rPr>
          <w:rFonts w:eastAsiaTheme="minorEastAsia"/>
          <w:i w:val="0"/>
          <w:sz w:val="22"/>
          <w:szCs w:val="22"/>
          <w:lang w:eastAsia="nl-BE"/>
        </w:rPr>
      </w:pPr>
      <w:hyperlink w:anchor="_Toc81512490" w:history="1">
        <w:r w:rsidR="00FD0206" w:rsidRPr="00AD63CB">
          <w:rPr>
            <w:rStyle w:val="Hyperlink"/>
          </w:rPr>
          <w:t>1.3.1.5</w:t>
        </w:r>
        <w:r w:rsidR="00FD0206">
          <w:rPr>
            <w:rFonts w:eastAsiaTheme="minorEastAsia"/>
            <w:i w:val="0"/>
            <w:sz w:val="22"/>
            <w:szCs w:val="22"/>
            <w:lang w:eastAsia="nl-BE"/>
          </w:rPr>
          <w:tab/>
        </w:r>
        <w:r w:rsidR="00FD0206" w:rsidRPr="00AD63CB">
          <w:rPr>
            <w:rStyle w:val="Hyperlink"/>
          </w:rPr>
          <w:t>TABEL 3: Algemeen overzicht endogene kosten</w:t>
        </w:r>
        <w:r w:rsidR="00FD0206">
          <w:rPr>
            <w:webHidden/>
          </w:rPr>
          <w:tab/>
        </w:r>
        <w:r w:rsidR="00FD0206">
          <w:rPr>
            <w:webHidden/>
          </w:rPr>
          <w:fldChar w:fldCharType="begin"/>
        </w:r>
        <w:r w:rsidR="00FD0206">
          <w:rPr>
            <w:webHidden/>
          </w:rPr>
          <w:instrText xml:space="preserve"> PAGEREF _Toc81512490 \h </w:instrText>
        </w:r>
        <w:r w:rsidR="00FD0206">
          <w:rPr>
            <w:webHidden/>
          </w:rPr>
        </w:r>
        <w:r w:rsidR="00FD0206">
          <w:rPr>
            <w:webHidden/>
          </w:rPr>
          <w:fldChar w:fldCharType="separate"/>
        </w:r>
        <w:r w:rsidR="00FD0206">
          <w:rPr>
            <w:webHidden/>
          </w:rPr>
          <w:t>60</w:t>
        </w:r>
        <w:r w:rsidR="00FD0206">
          <w:rPr>
            <w:webHidden/>
          </w:rPr>
          <w:fldChar w:fldCharType="end"/>
        </w:r>
      </w:hyperlink>
    </w:p>
    <w:p w14:paraId="3EA25C26" w14:textId="6BA544AA" w:rsidR="00FD0206" w:rsidRDefault="007B5E9B">
      <w:pPr>
        <w:pStyle w:val="Inhopg4"/>
        <w:rPr>
          <w:rFonts w:eastAsiaTheme="minorEastAsia"/>
          <w:i w:val="0"/>
          <w:sz w:val="22"/>
          <w:szCs w:val="22"/>
          <w:lang w:eastAsia="nl-BE"/>
        </w:rPr>
      </w:pPr>
      <w:hyperlink w:anchor="_Toc81512491" w:history="1">
        <w:r w:rsidR="00FD0206" w:rsidRPr="00AD63CB">
          <w:rPr>
            <w:rStyle w:val="Hyperlink"/>
          </w:rPr>
          <w:t>1.3.1.6</w:t>
        </w:r>
        <w:r w:rsidR="00FD0206">
          <w:rPr>
            <w:rFonts w:eastAsiaTheme="minorEastAsia"/>
            <w:i w:val="0"/>
            <w:sz w:val="22"/>
            <w:szCs w:val="22"/>
            <w:lang w:eastAsia="nl-BE"/>
          </w:rPr>
          <w:tab/>
        </w:r>
        <w:r w:rsidR="00FD0206" w:rsidRPr="00AD63CB">
          <w:rPr>
            <w:rStyle w:val="Hyperlink"/>
          </w:rPr>
          <w:t>TABEL 4: Afschrijvingen immateriële vaste activa</w:t>
        </w:r>
        <w:r w:rsidR="00FD0206">
          <w:rPr>
            <w:webHidden/>
          </w:rPr>
          <w:tab/>
        </w:r>
        <w:r w:rsidR="00FD0206">
          <w:rPr>
            <w:webHidden/>
          </w:rPr>
          <w:fldChar w:fldCharType="begin"/>
        </w:r>
        <w:r w:rsidR="00FD0206">
          <w:rPr>
            <w:webHidden/>
          </w:rPr>
          <w:instrText xml:space="preserve"> PAGEREF _Toc81512491 \h </w:instrText>
        </w:r>
        <w:r w:rsidR="00FD0206">
          <w:rPr>
            <w:webHidden/>
          </w:rPr>
        </w:r>
        <w:r w:rsidR="00FD0206">
          <w:rPr>
            <w:webHidden/>
          </w:rPr>
          <w:fldChar w:fldCharType="separate"/>
        </w:r>
        <w:r w:rsidR="00FD0206">
          <w:rPr>
            <w:webHidden/>
          </w:rPr>
          <w:t>61</w:t>
        </w:r>
        <w:r w:rsidR="00FD0206">
          <w:rPr>
            <w:webHidden/>
          </w:rPr>
          <w:fldChar w:fldCharType="end"/>
        </w:r>
      </w:hyperlink>
    </w:p>
    <w:p w14:paraId="75B60640" w14:textId="15009766" w:rsidR="00FD0206" w:rsidRDefault="007B5E9B">
      <w:pPr>
        <w:pStyle w:val="Inhopg4"/>
        <w:rPr>
          <w:rFonts w:eastAsiaTheme="minorEastAsia"/>
          <w:i w:val="0"/>
          <w:sz w:val="22"/>
          <w:szCs w:val="22"/>
          <w:lang w:eastAsia="nl-BE"/>
        </w:rPr>
      </w:pPr>
      <w:hyperlink w:anchor="_Toc81512492" w:history="1">
        <w:r w:rsidR="00FD0206" w:rsidRPr="00AD63CB">
          <w:rPr>
            <w:rStyle w:val="Hyperlink"/>
          </w:rPr>
          <w:t>1.3.1.7</w:t>
        </w:r>
        <w:r w:rsidR="00FD0206">
          <w:rPr>
            <w:rFonts w:eastAsiaTheme="minorEastAsia"/>
            <w:i w:val="0"/>
            <w:sz w:val="22"/>
            <w:szCs w:val="22"/>
            <w:lang w:eastAsia="nl-BE"/>
          </w:rPr>
          <w:tab/>
        </w:r>
        <w:r w:rsidR="00FD0206" w:rsidRPr="00AD63CB">
          <w:rPr>
            <w:rStyle w:val="Hyperlink"/>
          </w:rPr>
          <w:t>TABEL 5A: Afschrijvingen van de historische aanschaffingswaarde (materiële vaste activa) - elektriciteit</w:t>
        </w:r>
        <w:r w:rsidR="00FD0206">
          <w:rPr>
            <w:webHidden/>
          </w:rPr>
          <w:tab/>
        </w:r>
        <w:r w:rsidR="00FD0206">
          <w:rPr>
            <w:webHidden/>
          </w:rPr>
          <w:fldChar w:fldCharType="begin"/>
        </w:r>
        <w:r w:rsidR="00FD0206">
          <w:rPr>
            <w:webHidden/>
          </w:rPr>
          <w:instrText xml:space="preserve"> PAGEREF _Toc81512492 \h </w:instrText>
        </w:r>
        <w:r w:rsidR="00FD0206">
          <w:rPr>
            <w:webHidden/>
          </w:rPr>
        </w:r>
        <w:r w:rsidR="00FD0206">
          <w:rPr>
            <w:webHidden/>
          </w:rPr>
          <w:fldChar w:fldCharType="separate"/>
        </w:r>
        <w:r w:rsidR="00FD0206">
          <w:rPr>
            <w:webHidden/>
          </w:rPr>
          <w:t>61</w:t>
        </w:r>
        <w:r w:rsidR="00FD0206">
          <w:rPr>
            <w:webHidden/>
          </w:rPr>
          <w:fldChar w:fldCharType="end"/>
        </w:r>
      </w:hyperlink>
    </w:p>
    <w:p w14:paraId="631ACD65" w14:textId="380DBC69" w:rsidR="00FD0206" w:rsidRDefault="007B5E9B">
      <w:pPr>
        <w:pStyle w:val="Inhopg4"/>
        <w:rPr>
          <w:rFonts w:eastAsiaTheme="minorEastAsia"/>
          <w:i w:val="0"/>
          <w:sz w:val="22"/>
          <w:szCs w:val="22"/>
          <w:lang w:eastAsia="nl-BE"/>
        </w:rPr>
      </w:pPr>
      <w:hyperlink w:anchor="_Toc81512493" w:history="1">
        <w:r w:rsidR="00FD0206" w:rsidRPr="00AD63CB">
          <w:rPr>
            <w:rStyle w:val="Hyperlink"/>
          </w:rPr>
          <w:t>1.3.1.8</w:t>
        </w:r>
        <w:r w:rsidR="00FD0206">
          <w:rPr>
            <w:rFonts w:eastAsiaTheme="minorEastAsia"/>
            <w:i w:val="0"/>
            <w:sz w:val="22"/>
            <w:szCs w:val="22"/>
            <w:lang w:eastAsia="nl-BE"/>
          </w:rPr>
          <w:tab/>
        </w:r>
        <w:r w:rsidR="00FD0206" w:rsidRPr="00AD63CB">
          <w:rPr>
            <w:rStyle w:val="Hyperlink"/>
          </w:rPr>
          <w:t>TABEL 5B: Afschrijvingen van de historische aanschaffingswaarde (materiële vaste activa) - gas</w:t>
        </w:r>
        <w:r w:rsidR="00FD0206">
          <w:rPr>
            <w:webHidden/>
          </w:rPr>
          <w:tab/>
        </w:r>
        <w:r w:rsidR="00FD0206">
          <w:rPr>
            <w:webHidden/>
          </w:rPr>
          <w:fldChar w:fldCharType="begin"/>
        </w:r>
        <w:r w:rsidR="00FD0206">
          <w:rPr>
            <w:webHidden/>
          </w:rPr>
          <w:instrText xml:space="preserve"> PAGEREF _Toc81512493 \h </w:instrText>
        </w:r>
        <w:r w:rsidR="00FD0206">
          <w:rPr>
            <w:webHidden/>
          </w:rPr>
        </w:r>
        <w:r w:rsidR="00FD0206">
          <w:rPr>
            <w:webHidden/>
          </w:rPr>
          <w:fldChar w:fldCharType="separate"/>
        </w:r>
        <w:r w:rsidR="00FD0206">
          <w:rPr>
            <w:webHidden/>
          </w:rPr>
          <w:t>62</w:t>
        </w:r>
        <w:r w:rsidR="00FD0206">
          <w:rPr>
            <w:webHidden/>
          </w:rPr>
          <w:fldChar w:fldCharType="end"/>
        </w:r>
      </w:hyperlink>
    </w:p>
    <w:p w14:paraId="1646772F" w14:textId="576AF700" w:rsidR="00FD0206" w:rsidRDefault="007B5E9B">
      <w:pPr>
        <w:pStyle w:val="Inhopg4"/>
        <w:rPr>
          <w:rFonts w:eastAsiaTheme="minorEastAsia"/>
          <w:i w:val="0"/>
          <w:sz w:val="22"/>
          <w:szCs w:val="22"/>
          <w:lang w:eastAsia="nl-BE"/>
        </w:rPr>
      </w:pPr>
      <w:hyperlink w:anchor="_Toc81512494" w:history="1">
        <w:r w:rsidR="00FD0206" w:rsidRPr="00AD63CB">
          <w:rPr>
            <w:rStyle w:val="Hyperlink"/>
          </w:rPr>
          <w:t>1.3.1.9</w:t>
        </w:r>
        <w:r w:rsidR="00FD0206">
          <w:rPr>
            <w:rFonts w:eastAsiaTheme="minorEastAsia"/>
            <w:i w:val="0"/>
            <w:sz w:val="22"/>
            <w:szCs w:val="22"/>
            <w:lang w:eastAsia="nl-BE"/>
          </w:rPr>
          <w:tab/>
        </w:r>
        <w:r w:rsidR="00FD0206" w:rsidRPr="00AD63CB">
          <w:rPr>
            <w:rStyle w:val="Hyperlink"/>
          </w:rPr>
          <w:t>TABEL 6: Evolutie nettobedrijfskapitaal (NBK)</w:t>
        </w:r>
        <w:r w:rsidR="00FD0206">
          <w:rPr>
            <w:webHidden/>
          </w:rPr>
          <w:tab/>
        </w:r>
        <w:r w:rsidR="00FD0206">
          <w:rPr>
            <w:webHidden/>
          </w:rPr>
          <w:fldChar w:fldCharType="begin"/>
        </w:r>
        <w:r w:rsidR="00FD0206">
          <w:rPr>
            <w:webHidden/>
          </w:rPr>
          <w:instrText xml:space="preserve"> PAGEREF _Toc81512494 \h </w:instrText>
        </w:r>
        <w:r w:rsidR="00FD0206">
          <w:rPr>
            <w:webHidden/>
          </w:rPr>
        </w:r>
        <w:r w:rsidR="00FD0206">
          <w:rPr>
            <w:webHidden/>
          </w:rPr>
          <w:fldChar w:fldCharType="separate"/>
        </w:r>
        <w:r w:rsidR="00FD0206">
          <w:rPr>
            <w:webHidden/>
          </w:rPr>
          <w:t>63</w:t>
        </w:r>
        <w:r w:rsidR="00FD0206">
          <w:rPr>
            <w:webHidden/>
          </w:rPr>
          <w:fldChar w:fldCharType="end"/>
        </w:r>
      </w:hyperlink>
    </w:p>
    <w:p w14:paraId="2856F13C" w14:textId="1186503A" w:rsidR="00FD0206" w:rsidRDefault="007B5E9B">
      <w:pPr>
        <w:pStyle w:val="Inhopg4"/>
        <w:rPr>
          <w:rFonts w:eastAsiaTheme="minorEastAsia"/>
          <w:i w:val="0"/>
          <w:sz w:val="22"/>
          <w:szCs w:val="22"/>
          <w:lang w:eastAsia="nl-BE"/>
        </w:rPr>
      </w:pPr>
      <w:hyperlink w:anchor="_Toc81512495" w:history="1">
        <w:r w:rsidR="00FD0206" w:rsidRPr="00AD63CB">
          <w:rPr>
            <w:rStyle w:val="Hyperlink"/>
          </w:rPr>
          <w:t>1.3.1.10</w:t>
        </w:r>
        <w:r w:rsidR="00FD0206">
          <w:rPr>
            <w:rFonts w:eastAsiaTheme="minorEastAsia"/>
            <w:i w:val="0"/>
            <w:sz w:val="22"/>
            <w:szCs w:val="22"/>
            <w:lang w:eastAsia="nl-BE"/>
          </w:rPr>
          <w:tab/>
        </w:r>
        <w:r w:rsidR="00FD0206" w:rsidRPr="00AD63CB">
          <w:rPr>
            <w:rStyle w:val="Hyperlink"/>
          </w:rPr>
          <w:t>TABEL 7: Evolutie van de RAB-waarde (excl. herwaarderingsmeerwaarden)</w:t>
        </w:r>
        <w:r w:rsidR="00FD0206">
          <w:rPr>
            <w:webHidden/>
          </w:rPr>
          <w:tab/>
        </w:r>
        <w:r w:rsidR="00FD0206">
          <w:rPr>
            <w:webHidden/>
          </w:rPr>
          <w:fldChar w:fldCharType="begin"/>
        </w:r>
        <w:r w:rsidR="00FD0206">
          <w:rPr>
            <w:webHidden/>
          </w:rPr>
          <w:instrText xml:space="preserve"> PAGEREF _Toc81512495 \h </w:instrText>
        </w:r>
        <w:r w:rsidR="00FD0206">
          <w:rPr>
            <w:webHidden/>
          </w:rPr>
        </w:r>
        <w:r w:rsidR="00FD0206">
          <w:rPr>
            <w:webHidden/>
          </w:rPr>
          <w:fldChar w:fldCharType="separate"/>
        </w:r>
        <w:r w:rsidR="00FD0206">
          <w:rPr>
            <w:webHidden/>
          </w:rPr>
          <w:t>64</w:t>
        </w:r>
        <w:r w:rsidR="00FD0206">
          <w:rPr>
            <w:webHidden/>
          </w:rPr>
          <w:fldChar w:fldCharType="end"/>
        </w:r>
      </w:hyperlink>
    </w:p>
    <w:p w14:paraId="2A715640" w14:textId="223B1EA5" w:rsidR="00FD0206" w:rsidRDefault="007B5E9B">
      <w:pPr>
        <w:pStyle w:val="Inhopg4"/>
        <w:rPr>
          <w:rFonts w:eastAsiaTheme="minorEastAsia"/>
          <w:i w:val="0"/>
          <w:sz w:val="22"/>
          <w:szCs w:val="22"/>
          <w:lang w:eastAsia="nl-BE"/>
        </w:rPr>
      </w:pPr>
      <w:hyperlink w:anchor="_Toc81512496" w:history="1">
        <w:r w:rsidR="00FD0206" w:rsidRPr="00AD63CB">
          <w:rPr>
            <w:rStyle w:val="Hyperlink"/>
          </w:rPr>
          <w:t>1.3.1.11</w:t>
        </w:r>
        <w:r w:rsidR="00FD0206">
          <w:rPr>
            <w:rFonts w:eastAsiaTheme="minorEastAsia"/>
            <w:i w:val="0"/>
            <w:sz w:val="22"/>
            <w:szCs w:val="22"/>
            <w:lang w:eastAsia="nl-BE"/>
          </w:rPr>
          <w:tab/>
        </w:r>
        <w:r w:rsidR="00FD0206" w:rsidRPr="00AD63CB">
          <w:rPr>
            <w:rStyle w:val="Hyperlink"/>
          </w:rPr>
          <w:t>TABEL 8: Operationele kosten</w:t>
        </w:r>
        <w:r w:rsidR="00FD0206">
          <w:rPr>
            <w:webHidden/>
          </w:rPr>
          <w:tab/>
        </w:r>
        <w:r w:rsidR="00FD0206">
          <w:rPr>
            <w:webHidden/>
          </w:rPr>
          <w:fldChar w:fldCharType="begin"/>
        </w:r>
        <w:r w:rsidR="00FD0206">
          <w:rPr>
            <w:webHidden/>
          </w:rPr>
          <w:instrText xml:space="preserve"> PAGEREF _Toc81512496 \h </w:instrText>
        </w:r>
        <w:r w:rsidR="00FD0206">
          <w:rPr>
            <w:webHidden/>
          </w:rPr>
        </w:r>
        <w:r w:rsidR="00FD0206">
          <w:rPr>
            <w:webHidden/>
          </w:rPr>
          <w:fldChar w:fldCharType="separate"/>
        </w:r>
        <w:r w:rsidR="00FD0206">
          <w:rPr>
            <w:webHidden/>
          </w:rPr>
          <w:t>64</w:t>
        </w:r>
        <w:r w:rsidR="00FD0206">
          <w:rPr>
            <w:webHidden/>
          </w:rPr>
          <w:fldChar w:fldCharType="end"/>
        </w:r>
      </w:hyperlink>
    </w:p>
    <w:p w14:paraId="5906ABB7" w14:textId="232A6ED1" w:rsidR="00FD0206" w:rsidRDefault="007B5E9B">
      <w:pPr>
        <w:pStyle w:val="Inhopg4"/>
        <w:rPr>
          <w:rFonts w:eastAsiaTheme="minorEastAsia"/>
          <w:i w:val="0"/>
          <w:sz w:val="22"/>
          <w:szCs w:val="22"/>
          <w:lang w:eastAsia="nl-BE"/>
        </w:rPr>
      </w:pPr>
      <w:hyperlink w:anchor="_Toc81512497" w:history="1">
        <w:r w:rsidR="00FD0206" w:rsidRPr="00AD63CB">
          <w:rPr>
            <w:rStyle w:val="Hyperlink"/>
          </w:rPr>
          <w:t>1.3.1.12</w:t>
        </w:r>
        <w:r w:rsidR="00FD0206">
          <w:rPr>
            <w:rFonts w:eastAsiaTheme="minorEastAsia"/>
            <w:i w:val="0"/>
            <w:sz w:val="22"/>
            <w:szCs w:val="22"/>
            <w:lang w:eastAsia="nl-BE"/>
          </w:rPr>
          <w:tab/>
        </w:r>
        <w:r w:rsidR="00FD0206" w:rsidRPr="00AD63CB">
          <w:rPr>
            <w:rStyle w:val="Hyperlink"/>
          </w:rPr>
          <w:t>TABEL 9: Operationele opbrengsten</w:t>
        </w:r>
        <w:r w:rsidR="00FD0206">
          <w:rPr>
            <w:webHidden/>
          </w:rPr>
          <w:tab/>
        </w:r>
        <w:r w:rsidR="00FD0206">
          <w:rPr>
            <w:webHidden/>
          </w:rPr>
          <w:fldChar w:fldCharType="begin"/>
        </w:r>
        <w:r w:rsidR="00FD0206">
          <w:rPr>
            <w:webHidden/>
          </w:rPr>
          <w:instrText xml:space="preserve"> PAGEREF _Toc81512497 \h </w:instrText>
        </w:r>
        <w:r w:rsidR="00FD0206">
          <w:rPr>
            <w:webHidden/>
          </w:rPr>
        </w:r>
        <w:r w:rsidR="00FD0206">
          <w:rPr>
            <w:webHidden/>
          </w:rPr>
          <w:fldChar w:fldCharType="separate"/>
        </w:r>
        <w:r w:rsidR="00FD0206">
          <w:rPr>
            <w:webHidden/>
          </w:rPr>
          <w:t>65</w:t>
        </w:r>
        <w:r w:rsidR="00FD0206">
          <w:rPr>
            <w:webHidden/>
          </w:rPr>
          <w:fldChar w:fldCharType="end"/>
        </w:r>
      </w:hyperlink>
    </w:p>
    <w:p w14:paraId="6FF67CD8" w14:textId="02D4E7D8" w:rsidR="00FD0206" w:rsidRDefault="007B5E9B">
      <w:pPr>
        <w:pStyle w:val="Inhopg4"/>
        <w:rPr>
          <w:rFonts w:eastAsiaTheme="minorEastAsia"/>
          <w:i w:val="0"/>
          <w:sz w:val="22"/>
          <w:szCs w:val="22"/>
          <w:lang w:eastAsia="nl-BE"/>
        </w:rPr>
      </w:pPr>
      <w:hyperlink w:anchor="_Toc81512498" w:history="1">
        <w:r w:rsidR="00FD0206" w:rsidRPr="00AD63CB">
          <w:rPr>
            <w:rStyle w:val="Hyperlink"/>
          </w:rPr>
          <w:t>1.3.1.13</w:t>
        </w:r>
        <w:r w:rsidR="00FD0206">
          <w:rPr>
            <w:rFonts w:eastAsiaTheme="minorEastAsia"/>
            <w:i w:val="0"/>
            <w:sz w:val="22"/>
            <w:szCs w:val="22"/>
            <w:lang w:eastAsia="nl-BE"/>
          </w:rPr>
          <w:tab/>
        </w:r>
        <w:r w:rsidR="00FD0206" w:rsidRPr="00AD63CB">
          <w:rPr>
            <w:rStyle w:val="Hyperlink"/>
          </w:rPr>
          <w:t>TABEL 10A: Overzicht gefactureerde volumes voor het jaar 20XX - ELEKTRICITEIT</w:t>
        </w:r>
        <w:r w:rsidR="00FD0206">
          <w:rPr>
            <w:webHidden/>
          </w:rPr>
          <w:tab/>
        </w:r>
        <w:r w:rsidR="00FD0206">
          <w:rPr>
            <w:webHidden/>
          </w:rPr>
          <w:fldChar w:fldCharType="begin"/>
        </w:r>
        <w:r w:rsidR="00FD0206">
          <w:rPr>
            <w:webHidden/>
          </w:rPr>
          <w:instrText xml:space="preserve"> PAGEREF _Toc81512498 \h </w:instrText>
        </w:r>
        <w:r w:rsidR="00FD0206">
          <w:rPr>
            <w:webHidden/>
          </w:rPr>
        </w:r>
        <w:r w:rsidR="00FD0206">
          <w:rPr>
            <w:webHidden/>
          </w:rPr>
          <w:fldChar w:fldCharType="separate"/>
        </w:r>
        <w:r w:rsidR="00FD0206">
          <w:rPr>
            <w:webHidden/>
          </w:rPr>
          <w:t>66</w:t>
        </w:r>
        <w:r w:rsidR="00FD0206">
          <w:rPr>
            <w:webHidden/>
          </w:rPr>
          <w:fldChar w:fldCharType="end"/>
        </w:r>
      </w:hyperlink>
    </w:p>
    <w:p w14:paraId="5E2063DA" w14:textId="53027046" w:rsidR="00FD0206" w:rsidRDefault="007B5E9B">
      <w:pPr>
        <w:pStyle w:val="Inhopg4"/>
        <w:rPr>
          <w:rFonts w:eastAsiaTheme="minorEastAsia"/>
          <w:i w:val="0"/>
          <w:sz w:val="22"/>
          <w:szCs w:val="22"/>
          <w:lang w:eastAsia="nl-BE"/>
        </w:rPr>
      </w:pPr>
      <w:hyperlink w:anchor="_Toc81512499" w:history="1">
        <w:r w:rsidR="00FD0206" w:rsidRPr="00AD63CB">
          <w:rPr>
            <w:rStyle w:val="Hyperlink"/>
          </w:rPr>
          <w:t>1.3.1.14</w:t>
        </w:r>
        <w:r w:rsidR="00FD0206">
          <w:rPr>
            <w:rFonts w:eastAsiaTheme="minorEastAsia"/>
            <w:i w:val="0"/>
            <w:sz w:val="22"/>
            <w:szCs w:val="22"/>
            <w:lang w:eastAsia="nl-BE"/>
          </w:rPr>
          <w:tab/>
        </w:r>
        <w:r w:rsidR="00FD0206" w:rsidRPr="00AD63CB">
          <w:rPr>
            <w:rStyle w:val="Hyperlink"/>
          </w:rPr>
          <w:t>TABEL 10B: Overzicht gefactureerde volumes voor het jaar 20XX - GAS</w:t>
        </w:r>
        <w:r w:rsidR="00FD0206">
          <w:rPr>
            <w:webHidden/>
          </w:rPr>
          <w:tab/>
        </w:r>
        <w:r w:rsidR="00FD0206">
          <w:rPr>
            <w:webHidden/>
          </w:rPr>
          <w:fldChar w:fldCharType="begin"/>
        </w:r>
        <w:r w:rsidR="00FD0206">
          <w:rPr>
            <w:webHidden/>
          </w:rPr>
          <w:instrText xml:space="preserve"> PAGEREF _Toc81512499 \h </w:instrText>
        </w:r>
        <w:r w:rsidR="00FD0206">
          <w:rPr>
            <w:webHidden/>
          </w:rPr>
        </w:r>
        <w:r w:rsidR="00FD0206">
          <w:rPr>
            <w:webHidden/>
          </w:rPr>
          <w:fldChar w:fldCharType="separate"/>
        </w:r>
        <w:r w:rsidR="00FD0206">
          <w:rPr>
            <w:webHidden/>
          </w:rPr>
          <w:t>66</w:t>
        </w:r>
        <w:r w:rsidR="00FD0206">
          <w:rPr>
            <w:webHidden/>
          </w:rPr>
          <w:fldChar w:fldCharType="end"/>
        </w:r>
      </w:hyperlink>
    </w:p>
    <w:p w14:paraId="1BA385ED" w14:textId="4A0FB00B" w:rsidR="00FD0206" w:rsidRDefault="007B5E9B">
      <w:pPr>
        <w:pStyle w:val="Inhopg1"/>
        <w:rPr>
          <w:rFonts w:eastAsiaTheme="minorEastAsia"/>
          <w:b w:val="0"/>
          <w:lang w:eastAsia="nl-BE"/>
        </w:rPr>
      </w:pPr>
      <w:hyperlink w:anchor="_Toc81512500" w:history="1">
        <w:r w:rsidR="00FD0206" w:rsidRPr="00AD63CB">
          <w:rPr>
            <w:rStyle w:val="Hyperlink"/>
          </w:rPr>
          <w:t>2</w:t>
        </w:r>
        <w:r w:rsidR="00FD0206">
          <w:rPr>
            <w:rFonts w:eastAsiaTheme="minorEastAsia"/>
            <w:b w:val="0"/>
            <w:lang w:eastAsia="nl-BE"/>
          </w:rPr>
          <w:tab/>
        </w:r>
        <w:r w:rsidR="00FD0206" w:rsidRPr="00AD63CB">
          <w:rPr>
            <w:rStyle w:val="Hyperlink"/>
          </w:rPr>
          <w:t>Invulinstructie tariefvoorstel periodieke distributienettarieven</w:t>
        </w:r>
        <w:r w:rsidR="00FD0206">
          <w:rPr>
            <w:webHidden/>
          </w:rPr>
          <w:tab/>
        </w:r>
        <w:r w:rsidR="00FD0206">
          <w:rPr>
            <w:webHidden/>
          </w:rPr>
          <w:fldChar w:fldCharType="begin"/>
        </w:r>
        <w:r w:rsidR="00FD0206">
          <w:rPr>
            <w:webHidden/>
          </w:rPr>
          <w:instrText xml:space="preserve"> PAGEREF _Toc81512500 \h </w:instrText>
        </w:r>
        <w:r w:rsidR="00FD0206">
          <w:rPr>
            <w:webHidden/>
          </w:rPr>
        </w:r>
        <w:r w:rsidR="00FD0206">
          <w:rPr>
            <w:webHidden/>
          </w:rPr>
          <w:fldChar w:fldCharType="separate"/>
        </w:r>
        <w:r w:rsidR="00FD0206">
          <w:rPr>
            <w:webHidden/>
          </w:rPr>
          <w:t>66</w:t>
        </w:r>
        <w:r w:rsidR="00FD0206">
          <w:rPr>
            <w:webHidden/>
          </w:rPr>
          <w:fldChar w:fldCharType="end"/>
        </w:r>
      </w:hyperlink>
    </w:p>
    <w:p w14:paraId="6B55A5DE" w14:textId="4FD56E1C" w:rsidR="00FD0206" w:rsidRDefault="007B5E9B">
      <w:pPr>
        <w:pStyle w:val="Inhopg2"/>
        <w:rPr>
          <w:rFonts w:eastAsiaTheme="minorEastAsia"/>
          <w:lang w:eastAsia="nl-BE"/>
        </w:rPr>
      </w:pPr>
      <w:hyperlink w:anchor="_Toc81512501" w:history="1">
        <w:r w:rsidR="00FD0206" w:rsidRPr="00AD63CB">
          <w:rPr>
            <w:rStyle w:val="Hyperlink"/>
          </w:rPr>
          <w:t>2.1</w:t>
        </w:r>
        <w:r w:rsidR="00FD0206">
          <w:rPr>
            <w:rFonts w:eastAsiaTheme="minorEastAsia"/>
            <w:lang w:eastAsia="nl-BE"/>
          </w:rPr>
          <w:tab/>
        </w:r>
        <w:r w:rsidR="00FD0206" w:rsidRPr="00AD63CB">
          <w:rPr>
            <w:rStyle w:val="Hyperlink"/>
          </w:rPr>
          <w:t>Invulinstructies Bijlage 7A: Tariefvoorstel periodieke distributienettarieven 2021 [en 2022H1]</w:t>
        </w:r>
        <w:r w:rsidR="00FD0206">
          <w:rPr>
            <w:webHidden/>
          </w:rPr>
          <w:tab/>
        </w:r>
        <w:r w:rsidR="00FD0206">
          <w:rPr>
            <w:webHidden/>
          </w:rPr>
          <w:fldChar w:fldCharType="begin"/>
        </w:r>
        <w:r w:rsidR="00FD0206">
          <w:rPr>
            <w:webHidden/>
          </w:rPr>
          <w:instrText xml:space="preserve"> PAGEREF _Toc81512501 \h </w:instrText>
        </w:r>
        <w:r w:rsidR="00FD0206">
          <w:rPr>
            <w:webHidden/>
          </w:rPr>
        </w:r>
        <w:r w:rsidR="00FD0206">
          <w:rPr>
            <w:webHidden/>
          </w:rPr>
          <w:fldChar w:fldCharType="separate"/>
        </w:r>
        <w:r w:rsidR="00FD0206">
          <w:rPr>
            <w:webHidden/>
          </w:rPr>
          <w:t>66</w:t>
        </w:r>
        <w:r w:rsidR="00FD0206">
          <w:rPr>
            <w:webHidden/>
          </w:rPr>
          <w:fldChar w:fldCharType="end"/>
        </w:r>
      </w:hyperlink>
    </w:p>
    <w:p w14:paraId="4FC92E82" w14:textId="0ABF86DC" w:rsidR="00FD0206" w:rsidRDefault="007B5E9B">
      <w:pPr>
        <w:pStyle w:val="Inhopg3"/>
        <w:rPr>
          <w:rFonts w:eastAsiaTheme="minorEastAsia"/>
          <w:sz w:val="22"/>
          <w:szCs w:val="22"/>
          <w:lang w:eastAsia="nl-BE"/>
        </w:rPr>
      </w:pPr>
      <w:hyperlink w:anchor="_Toc81512502" w:history="1">
        <w:r w:rsidR="00FD0206" w:rsidRPr="00AD63CB">
          <w:rPr>
            <w:rStyle w:val="Hyperlink"/>
          </w:rPr>
          <w:t>2.1.1</w:t>
        </w:r>
        <w:r w:rsidR="00FD0206">
          <w:rPr>
            <w:rFonts w:eastAsiaTheme="minorEastAsia"/>
            <w:sz w:val="22"/>
            <w:szCs w:val="22"/>
            <w:lang w:eastAsia="nl-BE"/>
          </w:rPr>
          <w:tab/>
        </w:r>
        <w:r w:rsidR="00FD0206" w:rsidRPr="00AD63CB">
          <w:rPr>
            <w:rStyle w:val="Hyperlink"/>
          </w:rPr>
          <w:t>Algemene invulinstructies</w:t>
        </w:r>
        <w:r w:rsidR="00FD0206">
          <w:rPr>
            <w:webHidden/>
          </w:rPr>
          <w:tab/>
        </w:r>
        <w:r w:rsidR="00FD0206">
          <w:rPr>
            <w:webHidden/>
          </w:rPr>
          <w:fldChar w:fldCharType="begin"/>
        </w:r>
        <w:r w:rsidR="00FD0206">
          <w:rPr>
            <w:webHidden/>
          </w:rPr>
          <w:instrText xml:space="preserve"> PAGEREF _Toc81512502 \h </w:instrText>
        </w:r>
        <w:r w:rsidR="00FD0206">
          <w:rPr>
            <w:webHidden/>
          </w:rPr>
        </w:r>
        <w:r w:rsidR="00FD0206">
          <w:rPr>
            <w:webHidden/>
          </w:rPr>
          <w:fldChar w:fldCharType="separate"/>
        </w:r>
        <w:r w:rsidR="00FD0206">
          <w:rPr>
            <w:webHidden/>
          </w:rPr>
          <w:t>68</w:t>
        </w:r>
        <w:r w:rsidR="00FD0206">
          <w:rPr>
            <w:webHidden/>
          </w:rPr>
          <w:fldChar w:fldCharType="end"/>
        </w:r>
      </w:hyperlink>
    </w:p>
    <w:p w14:paraId="740A0A9D" w14:textId="0ACBE3CD" w:rsidR="00FD0206" w:rsidRDefault="007B5E9B">
      <w:pPr>
        <w:pStyle w:val="Inhopg4"/>
        <w:rPr>
          <w:rFonts w:eastAsiaTheme="minorEastAsia"/>
          <w:i w:val="0"/>
          <w:sz w:val="22"/>
          <w:szCs w:val="22"/>
          <w:lang w:eastAsia="nl-BE"/>
        </w:rPr>
      </w:pPr>
      <w:hyperlink w:anchor="_Toc81512503" w:history="1">
        <w:r w:rsidR="00FD0206" w:rsidRPr="00AD63CB">
          <w:rPr>
            <w:rStyle w:val="Hyperlink"/>
          </w:rPr>
          <w:t>2.1.1.1</w:t>
        </w:r>
        <w:r w:rsidR="00FD0206">
          <w:rPr>
            <w:rFonts w:eastAsiaTheme="minorEastAsia"/>
            <w:i w:val="0"/>
            <w:sz w:val="22"/>
            <w:szCs w:val="22"/>
            <w:lang w:eastAsia="nl-BE"/>
          </w:rPr>
          <w:tab/>
        </w:r>
        <w:r w:rsidR="00FD0206" w:rsidRPr="00AD63CB">
          <w:rPr>
            <w:rStyle w:val="Hyperlink"/>
          </w:rPr>
          <w:t>TITELBLAD</w:t>
        </w:r>
        <w:r w:rsidR="00FD0206">
          <w:rPr>
            <w:webHidden/>
          </w:rPr>
          <w:tab/>
        </w:r>
        <w:r w:rsidR="00FD0206">
          <w:rPr>
            <w:webHidden/>
          </w:rPr>
          <w:fldChar w:fldCharType="begin"/>
        </w:r>
        <w:r w:rsidR="00FD0206">
          <w:rPr>
            <w:webHidden/>
          </w:rPr>
          <w:instrText xml:space="preserve"> PAGEREF _Toc81512503 \h </w:instrText>
        </w:r>
        <w:r w:rsidR="00FD0206">
          <w:rPr>
            <w:webHidden/>
          </w:rPr>
        </w:r>
        <w:r w:rsidR="00FD0206">
          <w:rPr>
            <w:webHidden/>
          </w:rPr>
          <w:fldChar w:fldCharType="separate"/>
        </w:r>
        <w:r w:rsidR="00FD0206">
          <w:rPr>
            <w:webHidden/>
          </w:rPr>
          <w:t>68</w:t>
        </w:r>
        <w:r w:rsidR="00FD0206">
          <w:rPr>
            <w:webHidden/>
          </w:rPr>
          <w:fldChar w:fldCharType="end"/>
        </w:r>
      </w:hyperlink>
    </w:p>
    <w:p w14:paraId="40461DA0" w14:textId="080A8CB3" w:rsidR="00FD0206" w:rsidRDefault="007B5E9B">
      <w:pPr>
        <w:pStyle w:val="Inhopg4"/>
        <w:rPr>
          <w:rFonts w:eastAsiaTheme="minorEastAsia"/>
          <w:i w:val="0"/>
          <w:sz w:val="22"/>
          <w:szCs w:val="22"/>
          <w:lang w:eastAsia="nl-BE"/>
        </w:rPr>
      </w:pPr>
      <w:hyperlink w:anchor="_Toc81512504" w:history="1">
        <w:r w:rsidR="00FD0206" w:rsidRPr="00AD63CB">
          <w:rPr>
            <w:rStyle w:val="Hyperlink"/>
          </w:rPr>
          <w:t>2.1.1.2</w:t>
        </w:r>
        <w:r w:rsidR="00FD0206">
          <w:rPr>
            <w:rFonts w:eastAsiaTheme="minorEastAsia"/>
            <w:i w:val="0"/>
            <w:sz w:val="22"/>
            <w:szCs w:val="22"/>
            <w:lang w:eastAsia="nl-BE"/>
          </w:rPr>
          <w:tab/>
        </w:r>
        <w:r w:rsidR="00FD0206" w:rsidRPr="00AD63CB">
          <w:rPr>
            <w:rStyle w:val="Hyperlink"/>
          </w:rPr>
          <w:t>TABEL 1: Overzicht door de VREG toegelaten inkomen voor gereguleerde activiteiten ‘elektriciteit’ en ‘gas’ voor boekjaar [20XX]</w:t>
        </w:r>
        <w:r w:rsidR="00FD0206">
          <w:rPr>
            <w:webHidden/>
          </w:rPr>
          <w:tab/>
        </w:r>
        <w:r w:rsidR="00FD0206">
          <w:rPr>
            <w:webHidden/>
          </w:rPr>
          <w:fldChar w:fldCharType="begin"/>
        </w:r>
        <w:r w:rsidR="00FD0206">
          <w:rPr>
            <w:webHidden/>
          </w:rPr>
          <w:instrText xml:space="preserve"> PAGEREF _Toc81512504 \h </w:instrText>
        </w:r>
        <w:r w:rsidR="00FD0206">
          <w:rPr>
            <w:webHidden/>
          </w:rPr>
        </w:r>
        <w:r w:rsidR="00FD0206">
          <w:rPr>
            <w:webHidden/>
          </w:rPr>
          <w:fldChar w:fldCharType="separate"/>
        </w:r>
        <w:r w:rsidR="00FD0206">
          <w:rPr>
            <w:webHidden/>
          </w:rPr>
          <w:t>69</w:t>
        </w:r>
        <w:r w:rsidR="00FD0206">
          <w:rPr>
            <w:webHidden/>
          </w:rPr>
          <w:fldChar w:fldCharType="end"/>
        </w:r>
      </w:hyperlink>
    </w:p>
    <w:p w14:paraId="5CEB4EE0" w14:textId="36B846CA" w:rsidR="00FD0206" w:rsidRDefault="007B5E9B">
      <w:pPr>
        <w:pStyle w:val="Inhopg4"/>
        <w:rPr>
          <w:rFonts w:eastAsiaTheme="minorEastAsia"/>
          <w:i w:val="0"/>
          <w:sz w:val="22"/>
          <w:szCs w:val="22"/>
          <w:lang w:eastAsia="nl-BE"/>
        </w:rPr>
      </w:pPr>
      <w:hyperlink w:anchor="_Toc81512505" w:history="1">
        <w:r w:rsidR="00FD0206" w:rsidRPr="00AD63CB">
          <w:rPr>
            <w:rStyle w:val="Hyperlink"/>
          </w:rPr>
          <w:t>2.1.1.3</w:t>
        </w:r>
        <w:r w:rsidR="00FD0206">
          <w:rPr>
            <w:rFonts w:eastAsiaTheme="minorEastAsia"/>
            <w:i w:val="0"/>
            <w:sz w:val="22"/>
            <w:szCs w:val="22"/>
            <w:lang w:eastAsia="nl-BE"/>
          </w:rPr>
          <w:tab/>
        </w:r>
        <w:r w:rsidR="00FD0206" w:rsidRPr="00AD63CB">
          <w:rPr>
            <w:rStyle w:val="Hyperlink"/>
          </w:rPr>
          <w:t>TABEL 2: Opdeling gebudgetteerd inkomen voor gereguleerde activiteit ‘elektriciteit’ volgens tariefcomponenten</w:t>
        </w:r>
        <w:r w:rsidR="00FD0206">
          <w:rPr>
            <w:webHidden/>
          </w:rPr>
          <w:tab/>
        </w:r>
        <w:r w:rsidR="00FD0206">
          <w:rPr>
            <w:webHidden/>
          </w:rPr>
          <w:fldChar w:fldCharType="begin"/>
        </w:r>
        <w:r w:rsidR="00FD0206">
          <w:rPr>
            <w:webHidden/>
          </w:rPr>
          <w:instrText xml:space="preserve"> PAGEREF _Toc81512505 \h </w:instrText>
        </w:r>
        <w:r w:rsidR="00FD0206">
          <w:rPr>
            <w:webHidden/>
          </w:rPr>
        </w:r>
        <w:r w:rsidR="00FD0206">
          <w:rPr>
            <w:webHidden/>
          </w:rPr>
          <w:fldChar w:fldCharType="separate"/>
        </w:r>
        <w:r w:rsidR="00FD0206">
          <w:rPr>
            <w:webHidden/>
          </w:rPr>
          <w:t>69</w:t>
        </w:r>
        <w:r w:rsidR="00FD0206">
          <w:rPr>
            <w:webHidden/>
          </w:rPr>
          <w:fldChar w:fldCharType="end"/>
        </w:r>
      </w:hyperlink>
    </w:p>
    <w:p w14:paraId="4A3DD9B7" w14:textId="06C4B0E2" w:rsidR="00FD0206" w:rsidRDefault="007B5E9B">
      <w:pPr>
        <w:pStyle w:val="Inhopg4"/>
        <w:rPr>
          <w:rFonts w:eastAsiaTheme="minorEastAsia"/>
          <w:i w:val="0"/>
          <w:sz w:val="22"/>
          <w:szCs w:val="22"/>
          <w:lang w:eastAsia="nl-BE"/>
        </w:rPr>
      </w:pPr>
      <w:hyperlink w:anchor="_Toc81512506" w:history="1">
        <w:r w:rsidR="00FD0206" w:rsidRPr="00AD63CB">
          <w:rPr>
            <w:rStyle w:val="Hyperlink"/>
          </w:rPr>
          <w:t>2.1.1.4</w:t>
        </w:r>
        <w:r w:rsidR="00FD0206">
          <w:rPr>
            <w:rFonts w:eastAsiaTheme="minorEastAsia"/>
            <w:i w:val="0"/>
            <w:sz w:val="22"/>
            <w:szCs w:val="22"/>
            <w:lang w:eastAsia="nl-BE"/>
          </w:rPr>
          <w:tab/>
        </w:r>
        <w:r w:rsidR="00FD0206" w:rsidRPr="00AD63CB">
          <w:rPr>
            <w:rStyle w:val="Hyperlink"/>
          </w:rPr>
          <w:t>TABEL 3: Opdeling gebudgetteerd inkomen voor gereguleerde activiteit ‘elektriciteit’ volgens energierichting, spanningsniveau en klantengroep</w:t>
        </w:r>
        <w:r w:rsidR="00FD0206">
          <w:rPr>
            <w:webHidden/>
          </w:rPr>
          <w:tab/>
        </w:r>
        <w:r w:rsidR="00FD0206">
          <w:rPr>
            <w:webHidden/>
          </w:rPr>
          <w:fldChar w:fldCharType="begin"/>
        </w:r>
        <w:r w:rsidR="00FD0206">
          <w:rPr>
            <w:webHidden/>
          </w:rPr>
          <w:instrText xml:space="preserve"> PAGEREF _Toc81512506 \h </w:instrText>
        </w:r>
        <w:r w:rsidR="00FD0206">
          <w:rPr>
            <w:webHidden/>
          </w:rPr>
        </w:r>
        <w:r w:rsidR="00FD0206">
          <w:rPr>
            <w:webHidden/>
          </w:rPr>
          <w:fldChar w:fldCharType="separate"/>
        </w:r>
        <w:r w:rsidR="00FD0206">
          <w:rPr>
            <w:webHidden/>
          </w:rPr>
          <w:t>69</w:t>
        </w:r>
        <w:r w:rsidR="00FD0206">
          <w:rPr>
            <w:webHidden/>
          </w:rPr>
          <w:fldChar w:fldCharType="end"/>
        </w:r>
      </w:hyperlink>
    </w:p>
    <w:p w14:paraId="41D6225D" w14:textId="7BB70D3A" w:rsidR="00FD0206" w:rsidRDefault="007B5E9B">
      <w:pPr>
        <w:pStyle w:val="Inhopg4"/>
        <w:rPr>
          <w:rFonts w:eastAsiaTheme="minorEastAsia"/>
          <w:i w:val="0"/>
          <w:sz w:val="22"/>
          <w:szCs w:val="22"/>
          <w:lang w:eastAsia="nl-BE"/>
        </w:rPr>
      </w:pPr>
      <w:hyperlink w:anchor="_Toc81512507" w:history="1">
        <w:r w:rsidR="00FD0206" w:rsidRPr="00AD63CB">
          <w:rPr>
            <w:rStyle w:val="Hyperlink"/>
          </w:rPr>
          <w:t>2.1.1.5</w:t>
        </w:r>
        <w:r w:rsidR="00FD0206">
          <w:rPr>
            <w:rFonts w:eastAsiaTheme="minorEastAsia"/>
            <w:i w:val="0"/>
            <w:sz w:val="22"/>
            <w:szCs w:val="22"/>
            <w:lang w:eastAsia="nl-BE"/>
          </w:rPr>
          <w:tab/>
        </w:r>
        <w:r w:rsidR="00FD0206" w:rsidRPr="00AD63CB">
          <w:rPr>
            <w:rStyle w:val="Hyperlink"/>
          </w:rPr>
          <w:t>TABEL 4: Naam distributienetbeheerder – ELEKTRICITEIT – Tarieflijst periodieke distributienettarieven [20XX] – Afname</w:t>
        </w:r>
        <w:r w:rsidR="00FD0206">
          <w:rPr>
            <w:webHidden/>
          </w:rPr>
          <w:tab/>
        </w:r>
        <w:r w:rsidR="00FD0206">
          <w:rPr>
            <w:webHidden/>
          </w:rPr>
          <w:fldChar w:fldCharType="begin"/>
        </w:r>
        <w:r w:rsidR="00FD0206">
          <w:rPr>
            <w:webHidden/>
          </w:rPr>
          <w:instrText xml:space="preserve"> PAGEREF _Toc81512507 \h </w:instrText>
        </w:r>
        <w:r w:rsidR="00FD0206">
          <w:rPr>
            <w:webHidden/>
          </w:rPr>
        </w:r>
        <w:r w:rsidR="00FD0206">
          <w:rPr>
            <w:webHidden/>
          </w:rPr>
          <w:fldChar w:fldCharType="separate"/>
        </w:r>
        <w:r w:rsidR="00FD0206">
          <w:rPr>
            <w:webHidden/>
          </w:rPr>
          <w:t>70</w:t>
        </w:r>
        <w:r w:rsidR="00FD0206">
          <w:rPr>
            <w:webHidden/>
          </w:rPr>
          <w:fldChar w:fldCharType="end"/>
        </w:r>
      </w:hyperlink>
    </w:p>
    <w:p w14:paraId="4EF11E4E" w14:textId="129C2EE5" w:rsidR="00FD0206" w:rsidRDefault="007B5E9B">
      <w:pPr>
        <w:pStyle w:val="Inhopg4"/>
        <w:rPr>
          <w:rFonts w:eastAsiaTheme="minorEastAsia"/>
          <w:i w:val="0"/>
          <w:sz w:val="22"/>
          <w:szCs w:val="22"/>
          <w:lang w:eastAsia="nl-BE"/>
        </w:rPr>
      </w:pPr>
      <w:hyperlink w:anchor="_Toc81512508" w:history="1">
        <w:r w:rsidR="00FD0206" w:rsidRPr="00AD63CB">
          <w:rPr>
            <w:rStyle w:val="Hyperlink"/>
          </w:rPr>
          <w:t>2.1.1.6</w:t>
        </w:r>
        <w:r w:rsidR="00FD0206">
          <w:rPr>
            <w:rFonts w:eastAsiaTheme="minorEastAsia"/>
            <w:i w:val="0"/>
            <w:sz w:val="22"/>
            <w:szCs w:val="22"/>
            <w:lang w:eastAsia="nl-BE"/>
          </w:rPr>
          <w:tab/>
        </w:r>
        <w:r w:rsidR="00FD0206" w:rsidRPr="00AD63CB">
          <w:rPr>
            <w:rStyle w:val="Hyperlink"/>
          </w:rPr>
          <w:t>TABEL 5: Reconciliatie van het gebudgetteerd inkomen voor de gereguleerde activiteit ‘elektriciteit’ met de geraamde omzet voor de periodieke distributienettarieven (afname)</w:t>
        </w:r>
        <w:r w:rsidR="00FD0206">
          <w:rPr>
            <w:webHidden/>
          </w:rPr>
          <w:tab/>
        </w:r>
        <w:r w:rsidR="00FD0206">
          <w:rPr>
            <w:webHidden/>
          </w:rPr>
          <w:fldChar w:fldCharType="begin"/>
        </w:r>
        <w:r w:rsidR="00FD0206">
          <w:rPr>
            <w:webHidden/>
          </w:rPr>
          <w:instrText xml:space="preserve"> PAGEREF _Toc81512508 \h </w:instrText>
        </w:r>
        <w:r w:rsidR="00FD0206">
          <w:rPr>
            <w:webHidden/>
          </w:rPr>
        </w:r>
        <w:r w:rsidR="00FD0206">
          <w:rPr>
            <w:webHidden/>
          </w:rPr>
          <w:fldChar w:fldCharType="separate"/>
        </w:r>
        <w:r w:rsidR="00FD0206">
          <w:rPr>
            <w:webHidden/>
          </w:rPr>
          <w:t>71</w:t>
        </w:r>
        <w:r w:rsidR="00FD0206">
          <w:rPr>
            <w:webHidden/>
          </w:rPr>
          <w:fldChar w:fldCharType="end"/>
        </w:r>
      </w:hyperlink>
    </w:p>
    <w:p w14:paraId="13246BFB" w14:textId="58780826" w:rsidR="00FD0206" w:rsidRDefault="007B5E9B">
      <w:pPr>
        <w:pStyle w:val="Inhopg4"/>
        <w:rPr>
          <w:rFonts w:eastAsiaTheme="minorEastAsia"/>
          <w:i w:val="0"/>
          <w:sz w:val="22"/>
          <w:szCs w:val="22"/>
          <w:lang w:eastAsia="nl-BE"/>
        </w:rPr>
      </w:pPr>
      <w:hyperlink w:anchor="_Toc81512509" w:history="1">
        <w:r w:rsidR="00FD0206" w:rsidRPr="00AD63CB">
          <w:rPr>
            <w:rStyle w:val="Hyperlink"/>
          </w:rPr>
          <w:t>2.1.1.7</w:t>
        </w:r>
        <w:r w:rsidR="00FD0206">
          <w:rPr>
            <w:rFonts w:eastAsiaTheme="minorEastAsia"/>
            <w:i w:val="0"/>
            <w:sz w:val="22"/>
            <w:szCs w:val="22"/>
            <w:lang w:eastAsia="nl-BE"/>
          </w:rPr>
          <w:tab/>
        </w:r>
        <w:r w:rsidR="00FD0206" w:rsidRPr="00AD63CB">
          <w:rPr>
            <w:rStyle w:val="Hyperlink"/>
          </w:rPr>
          <w:t>TABEL 6A: Naam distributienetbeheerder – ELEKTRICITEIT – Tarieflijst transmissiekosten [20XX]</w:t>
        </w:r>
        <w:r w:rsidR="00FD0206">
          <w:rPr>
            <w:webHidden/>
          </w:rPr>
          <w:tab/>
        </w:r>
        <w:r w:rsidR="00FD0206">
          <w:rPr>
            <w:webHidden/>
          </w:rPr>
          <w:fldChar w:fldCharType="begin"/>
        </w:r>
        <w:r w:rsidR="00FD0206">
          <w:rPr>
            <w:webHidden/>
          </w:rPr>
          <w:instrText xml:space="preserve"> PAGEREF _Toc81512509 \h </w:instrText>
        </w:r>
        <w:r w:rsidR="00FD0206">
          <w:rPr>
            <w:webHidden/>
          </w:rPr>
        </w:r>
        <w:r w:rsidR="00FD0206">
          <w:rPr>
            <w:webHidden/>
          </w:rPr>
          <w:fldChar w:fldCharType="separate"/>
        </w:r>
        <w:r w:rsidR="00FD0206">
          <w:rPr>
            <w:webHidden/>
          </w:rPr>
          <w:t>71</w:t>
        </w:r>
        <w:r w:rsidR="00FD0206">
          <w:rPr>
            <w:webHidden/>
          </w:rPr>
          <w:fldChar w:fldCharType="end"/>
        </w:r>
      </w:hyperlink>
    </w:p>
    <w:p w14:paraId="774F4742" w14:textId="3C045D74" w:rsidR="00FD0206" w:rsidRDefault="007B5E9B">
      <w:pPr>
        <w:pStyle w:val="Inhopg4"/>
        <w:rPr>
          <w:rFonts w:eastAsiaTheme="minorEastAsia"/>
          <w:i w:val="0"/>
          <w:sz w:val="22"/>
          <w:szCs w:val="22"/>
          <w:lang w:eastAsia="nl-BE"/>
        </w:rPr>
      </w:pPr>
      <w:hyperlink w:anchor="_Toc81512510" w:history="1">
        <w:r w:rsidR="00FD0206" w:rsidRPr="00AD63CB">
          <w:rPr>
            <w:rStyle w:val="Hyperlink"/>
          </w:rPr>
          <w:t>2.1.1.8</w:t>
        </w:r>
        <w:r w:rsidR="00FD0206">
          <w:rPr>
            <w:rFonts w:eastAsiaTheme="minorEastAsia"/>
            <w:i w:val="0"/>
            <w:sz w:val="22"/>
            <w:szCs w:val="22"/>
            <w:lang w:eastAsia="nl-BE"/>
          </w:rPr>
          <w:tab/>
        </w:r>
        <w:r w:rsidR="00FD0206" w:rsidRPr="00AD63CB">
          <w:rPr>
            <w:rStyle w:val="Hyperlink"/>
          </w:rPr>
          <w:t>TABEL 6B: Aansluiting transmissienettarieven Elia en de door de DNB doorgerekende transmissiekosten voor [20XX]</w:t>
        </w:r>
        <w:r w:rsidR="00FD0206">
          <w:rPr>
            <w:webHidden/>
          </w:rPr>
          <w:tab/>
        </w:r>
        <w:r w:rsidR="00FD0206">
          <w:rPr>
            <w:webHidden/>
          </w:rPr>
          <w:fldChar w:fldCharType="begin"/>
        </w:r>
        <w:r w:rsidR="00FD0206">
          <w:rPr>
            <w:webHidden/>
          </w:rPr>
          <w:instrText xml:space="preserve"> PAGEREF _Toc81512510 \h </w:instrText>
        </w:r>
        <w:r w:rsidR="00FD0206">
          <w:rPr>
            <w:webHidden/>
          </w:rPr>
        </w:r>
        <w:r w:rsidR="00FD0206">
          <w:rPr>
            <w:webHidden/>
          </w:rPr>
          <w:fldChar w:fldCharType="separate"/>
        </w:r>
        <w:r w:rsidR="00FD0206">
          <w:rPr>
            <w:webHidden/>
          </w:rPr>
          <w:t>72</w:t>
        </w:r>
        <w:r w:rsidR="00FD0206">
          <w:rPr>
            <w:webHidden/>
          </w:rPr>
          <w:fldChar w:fldCharType="end"/>
        </w:r>
      </w:hyperlink>
    </w:p>
    <w:p w14:paraId="376DAF54" w14:textId="318FD547" w:rsidR="00FD0206" w:rsidRDefault="007B5E9B">
      <w:pPr>
        <w:pStyle w:val="Inhopg4"/>
        <w:rPr>
          <w:rFonts w:eastAsiaTheme="minorEastAsia"/>
          <w:i w:val="0"/>
          <w:sz w:val="22"/>
          <w:szCs w:val="22"/>
          <w:lang w:eastAsia="nl-BE"/>
        </w:rPr>
      </w:pPr>
      <w:hyperlink w:anchor="_Toc81512511" w:history="1">
        <w:r w:rsidR="00FD0206" w:rsidRPr="00AD63CB">
          <w:rPr>
            <w:rStyle w:val="Hyperlink"/>
          </w:rPr>
          <w:t>2.1.1.9</w:t>
        </w:r>
        <w:r w:rsidR="00FD0206">
          <w:rPr>
            <w:rFonts w:eastAsiaTheme="minorEastAsia"/>
            <w:i w:val="0"/>
            <w:sz w:val="22"/>
            <w:szCs w:val="22"/>
            <w:lang w:eastAsia="nl-BE"/>
          </w:rPr>
          <w:tab/>
        </w:r>
        <w:r w:rsidR="00FD0206" w:rsidRPr="00AD63CB">
          <w:rPr>
            <w:rStyle w:val="Hyperlink"/>
          </w:rPr>
          <w:t>TABEL 6C: Bepaling tarieven voor het ‘beheer en de ontwikkeling van de netwerkinfrastructuur’</w:t>
        </w:r>
        <w:r w:rsidR="00FD0206">
          <w:rPr>
            <w:webHidden/>
          </w:rPr>
          <w:tab/>
        </w:r>
        <w:r w:rsidR="00FD0206">
          <w:rPr>
            <w:webHidden/>
          </w:rPr>
          <w:fldChar w:fldCharType="begin"/>
        </w:r>
        <w:r w:rsidR="00FD0206">
          <w:rPr>
            <w:webHidden/>
          </w:rPr>
          <w:instrText xml:space="preserve"> PAGEREF _Toc81512511 \h </w:instrText>
        </w:r>
        <w:r w:rsidR="00FD0206">
          <w:rPr>
            <w:webHidden/>
          </w:rPr>
        </w:r>
        <w:r w:rsidR="00FD0206">
          <w:rPr>
            <w:webHidden/>
          </w:rPr>
          <w:fldChar w:fldCharType="separate"/>
        </w:r>
        <w:r w:rsidR="00FD0206">
          <w:rPr>
            <w:webHidden/>
          </w:rPr>
          <w:t>72</w:t>
        </w:r>
        <w:r w:rsidR="00FD0206">
          <w:rPr>
            <w:webHidden/>
          </w:rPr>
          <w:fldChar w:fldCharType="end"/>
        </w:r>
      </w:hyperlink>
    </w:p>
    <w:p w14:paraId="05EC0934" w14:textId="4834834B" w:rsidR="00FD0206" w:rsidRDefault="007B5E9B">
      <w:pPr>
        <w:pStyle w:val="Inhopg4"/>
        <w:rPr>
          <w:rFonts w:eastAsiaTheme="minorEastAsia"/>
          <w:i w:val="0"/>
          <w:sz w:val="22"/>
          <w:szCs w:val="22"/>
          <w:lang w:eastAsia="nl-BE"/>
        </w:rPr>
      </w:pPr>
      <w:hyperlink w:anchor="_Toc81512512" w:history="1">
        <w:r w:rsidR="00FD0206" w:rsidRPr="00AD63CB">
          <w:rPr>
            <w:rStyle w:val="Hyperlink"/>
          </w:rPr>
          <w:t>2.1.1.10</w:t>
        </w:r>
        <w:r w:rsidR="00FD0206">
          <w:rPr>
            <w:rFonts w:eastAsiaTheme="minorEastAsia"/>
            <w:i w:val="0"/>
            <w:sz w:val="22"/>
            <w:szCs w:val="22"/>
            <w:lang w:eastAsia="nl-BE"/>
          </w:rPr>
          <w:tab/>
        </w:r>
        <w:r w:rsidR="00FD0206" w:rsidRPr="00AD63CB">
          <w:rPr>
            <w:rStyle w:val="Hyperlink"/>
          </w:rPr>
          <w:t>TABEL 7: Naam distributienetbeheerder – ELEKTRICITEIT – Tarieflijst periodieke distributienettarieven [20XX] – Injectie</w:t>
        </w:r>
        <w:r w:rsidR="00FD0206">
          <w:rPr>
            <w:webHidden/>
          </w:rPr>
          <w:tab/>
        </w:r>
        <w:r w:rsidR="00FD0206">
          <w:rPr>
            <w:webHidden/>
          </w:rPr>
          <w:fldChar w:fldCharType="begin"/>
        </w:r>
        <w:r w:rsidR="00FD0206">
          <w:rPr>
            <w:webHidden/>
          </w:rPr>
          <w:instrText xml:space="preserve"> PAGEREF _Toc81512512 \h </w:instrText>
        </w:r>
        <w:r w:rsidR="00FD0206">
          <w:rPr>
            <w:webHidden/>
          </w:rPr>
        </w:r>
        <w:r w:rsidR="00FD0206">
          <w:rPr>
            <w:webHidden/>
          </w:rPr>
          <w:fldChar w:fldCharType="separate"/>
        </w:r>
        <w:r w:rsidR="00FD0206">
          <w:rPr>
            <w:webHidden/>
          </w:rPr>
          <w:t>74</w:t>
        </w:r>
        <w:r w:rsidR="00FD0206">
          <w:rPr>
            <w:webHidden/>
          </w:rPr>
          <w:fldChar w:fldCharType="end"/>
        </w:r>
      </w:hyperlink>
    </w:p>
    <w:p w14:paraId="4B29C1A5" w14:textId="4B5889F7" w:rsidR="00FD0206" w:rsidRDefault="007B5E9B">
      <w:pPr>
        <w:pStyle w:val="Inhopg4"/>
        <w:rPr>
          <w:rFonts w:eastAsiaTheme="minorEastAsia"/>
          <w:i w:val="0"/>
          <w:sz w:val="22"/>
          <w:szCs w:val="22"/>
          <w:lang w:eastAsia="nl-BE"/>
        </w:rPr>
      </w:pPr>
      <w:hyperlink w:anchor="_Toc81512513" w:history="1">
        <w:r w:rsidR="00FD0206" w:rsidRPr="00AD63CB">
          <w:rPr>
            <w:rStyle w:val="Hyperlink"/>
          </w:rPr>
          <w:t>2.1.1.11</w:t>
        </w:r>
        <w:r w:rsidR="00FD0206">
          <w:rPr>
            <w:rFonts w:eastAsiaTheme="minorEastAsia"/>
            <w:i w:val="0"/>
            <w:sz w:val="22"/>
            <w:szCs w:val="22"/>
            <w:lang w:eastAsia="nl-BE"/>
          </w:rPr>
          <w:tab/>
        </w:r>
        <w:r w:rsidR="00FD0206" w:rsidRPr="00AD63CB">
          <w:rPr>
            <w:rStyle w:val="Hyperlink"/>
          </w:rPr>
          <w:t>TABEL 8: Reconciliatie van het gebudgetteerde inkomen voor de gereguleerde activiteit ‘elektriciteit’ met de geraamde omzet voor de periodieke distributienettarieven (injectie)</w:t>
        </w:r>
        <w:r w:rsidR="00FD0206">
          <w:rPr>
            <w:webHidden/>
          </w:rPr>
          <w:tab/>
        </w:r>
        <w:r w:rsidR="00FD0206">
          <w:rPr>
            <w:webHidden/>
          </w:rPr>
          <w:fldChar w:fldCharType="begin"/>
        </w:r>
        <w:r w:rsidR="00FD0206">
          <w:rPr>
            <w:webHidden/>
          </w:rPr>
          <w:instrText xml:space="preserve"> PAGEREF _Toc81512513 \h </w:instrText>
        </w:r>
        <w:r w:rsidR="00FD0206">
          <w:rPr>
            <w:webHidden/>
          </w:rPr>
        </w:r>
        <w:r w:rsidR="00FD0206">
          <w:rPr>
            <w:webHidden/>
          </w:rPr>
          <w:fldChar w:fldCharType="separate"/>
        </w:r>
        <w:r w:rsidR="00FD0206">
          <w:rPr>
            <w:webHidden/>
          </w:rPr>
          <w:t>74</w:t>
        </w:r>
        <w:r w:rsidR="00FD0206">
          <w:rPr>
            <w:webHidden/>
          </w:rPr>
          <w:fldChar w:fldCharType="end"/>
        </w:r>
      </w:hyperlink>
    </w:p>
    <w:p w14:paraId="1BF6A1CC" w14:textId="0674809A" w:rsidR="00FD0206" w:rsidRDefault="007B5E9B">
      <w:pPr>
        <w:pStyle w:val="Inhopg4"/>
        <w:rPr>
          <w:rFonts w:eastAsiaTheme="minorEastAsia"/>
          <w:i w:val="0"/>
          <w:sz w:val="22"/>
          <w:szCs w:val="22"/>
          <w:lang w:eastAsia="nl-BE"/>
        </w:rPr>
      </w:pPr>
      <w:hyperlink w:anchor="_Toc81512514" w:history="1">
        <w:r w:rsidR="00FD0206" w:rsidRPr="00AD63CB">
          <w:rPr>
            <w:rStyle w:val="Hyperlink"/>
          </w:rPr>
          <w:t>2.1.1.12</w:t>
        </w:r>
        <w:r w:rsidR="00FD0206">
          <w:rPr>
            <w:rFonts w:eastAsiaTheme="minorEastAsia"/>
            <w:i w:val="0"/>
            <w:sz w:val="22"/>
            <w:szCs w:val="22"/>
            <w:lang w:eastAsia="nl-BE"/>
          </w:rPr>
          <w:tab/>
        </w:r>
        <w:r w:rsidR="00FD0206" w:rsidRPr="00AD63CB">
          <w:rPr>
            <w:rStyle w:val="Hyperlink"/>
          </w:rPr>
          <w:t>TABEL 9: Budget per tariefcomponenten voor gereguleerde activiteit ‘aardgas’</w:t>
        </w:r>
        <w:r w:rsidR="00FD0206">
          <w:rPr>
            <w:webHidden/>
          </w:rPr>
          <w:tab/>
        </w:r>
        <w:r w:rsidR="00FD0206">
          <w:rPr>
            <w:webHidden/>
          </w:rPr>
          <w:fldChar w:fldCharType="begin"/>
        </w:r>
        <w:r w:rsidR="00FD0206">
          <w:rPr>
            <w:webHidden/>
          </w:rPr>
          <w:instrText xml:space="preserve"> PAGEREF _Toc81512514 \h </w:instrText>
        </w:r>
        <w:r w:rsidR="00FD0206">
          <w:rPr>
            <w:webHidden/>
          </w:rPr>
        </w:r>
        <w:r w:rsidR="00FD0206">
          <w:rPr>
            <w:webHidden/>
          </w:rPr>
          <w:fldChar w:fldCharType="separate"/>
        </w:r>
        <w:r w:rsidR="00FD0206">
          <w:rPr>
            <w:webHidden/>
          </w:rPr>
          <w:t>75</w:t>
        </w:r>
        <w:r w:rsidR="00FD0206">
          <w:rPr>
            <w:webHidden/>
          </w:rPr>
          <w:fldChar w:fldCharType="end"/>
        </w:r>
      </w:hyperlink>
    </w:p>
    <w:p w14:paraId="5FA9D431" w14:textId="5AEE77D1" w:rsidR="00FD0206" w:rsidRDefault="007B5E9B">
      <w:pPr>
        <w:pStyle w:val="Inhopg4"/>
        <w:rPr>
          <w:rFonts w:eastAsiaTheme="minorEastAsia"/>
          <w:i w:val="0"/>
          <w:sz w:val="22"/>
          <w:szCs w:val="22"/>
          <w:lang w:eastAsia="nl-BE"/>
        </w:rPr>
      </w:pPr>
      <w:hyperlink w:anchor="_Toc81512515" w:history="1">
        <w:r w:rsidR="00FD0206" w:rsidRPr="00AD63CB">
          <w:rPr>
            <w:rStyle w:val="Hyperlink"/>
          </w:rPr>
          <w:t>2.1.1.13</w:t>
        </w:r>
        <w:r w:rsidR="00FD0206">
          <w:rPr>
            <w:rFonts w:eastAsiaTheme="minorEastAsia"/>
            <w:i w:val="0"/>
            <w:sz w:val="22"/>
            <w:szCs w:val="22"/>
            <w:lang w:eastAsia="nl-BE"/>
          </w:rPr>
          <w:tab/>
        </w:r>
        <w:r w:rsidR="00FD0206" w:rsidRPr="00AD63CB">
          <w:rPr>
            <w:rStyle w:val="Hyperlink"/>
          </w:rPr>
          <w:t>TABEL 10: Budget per energierichting en klantengroep voor gereguleerde activiteit ‘aardgas’</w:t>
        </w:r>
        <w:r w:rsidR="00FD0206">
          <w:rPr>
            <w:webHidden/>
          </w:rPr>
          <w:tab/>
        </w:r>
        <w:r w:rsidR="00FD0206">
          <w:rPr>
            <w:webHidden/>
          </w:rPr>
          <w:fldChar w:fldCharType="begin"/>
        </w:r>
        <w:r w:rsidR="00FD0206">
          <w:rPr>
            <w:webHidden/>
          </w:rPr>
          <w:instrText xml:space="preserve"> PAGEREF _Toc81512515 \h </w:instrText>
        </w:r>
        <w:r w:rsidR="00FD0206">
          <w:rPr>
            <w:webHidden/>
          </w:rPr>
        </w:r>
        <w:r w:rsidR="00FD0206">
          <w:rPr>
            <w:webHidden/>
          </w:rPr>
          <w:fldChar w:fldCharType="separate"/>
        </w:r>
        <w:r w:rsidR="00FD0206">
          <w:rPr>
            <w:webHidden/>
          </w:rPr>
          <w:t>75</w:t>
        </w:r>
        <w:r w:rsidR="00FD0206">
          <w:rPr>
            <w:webHidden/>
          </w:rPr>
          <w:fldChar w:fldCharType="end"/>
        </w:r>
      </w:hyperlink>
    </w:p>
    <w:p w14:paraId="113E47C7" w14:textId="79E8D038" w:rsidR="00FD0206" w:rsidRDefault="007B5E9B">
      <w:pPr>
        <w:pStyle w:val="Inhopg4"/>
        <w:rPr>
          <w:rFonts w:eastAsiaTheme="minorEastAsia"/>
          <w:i w:val="0"/>
          <w:sz w:val="22"/>
          <w:szCs w:val="22"/>
          <w:lang w:eastAsia="nl-BE"/>
        </w:rPr>
      </w:pPr>
      <w:hyperlink w:anchor="_Toc81512516" w:history="1">
        <w:r w:rsidR="00FD0206" w:rsidRPr="00AD63CB">
          <w:rPr>
            <w:rStyle w:val="Hyperlink"/>
          </w:rPr>
          <w:t>2.1.1.14</w:t>
        </w:r>
        <w:r w:rsidR="00FD0206">
          <w:rPr>
            <w:rFonts w:eastAsiaTheme="minorEastAsia"/>
            <w:i w:val="0"/>
            <w:sz w:val="22"/>
            <w:szCs w:val="22"/>
            <w:lang w:eastAsia="nl-BE"/>
          </w:rPr>
          <w:tab/>
        </w:r>
        <w:r w:rsidR="00FD0206" w:rsidRPr="00AD63CB">
          <w:rPr>
            <w:rStyle w:val="Hyperlink"/>
          </w:rPr>
          <w:t>TABEL 11A: Naam distributienetbeheerder – AARDGAS – Tarieflijst periodieke distributienettarieven [20XX] – Afname</w:t>
        </w:r>
        <w:r w:rsidR="00FD0206">
          <w:rPr>
            <w:webHidden/>
          </w:rPr>
          <w:tab/>
        </w:r>
        <w:r w:rsidR="00FD0206">
          <w:rPr>
            <w:webHidden/>
          </w:rPr>
          <w:fldChar w:fldCharType="begin"/>
        </w:r>
        <w:r w:rsidR="00FD0206">
          <w:rPr>
            <w:webHidden/>
          </w:rPr>
          <w:instrText xml:space="preserve"> PAGEREF _Toc81512516 \h </w:instrText>
        </w:r>
        <w:r w:rsidR="00FD0206">
          <w:rPr>
            <w:webHidden/>
          </w:rPr>
        </w:r>
        <w:r w:rsidR="00FD0206">
          <w:rPr>
            <w:webHidden/>
          </w:rPr>
          <w:fldChar w:fldCharType="separate"/>
        </w:r>
        <w:r w:rsidR="00FD0206">
          <w:rPr>
            <w:webHidden/>
          </w:rPr>
          <w:t>75</w:t>
        </w:r>
        <w:r w:rsidR="00FD0206">
          <w:rPr>
            <w:webHidden/>
          </w:rPr>
          <w:fldChar w:fldCharType="end"/>
        </w:r>
      </w:hyperlink>
    </w:p>
    <w:p w14:paraId="1D5446F5" w14:textId="2CDE0A68" w:rsidR="00FD0206" w:rsidRDefault="007B5E9B">
      <w:pPr>
        <w:pStyle w:val="Inhopg4"/>
        <w:rPr>
          <w:rFonts w:eastAsiaTheme="minorEastAsia"/>
          <w:i w:val="0"/>
          <w:sz w:val="22"/>
          <w:szCs w:val="22"/>
          <w:lang w:eastAsia="nl-BE"/>
        </w:rPr>
      </w:pPr>
      <w:hyperlink w:anchor="_Toc81512517" w:history="1">
        <w:r w:rsidR="00FD0206" w:rsidRPr="00AD63CB">
          <w:rPr>
            <w:rStyle w:val="Hyperlink"/>
          </w:rPr>
          <w:t>2.1.1.15</w:t>
        </w:r>
        <w:r w:rsidR="00FD0206">
          <w:rPr>
            <w:rFonts w:eastAsiaTheme="minorEastAsia"/>
            <w:i w:val="0"/>
            <w:sz w:val="22"/>
            <w:szCs w:val="22"/>
            <w:lang w:eastAsia="nl-BE"/>
          </w:rPr>
          <w:tab/>
        </w:r>
        <w:r w:rsidR="00FD0206" w:rsidRPr="00AD63CB">
          <w:rPr>
            <w:rStyle w:val="Hyperlink"/>
          </w:rPr>
          <w:t>TABEL 11B: Naam distributienetbeheerder – AARDGAS – Tarieflijst periodieke distributienettarieven [20XX] – Injectie</w:t>
        </w:r>
        <w:r w:rsidR="00FD0206">
          <w:rPr>
            <w:webHidden/>
          </w:rPr>
          <w:tab/>
        </w:r>
        <w:r w:rsidR="00FD0206">
          <w:rPr>
            <w:webHidden/>
          </w:rPr>
          <w:fldChar w:fldCharType="begin"/>
        </w:r>
        <w:r w:rsidR="00FD0206">
          <w:rPr>
            <w:webHidden/>
          </w:rPr>
          <w:instrText xml:space="preserve"> PAGEREF _Toc81512517 \h </w:instrText>
        </w:r>
        <w:r w:rsidR="00FD0206">
          <w:rPr>
            <w:webHidden/>
          </w:rPr>
        </w:r>
        <w:r w:rsidR="00FD0206">
          <w:rPr>
            <w:webHidden/>
          </w:rPr>
          <w:fldChar w:fldCharType="separate"/>
        </w:r>
        <w:r w:rsidR="00FD0206">
          <w:rPr>
            <w:webHidden/>
          </w:rPr>
          <w:t>76</w:t>
        </w:r>
        <w:r w:rsidR="00FD0206">
          <w:rPr>
            <w:webHidden/>
          </w:rPr>
          <w:fldChar w:fldCharType="end"/>
        </w:r>
      </w:hyperlink>
    </w:p>
    <w:p w14:paraId="4532D82E" w14:textId="5B9A4392" w:rsidR="00FD0206" w:rsidRDefault="007B5E9B">
      <w:pPr>
        <w:pStyle w:val="Inhopg4"/>
        <w:rPr>
          <w:rFonts w:eastAsiaTheme="minorEastAsia"/>
          <w:i w:val="0"/>
          <w:sz w:val="22"/>
          <w:szCs w:val="22"/>
          <w:lang w:eastAsia="nl-BE"/>
        </w:rPr>
      </w:pPr>
      <w:hyperlink w:anchor="_Toc81512518" w:history="1">
        <w:r w:rsidR="00FD0206" w:rsidRPr="00AD63CB">
          <w:rPr>
            <w:rStyle w:val="Hyperlink"/>
          </w:rPr>
          <w:t>2.1.1.16</w:t>
        </w:r>
        <w:r w:rsidR="00FD0206">
          <w:rPr>
            <w:rFonts w:eastAsiaTheme="minorEastAsia"/>
            <w:i w:val="0"/>
            <w:sz w:val="22"/>
            <w:szCs w:val="22"/>
            <w:lang w:eastAsia="nl-BE"/>
          </w:rPr>
          <w:tab/>
        </w:r>
        <w:r w:rsidR="00FD0206" w:rsidRPr="00AD63CB">
          <w:rPr>
            <w:rStyle w:val="Hyperlink"/>
          </w:rPr>
          <w:t>TABEL 12: Rekenvolumes en reconciliatie van budget voor gereguleerde activiteit ‘aardgas’</w:t>
        </w:r>
        <w:r w:rsidR="00FD0206">
          <w:rPr>
            <w:webHidden/>
          </w:rPr>
          <w:tab/>
        </w:r>
        <w:r w:rsidR="00FD0206">
          <w:rPr>
            <w:webHidden/>
          </w:rPr>
          <w:fldChar w:fldCharType="begin"/>
        </w:r>
        <w:r w:rsidR="00FD0206">
          <w:rPr>
            <w:webHidden/>
          </w:rPr>
          <w:instrText xml:space="preserve"> PAGEREF _Toc81512518 \h </w:instrText>
        </w:r>
        <w:r w:rsidR="00FD0206">
          <w:rPr>
            <w:webHidden/>
          </w:rPr>
        </w:r>
        <w:r w:rsidR="00FD0206">
          <w:rPr>
            <w:webHidden/>
          </w:rPr>
          <w:fldChar w:fldCharType="separate"/>
        </w:r>
        <w:r w:rsidR="00FD0206">
          <w:rPr>
            <w:webHidden/>
          </w:rPr>
          <w:t>76</w:t>
        </w:r>
        <w:r w:rsidR="00FD0206">
          <w:rPr>
            <w:webHidden/>
          </w:rPr>
          <w:fldChar w:fldCharType="end"/>
        </w:r>
      </w:hyperlink>
    </w:p>
    <w:p w14:paraId="4A9C38DF" w14:textId="229193C6" w:rsidR="00FD0206" w:rsidRDefault="007B5E9B">
      <w:pPr>
        <w:pStyle w:val="Inhopg2"/>
        <w:rPr>
          <w:rFonts w:eastAsiaTheme="minorEastAsia"/>
          <w:lang w:eastAsia="nl-BE"/>
        </w:rPr>
      </w:pPr>
      <w:hyperlink w:anchor="_Toc81512519" w:history="1">
        <w:r w:rsidR="00FD0206" w:rsidRPr="00AD63CB">
          <w:rPr>
            <w:rStyle w:val="Hyperlink"/>
          </w:rPr>
          <w:t>2.2</w:t>
        </w:r>
        <w:r w:rsidR="00FD0206">
          <w:rPr>
            <w:rFonts w:eastAsiaTheme="minorEastAsia"/>
            <w:lang w:eastAsia="nl-BE"/>
          </w:rPr>
          <w:tab/>
        </w:r>
        <w:r w:rsidR="00FD0206" w:rsidRPr="00AD63CB">
          <w:rPr>
            <w:rStyle w:val="Hyperlink"/>
          </w:rPr>
          <w:t>Invulinstructie Bijlage 7B: Tariefvoorstel periodieke distributienettarieven 2022[H2]-2024</w:t>
        </w:r>
        <w:r w:rsidR="00FD0206">
          <w:rPr>
            <w:webHidden/>
          </w:rPr>
          <w:tab/>
        </w:r>
        <w:r w:rsidR="00FD0206">
          <w:rPr>
            <w:webHidden/>
          </w:rPr>
          <w:fldChar w:fldCharType="begin"/>
        </w:r>
        <w:r w:rsidR="00FD0206">
          <w:rPr>
            <w:webHidden/>
          </w:rPr>
          <w:instrText xml:space="preserve"> PAGEREF _Toc81512519 \h </w:instrText>
        </w:r>
        <w:r w:rsidR="00FD0206">
          <w:rPr>
            <w:webHidden/>
          </w:rPr>
        </w:r>
        <w:r w:rsidR="00FD0206">
          <w:rPr>
            <w:webHidden/>
          </w:rPr>
          <w:fldChar w:fldCharType="separate"/>
        </w:r>
        <w:r w:rsidR="00FD0206">
          <w:rPr>
            <w:webHidden/>
          </w:rPr>
          <w:t>76</w:t>
        </w:r>
        <w:r w:rsidR="00FD0206">
          <w:rPr>
            <w:webHidden/>
          </w:rPr>
          <w:fldChar w:fldCharType="end"/>
        </w:r>
      </w:hyperlink>
    </w:p>
    <w:p w14:paraId="663EACE2" w14:textId="2A4EACB0" w:rsidR="00FD0206" w:rsidRDefault="007B5E9B">
      <w:pPr>
        <w:pStyle w:val="Inhopg3"/>
        <w:rPr>
          <w:rFonts w:eastAsiaTheme="minorEastAsia"/>
          <w:sz w:val="22"/>
          <w:szCs w:val="22"/>
          <w:lang w:eastAsia="nl-BE"/>
        </w:rPr>
      </w:pPr>
      <w:hyperlink w:anchor="_Toc81512520" w:history="1">
        <w:r w:rsidR="00FD0206" w:rsidRPr="00AD63CB">
          <w:rPr>
            <w:rStyle w:val="Hyperlink"/>
          </w:rPr>
          <w:t>2.2.1</w:t>
        </w:r>
        <w:r w:rsidR="00FD0206">
          <w:rPr>
            <w:rFonts w:eastAsiaTheme="minorEastAsia"/>
            <w:sz w:val="22"/>
            <w:szCs w:val="22"/>
            <w:lang w:eastAsia="nl-BE"/>
          </w:rPr>
          <w:tab/>
        </w:r>
        <w:r w:rsidR="00FD0206" w:rsidRPr="00AD63CB">
          <w:rPr>
            <w:rStyle w:val="Hyperlink"/>
          </w:rPr>
          <w:t>Algemene invulinstructies</w:t>
        </w:r>
        <w:r w:rsidR="00FD0206">
          <w:rPr>
            <w:webHidden/>
          </w:rPr>
          <w:tab/>
        </w:r>
        <w:r w:rsidR="00FD0206">
          <w:rPr>
            <w:webHidden/>
          </w:rPr>
          <w:fldChar w:fldCharType="begin"/>
        </w:r>
        <w:r w:rsidR="00FD0206">
          <w:rPr>
            <w:webHidden/>
          </w:rPr>
          <w:instrText xml:space="preserve"> PAGEREF _Toc81512520 \h </w:instrText>
        </w:r>
        <w:r w:rsidR="00FD0206">
          <w:rPr>
            <w:webHidden/>
          </w:rPr>
        </w:r>
        <w:r w:rsidR="00FD0206">
          <w:rPr>
            <w:webHidden/>
          </w:rPr>
          <w:fldChar w:fldCharType="separate"/>
        </w:r>
        <w:r w:rsidR="00FD0206">
          <w:rPr>
            <w:webHidden/>
          </w:rPr>
          <w:t>77</w:t>
        </w:r>
        <w:r w:rsidR="00FD0206">
          <w:rPr>
            <w:webHidden/>
          </w:rPr>
          <w:fldChar w:fldCharType="end"/>
        </w:r>
      </w:hyperlink>
    </w:p>
    <w:p w14:paraId="0D7B4D32" w14:textId="1CCB75A8" w:rsidR="00FD0206" w:rsidRDefault="007B5E9B">
      <w:pPr>
        <w:pStyle w:val="Inhopg4"/>
        <w:rPr>
          <w:rFonts w:eastAsiaTheme="minorEastAsia"/>
          <w:i w:val="0"/>
          <w:sz w:val="22"/>
          <w:szCs w:val="22"/>
          <w:lang w:eastAsia="nl-BE"/>
        </w:rPr>
      </w:pPr>
      <w:hyperlink w:anchor="_Toc81512521" w:history="1">
        <w:r w:rsidR="00FD0206" w:rsidRPr="00AD63CB">
          <w:rPr>
            <w:rStyle w:val="Hyperlink"/>
          </w:rPr>
          <w:t>2.2.1.1</w:t>
        </w:r>
        <w:r w:rsidR="00FD0206">
          <w:rPr>
            <w:rFonts w:eastAsiaTheme="minorEastAsia"/>
            <w:i w:val="0"/>
            <w:sz w:val="22"/>
            <w:szCs w:val="22"/>
            <w:lang w:eastAsia="nl-BE"/>
          </w:rPr>
          <w:tab/>
        </w:r>
        <w:r w:rsidR="00FD0206" w:rsidRPr="00AD63CB">
          <w:rPr>
            <w:rStyle w:val="Hyperlink"/>
          </w:rPr>
          <w:t>TITELBLAD</w:t>
        </w:r>
        <w:r w:rsidR="00FD0206">
          <w:rPr>
            <w:webHidden/>
          </w:rPr>
          <w:tab/>
        </w:r>
        <w:r w:rsidR="00FD0206">
          <w:rPr>
            <w:webHidden/>
          </w:rPr>
          <w:fldChar w:fldCharType="begin"/>
        </w:r>
        <w:r w:rsidR="00FD0206">
          <w:rPr>
            <w:webHidden/>
          </w:rPr>
          <w:instrText xml:space="preserve"> PAGEREF _Toc81512521 \h </w:instrText>
        </w:r>
        <w:r w:rsidR="00FD0206">
          <w:rPr>
            <w:webHidden/>
          </w:rPr>
        </w:r>
        <w:r w:rsidR="00FD0206">
          <w:rPr>
            <w:webHidden/>
          </w:rPr>
          <w:fldChar w:fldCharType="separate"/>
        </w:r>
        <w:r w:rsidR="00FD0206">
          <w:rPr>
            <w:webHidden/>
          </w:rPr>
          <w:t>78</w:t>
        </w:r>
        <w:r w:rsidR="00FD0206">
          <w:rPr>
            <w:webHidden/>
          </w:rPr>
          <w:fldChar w:fldCharType="end"/>
        </w:r>
      </w:hyperlink>
    </w:p>
    <w:p w14:paraId="4E4D2AA4" w14:textId="768985D7" w:rsidR="00FD0206" w:rsidRDefault="007B5E9B">
      <w:pPr>
        <w:pStyle w:val="Inhopg4"/>
        <w:rPr>
          <w:rFonts w:eastAsiaTheme="minorEastAsia"/>
          <w:i w:val="0"/>
          <w:sz w:val="22"/>
          <w:szCs w:val="22"/>
          <w:lang w:eastAsia="nl-BE"/>
        </w:rPr>
      </w:pPr>
      <w:hyperlink w:anchor="_Toc81512522" w:history="1">
        <w:r w:rsidR="00FD0206" w:rsidRPr="00AD63CB">
          <w:rPr>
            <w:rStyle w:val="Hyperlink"/>
          </w:rPr>
          <w:t>2.2.1.2</w:t>
        </w:r>
        <w:r w:rsidR="00FD0206">
          <w:rPr>
            <w:rFonts w:eastAsiaTheme="minorEastAsia"/>
            <w:i w:val="0"/>
            <w:sz w:val="22"/>
            <w:szCs w:val="22"/>
            <w:lang w:eastAsia="nl-BE"/>
          </w:rPr>
          <w:tab/>
        </w:r>
        <w:r w:rsidR="00FD0206" w:rsidRPr="00AD63CB">
          <w:rPr>
            <w:rStyle w:val="Hyperlink"/>
          </w:rPr>
          <w:t>ASSUMPTIES</w:t>
        </w:r>
        <w:r w:rsidR="00FD0206">
          <w:rPr>
            <w:webHidden/>
          </w:rPr>
          <w:tab/>
        </w:r>
        <w:r w:rsidR="00FD0206">
          <w:rPr>
            <w:webHidden/>
          </w:rPr>
          <w:fldChar w:fldCharType="begin"/>
        </w:r>
        <w:r w:rsidR="00FD0206">
          <w:rPr>
            <w:webHidden/>
          </w:rPr>
          <w:instrText xml:space="preserve"> PAGEREF _Toc81512522 \h </w:instrText>
        </w:r>
        <w:r w:rsidR="00FD0206">
          <w:rPr>
            <w:webHidden/>
          </w:rPr>
        </w:r>
        <w:r w:rsidR="00FD0206">
          <w:rPr>
            <w:webHidden/>
          </w:rPr>
          <w:fldChar w:fldCharType="separate"/>
        </w:r>
        <w:r w:rsidR="00FD0206">
          <w:rPr>
            <w:webHidden/>
          </w:rPr>
          <w:t>78</w:t>
        </w:r>
        <w:r w:rsidR="00FD0206">
          <w:rPr>
            <w:webHidden/>
          </w:rPr>
          <w:fldChar w:fldCharType="end"/>
        </w:r>
      </w:hyperlink>
    </w:p>
    <w:p w14:paraId="0169A741" w14:textId="2860AB17" w:rsidR="00FD0206" w:rsidRDefault="007B5E9B">
      <w:pPr>
        <w:pStyle w:val="Inhopg4"/>
        <w:rPr>
          <w:rFonts w:eastAsiaTheme="minorEastAsia"/>
          <w:i w:val="0"/>
          <w:sz w:val="22"/>
          <w:szCs w:val="22"/>
          <w:lang w:eastAsia="nl-BE"/>
        </w:rPr>
      </w:pPr>
      <w:hyperlink w:anchor="_Toc81512523" w:history="1">
        <w:r w:rsidR="00FD0206" w:rsidRPr="00AD63CB">
          <w:rPr>
            <w:rStyle w:val="Hyperlink"/>
          </w:rPr>
          <w:t>2.2.1.3</w:t>
        </w:r>
        <w:r w:rsidR="00FD0206">
          <w:rPr>
            <w:rFonts w:eastAsiaTheme="minorEastAsia"/>
            <w:i w:val="0"/>
            <w:sz w:val="22"/>
            <w:szCs w:val="22"/>
            <w:lang w:eastAsia="nl-BE"/>
          </w:rPr>
          <w:tab/>
        </w:r>
        <w:r w:rsidR="00FD0206" w:rsidRPr="00AD63CB">
          <w:rPr>
            <w:rStyle w:val="Hyperlink"/>
          </w:rPr>
          <w:t>VERDEELSLEUTELS</w:t>
        </w:r>
        <w:r w:rsidR="00FD0206">
          <w:rPr>
            <w:webHidden/>
          </w:rPr>
          <w:tab/>
        </w:r>
        <w:r w:rsidR="00FD0206">
          <w:rPr>
            <w:webHidden/>
          </w:rPr>
          <w:fldChar w:fldCharType="begin"/>
        </w:r>
        <w:r w:rsidR="00FD0206">
          <w:rPr>
            <w:webHidden/>
          </w:rPr>
          <w:instrText xml:space="preserve"> PAGEREF _Toc81512523 \h </w:instrText>
        </w:r>
        <w:r w:rsidR="00FD0206">
          <w:rPr>
            <w:webHidden/>
          </w:rPr>
        </w:r>
        <w:r w:rsidR="00FD0206">
          <w:rPr>
            <w:webHidden/>
          </w:rPr>
          <w:fldChar w:fldCharType="separate"/>
        </w:r>
        <w:r w:rsidR="00FD0206">
          <w:rPr>
            <w:webHidden/>
          </w:rPr>
          <w:t>79</w:t>
        </w:r>
        <w:r w:rsidR="00FD0206">
          <w:rPr>
            <w:webHidden/>
          </w:rPr>
          <w:fldChar w:fldCharType="end"/>
        </w:r>
      </w:hyperlink>
    </w:p>
    <w:p w14:paraId="4D421BA4" w14:textId="169DC79A" w:rsidR="00FD0206" w:rsidRDefault="007B5E9B">
      <w:pPr>
        <w:pStyle w:val="Inhopg4"/>
        <w:rPr>
          <w:rFonts w:eastAsiaTheme="minorEastAsia"/>
          <w:i w:val="0"/>
          <w:sz w:val="22"/>
          <w:szCs w:val="22"/>
          <w:lang w:eastAsia="nl-BE"/>
        </w:rPr>
      </w:pPr>
      <w:hyperlink w:anchor="_Toc81512524" w:history="1">
        <w:r w:rsidR="00FD0206" w:rsidRPr="00AD63CB">
          <w:rPr>
            <w:rStyle w:val="Hyperlink"/>
          </w:rPr>
          <w:t>2.2.1.4</w:t>
        </w:r>
        <w:r w:rsidR="00FD0206">
          <w:rPr>
            <w:rFonts w:eastAsiaTheme="minorEastAsia"/>
            <w:i w:val="0"/>
            <w:sz w:val="22"/>
            <w:szCs w:val="22"/>
            <w:lang w:eastAsia="nl-BE"/>
          </w:rPr>
          <w:tab/>
        </w:r>
        <w:r w:rsidR="00FD0206" w:rsidRPr="00AD63CB">
          <w:rPr>
            <w:rStyle w:val="Hyperlink"/>
          </w:rPr>
          <w:t>REKENVOLUMES</w:t>
        </w:r>
        <w:r w:rsidR="00FD0206">
          <w:rPr>
            <w:webHidden/>
          </w:rPr>
          <w:tab/>
        </w:r>
        <w:r w:rsidR="00FD0206">
          <w:rPr>
            <w:webHidden/>
          </w:rPr>
          <w:fldChar w:fldCharType="begin"/>
        </w:r>
        <w:r w:rsidR="00FD0206">
          <w:rPr>
            <w:webHidden/>
          </w:rPr>
          <w:instrText xml:space="preserve"> PAGEREF _Toc81512524 \h </w:instrText>
        </w:r>
        <w:r w:rsidR="00FD0206">
          <w:rPr>
            <w:webHidden/>
          </w:rPr>
        </w:r>
        <w:r w:rsidR="00FD0206">
          <w:rPr>
            <w:webHidden/>
          </w:rPr>
          <w:fldChar w:fldCharType="separate"/>
        </w:r>
        <w:r w:rsidR="00FD0206">
          <w:rPr>
            <w:webHidden/>
          </w:rPr>
          <w:t>80</w:t>
        </w:r>
        <w:r w:rsidR="00FD0206">
          <w:rPr>
            <w:webHidden/>
          </w:rPr>
          <w:fldChar w:fldCharType="end"/>
        </w:r>
      </w:hyperlink>
    </w:p>
    <w:p w14:paraId="7C2B30CD" w14:textId="0AA05381" w:rsidR="00FD0206" w:rsidRDefault="007B5E9B">
      <w:pPr>
        <w:pStyle w:val="Inhopg4"/>
        <w:rPr>
          <w:rFonts w:eastAsiaTheme="minorEastAsia"/>
          <w:i w:val="0"/>
          <w:sz w:val="22"/>
          <w:szCs w:val="22"/>
          <w:lang w:eastAsia="nl-BE"/>
        </w:rPr>
      </w:pPr>
      <w:hyperlink w:anchor="_Toc81512525" w:history="1">
        <w:r w:rsidR="00FD0206" w:rsidRPr="00AD63CB">
          <w:rPr>
            <w:rStyle w:val="Hyperlink"/>
          </w:rPr>
          <w:t>2.2.1.5</w:t>
        </w:r>
        <w:r w:rsidR="00FD0206">
          <w:rPr>
            <w:rFonts w:eastAsiaTheme="minorEastAsia"/>
            <w:i w:val="0"/>
            <w:sz w:val="22"/>
            <w:szCs w:val="22"/>
            <w:lang w:eastAsia="nl-BE"/>
          </w:rPr>
          <w:tab/>
        </w:r>
        <w:r w:rsidR="00FD0206" w:rsidRPr="00AD63CB">
          <w:rPr>
            <w:rStyle w:val="Hyperlink"/>
          </w:rPr>
          <w:t>MAXIMUM</w:t>
        </w:r>
        <w:r w:rsidR="00FD0206">
          <w:rPr>
            <w:webHidden/>
          </w:rPr>
          <w:tab/>
        </w:r>
        <w:r w:rsidR="00FD0206">
          <w:rPr>
            <w:webHidden/>
          </w:rPr>
          <w:fldChar w:fldCharType="begin"/>
        </w:r>
        <w:r w:rsidR="00FD0206">
          <w:rPr>
            <w:webHidden/>
          </w:rPr>
          <w:instrText xml:space="preserve"> PAGEREF _Toc81512525 \h </w:instrText>
        </w:r>
        <w:r w:rsidR="00FD0206">
          <w:rPr>
            <w:webHidden/>
          </w:rPr>
        </w:r>
        <w:r w:rsidR="00FD0206">
          <w:rPr>
            <w:webHidden/>
          </w:rPr>
          <w:fldChar w:fldCharType="separate"/>
        </w:r>
        <w:r w:rsidR="00FD0206">
          <w:rPr>
            <w:webHidden/>
          </w:rPr>
          <w:t>80</w:t>
        </w:r>
        <w:r w:rsidR="00FD0206">
          <w:rPr>
            <w:webHidden/>
          </w:rPr>
          <w:fldChar w:fldCharType="end"/>
        </w:r>
      </w:hyperlink>
    </w:p>
    <w:p w14:paraId="1FFC260E" w14:textId="23AB2695" w:rsidR="00FD0206" w:rsidRDefault="007B5E9B">
      <w:pPr>
        <w:pStyle w:val="Inhopg4"/>
        <w:rPr>
          <w:rFonts w:eastAsiaTheme="minorEastAsia"/>
          <w:i w:val="0"/>
          <w:sz w:val="22"/>
          <w:szCs w:val="22"/>
          <w:lang w:eastAsia="nl-BE"/>
        </w:rPr>
      </w:pPr>
      <w:hyperlink w:anchor="_Toc81512526" w:history="1">
        <w:r w:rsidR="00FD0206" w:rsidRPr="00AD63CB">
          <w:rPr>
            <w:rStyle w:val="Hyperlink"/>
          </w:rPr>
          <w:t>2.2.1.6</w:t>
        </w:r>
        <w:r w:rsidR="00FD0206">
          <w:rPr>
            <w:rFonts w:eastAsiaTheme="minorEastAsia"/>
            <w:i w:val="0"/>
            <w:sz w:val="22"/>
            <w:szCs w:val="22"/>
            <w:lang w:eastAsia="nl-BE"/>
          </w:rPr>
          <w:tab/>
        </w:r>
        <w:r w:rsidR="00FD0206" w:rsidRPr="00AD63CB">
          <w:rPr>
            <w:rStyle w:val="Hyperlink"/>
          </w:rPr>
          <w:t>MAX Afname TRHS en aanverwante werkbladen</w:t>
        </w:r>
        <w:r w:rsidR="00FD0206">
          <w:rPr>
            <w:webHidden/>
          </w:rPr>
          <w:tab/>
        </w:r>
        <w:r w:rsidR="00FD0206">
          <w:rPr>
            <w:webHidden/>
          </w:rPr>
          <w:fldChar w:fldCharType="begin"/>
        </w:r>
        <w:r w:rsidR="00FD0206">
          <w:rPr>
            <w:webHidden/>
          </w:rPr>
          <w:instrText xml:space="preserve"> PAGEREF _Toc81512526 \h </w:instrText>
        </w:r>
        <w:r w:rsidR="00FD0206">
          <w:rPr>
            <w:webHidden/>
          </w:rPr>
        </w:r>
        <w:r w:rsidR="00FD0206">
          <w:rPr>
            <w:webHidden/>
          </w:rPr>
          <w:fldChar w:fldCharType="separate"/>
        </w:r>
        <w:r w:rsidR="00FD0206">
          <w:rPr>
            <w:webHidden/>
          </w:rPr>
          <w:t>81</w:t>
        </w:r>
        <w:r w:rsidR="00FD0206">
          <w:rPr>
            <w:webHidden/>
          </w:rPr>
          <w:fldChar w:fldCharType="end"/>
        </w:r>
      </w:hyperlink>
    </w:p>
    <w:p w14:paraId="274CAB0C" w14:textId="0B1FAF76" w:rsidR="00FD0206" w:rsidRDefault="007B5E9B">
      <w:pPr>
        <w:pStyle w:val="Inhopg4"/>
        <w:rPr>
          <w:rFonts w:eastAsiaTheme="minorEastAsia"/>
          <w:i w:val="0"/>
          <w:sz w:val="22"/>
          <w:szCs w:val="22"/>
          <w:lang w:eastAsia="nl-BE"/>
        </w:rPr>
      </w:pPr>
      <w:hyperlink w:anchor="_Toc81512527" w:history="1">
        <w:r w:rsidR="00FD0206" w:rsidRPr="00AD63CB">
          <w:rPr>
            <w:rStyle w:val="Hyperlink"/>
          </w:rPr>
          <w:t>2.2.1.7</w:t>
        </w:r>
        <w:r w:rsidR="00FD0206">
          <w:rPr>
            <w:rFonts w:eastAsiaTheme="minorEastAsia"/>
            <w:i w:val="0"/>
            <w:sz w:val="22"/>
            <w:szCs w:val="22"/>
            <w:lang w:eastAsia="nl-BE"/>
          </w:rPr>
          <w:tab/>
        </w:r>
        <w:r w:rsidR="00FD0206" w:rsidRPr="00AD63CB">
          <w:rPr>
            <w:rStyle w:val="Hyperlink"/>
          </w:rPr>
          <w:t>TABEL 1</w:t>
        </w:r>
        <w:r w:rsidR="00FD0206">
          <w:rPr>
            <w:webHidden/>
          </w:rPr>
          <w:tab/>
        </w:r>
        <w:r w:rsidR="00FD0206">
          <w:rPr>
            <w:webHidden/>
          </w:rPr>
          <w:fldChar w:fldCharType="begin"/>
        </w:r>
        <w:r w:rsidR="00FD0206">
          <w:rPr>
            <w:webHidden/>
          </w:rPr>
          <w:instrText xml:space="preserve"> PAGEREF _Toc81512527 \h </w:instrText>
        </w:r>
        <w:r w:rsidR="00FD0206">
          <w:rPr>
            <w:webHidden/>
          </w:rPr>
        </w:r>
        <w:r w:rsidR="00FD0206">
          <w:rPr>
            <w:webHidden/>
          </w:rPr>
          <w:fldChar w:fldCharType="separate"/>
        </w:r>
        <w:r w:rsidR="00FD0206">
          <w:rPr>
            <w:webHidden/>
          </w:rPr>
          <w:t>81</w:t>
        </w:r>
        <w:r w:rsidR="00FD0206">
          <w:rPr>
            <w:webHidden/>
          </w:rPr>
          <w:fldChar w:fldCharType="end"/>
        </w:r>
      </w:hyperlink>
    </w:p>
    <w:p w14:paraId="434ABB88" w14:textId="637217BB" w:rsidR="00FD0206" w:rsidRDefault="007B5E9B">
      <w:pPr>
        <w:pStyle w:val="Inhopg4"/>
        <w:rPr>
          <w:rFonts w:eastAsiaTheme="minorEastAsia"/>
          <w:i w:val="0"/>
          <w:sz w:val="22"/>
          <w:szCs w:val="22"/>
          <w:lang w:eastAsia="nl-BE"/>
        </w:rPr>
      </w:pPr>
      <w:hyperlink w:anchor="_Toc81512528" w:history="1">
        <w:r w:rsidR="00FD0206" w:rsidRPr="00AD63CB">
          <w:rPr>
            <w:rStyle w:val="Hyperlink"/>
          </w:rPr>
          <w:t>2.2.1.8</w:t>
        </w:r>
        <w:r w:rsidR="00FD0206">
          <w:rPr>
            <w:rFonts w:eastAsiaTheme="minorEastAsia"/>
            <w:i w:val="0"/>
            <w:sz w:val="22"/>
            <w:szCs w:val="22"/>
            <w:lang w:eastAsia="nl-BE"/>
          </w:rPr>
          <w:tab/>
        </w:r>
        <w:r w:rsidR="00FD0206" w:rsidRPr="00AD63CB">
          <w:rPr>
            <w:rStyle w:val="Hyperlink"/>
          </w:rPr>
          <w:t>TABEL 2</w:t>
        </w:r>
        <w:r w:rsidR="00FD0206">
          <w:rPr>
            <w:webHidden/>
          </w:rPr>
          <w:tab/>
        </w:r>
        <w:r w:rsidR="00FD0206">
          <w:rPr>
            <w:webHidden/>
          </w:rPr>
          <w:fldChar w:fldCharType="begin"/>
        </w:r>
        <w:r w:rsidR="00FD0206">
          <w:rPr>
            <w:webHidden/>
          </w:rPr>
          <w:instrText xml:space="preserve"> PAGEREF _Toc81512528 \h </w:instrText>
        </w:r>
        <w:r w:rsidR="00FD0206">
          <w:rPr>
            <w:webHidden/>
          </w:rPr>
        </w:r>
        <w:r w:rsidR="00FD0206">
          <w:rPr>
            <w:webHidden/>
          </w:rPr>
          <w:fldChar w:fldCharType="separate"/>
        </w:r>
        <w:r w:rsidR="00FD0206">
          <w:rPr>
            <w:webHidden/>
          </w:rPr>
          <w:t>81</w:t>
        </w:r>
        <w:r w:rsidR="00FD0206">
          <w:rPr>
            <w:webHidden/>
          </w:rPr>
          <w:fldChar w:fldCharType="end"/>
        </w:r>
      </w:hyperlink>
    </w:p>
    <w:p w14:paraId="250937E2" w14:textId="19C2D16F" w:rsidR="00FD0206" w:rsidRDefault="007B5E9B">
      <w:pPr>
        <w:pStyle w:val="Inhopg4"/>
        <w:rPr>
          <w:rFonts w:eastAsiaTheme="minorEastAsia"/>
          <w:i w:val="0"/>
          <w:sz w:val="22"/>
          <w:szCs w:val="22"/>
          <w:lang w:eastAsia="nl-BE"/>
        </w:rPr>
      </w:pPr>
      <w:hyperlink w:anchor="_Toc81512529" w:history="1">
        <w:r w:rsidR="00FD0206" w:rsidRPr="00AD63CB">
          <w:rPr>
            <w:rStyle w:val="Hyperlink"/>
          </w:rPr>
          <w:t>2.2.1.9</w:t>
        </w:r>
        <w:r w:rsidR="00FD0206">
          <w:rPr>
            <w:rFonts w:eastAsiaTheme="minorEastAsia"/>
            <w:i w:val="0"/>
            <w:sz w:val="22"/>
            <w:szCs w:val="22"/>
            <w:lang w:eastAsia="nl-BE"/>
          </w:rPr>
          <w:tab/>
        </w:r>
        <w:r w:rsidR="00FD0206" w:rsidRPr="00AD63CB">
          <w:rPr>
            <w:rStyle w:val="Hyperlink"/>
          </w:rPr>
          <w:t>TABEL 3</w:t>
        </w:r>
        <w:r w:rsidR="00FD0206">
          <w:rPr>
            <w:webHidden/>
          </w:rPr>
          <w:tab/>
        </w:r>
        <w:r w:rsidR="00FD0206">
          <w:rPr>
            <w:webHidden/>
          </w:rPr>
          <w:fldChar w:fldCharType="begin"/>
        </w:r>
        <w:r w:rsidR="00FD0206">
          <w:rPr>
            <w:webHidden/>
          </w:rPr>
          <w:instrText xml:space="preserve"> PAGEREF _Toc81512529 \h </w:instrText>
        </w:r>
        <w:r w:rsidR="00FD0206">
          <w:rPr>
            <w:webHidden/>
          </w:rPr>
        </w:r>
        <w:r w:rsidR="00FD0206">
          <w:rPr>
            <w:webHidden/>
          </w:rPr>
          <w:fldChar w:fldCharType="separate"/>
        </w:r>
        <w:r w:rsidR="00FD0206">
          <w:rPr>
            <w:webHidden/>
          </w:rPr>
          <w:t>82</w:t>
        </w:r>
        <w:r w:rsidR="00FD0206">
          <w:rPr>
            <w:webHidden/>
          </w:rPr>
          <w:fldChar w:fldCharType="end"/>
        </w:r>
      </w:hyperlink>
    </w:p>
    <w:p w14:paraId="6DB1AD05" w14:textId="49042331" w:rsidR="00FD0206" w:rsidRDefault="007B5E9B">
      <w:pPr>
        <w:pStyle w:val="Inhopg4"/>
        <w:rPr>
          <w:rFonts w:eastAsiaTheme="minorEastAsia"/>
          <w:i w:val="0"/>
          <w:sz w:val="22"/>
          <w:szCs w:val="22"/>
          <w:lang w:eastAsia="nl-BE"/>
        </w:rPr>
      </w:pPr>
      <w:hyperlink w:anchor="_Toc81512530" w:history="1">
        <w:r w:rsidR="00FD0206" w:rsidRPr="00AD63CB">
          <w:rPr>
            <w:rStyle w:val="Hyperlink"/>
          </w:rPr>
          <w:t>2.2.1.10</w:t>
        </w:r>
        <w:r w:rsidR="00FD0206">
          <w:rPr>
            <w:rFonts w:eastAsiaTheme="minorEastAsia"/>
            <w:i w:val="0"/>
            <w:sz w:val="22"/>
            <w:szCs w:val="22"/>
            <w:lang w:eastAsia="nl-BE"/>
          </w:rPr>
          <w:tab/>
        </w:r>
        <w:r w:rsidR="00FD0206" w:rsidRPr="00AD63CB">
          <w:rPr>
            <w:rStyle w:val="Hyperlink"/>
          </w:rPr>
          <w:t>TABEL 4</w:t>
        </w:r>
        <w:r w:rsidR="00FD0206">
          <w:rPr>
            <w:webHidden/>
          </w:rPr>
          <w:tab/>
        </w:r>
        <w:r w:rsidR="00FD0206">
          <w:rPr>
            <w:webHidden/>
          </w:rPr>
          <w:fldChar w:fldCharType="begin"/>
        </w:r>
        <w:r w:rsidR="00FD0206">
          <w:rPr>
            <w:webHidden/>
          </w:rPr>
          <w:instrText xml:space="preserve"> PAGEREF _Toc81512530 \h </w:instrText>
        </w:r>
        <w:r w:rsidR="00FD0206">
          <w:rPr>
            <w:webHidden/>
          </w:rPr>
        </w:r>
        <w:r w:rsidR="00FD0206">
          <w:rPr>
            <w:webHidden/>
          </w:rPr>
          <w:fldChar w:fldCharType="separate"/>
        </w:r>
        <w:r w:rsidR="00FD0206">
          <w:rPr>
            <w:webHidden/>
          </w:rPr>
          <w:t>82</w:t>
        </w:r>
        <w:r w:rsidR="00FD0206">
          <w:rPr>
            <w:webHidden/>
          </w:rPr>
          <w:fldChar w:fldCharType="end"/>
        </w:r>
      </w:hyperlink>
    </w:p>
    <w:p w14:paraId="54478370" w14:textId="09FEC73F" w:rsidR="00FD0206" w:rsidRDefault="007B5E9B">
      <w:pPr>
        <w:pStyle w:val="Inhopg4"/>
        <w:rPr>
          <w:rFonts w:eastAsiaTheme="minorEastAsia"/>
          <w:i w:val="0"/>
          <w:sz w:val="22"/>
          <w:szCs w:val="22"/>
          <w:lang w:eastAsia="nl-BE"/>
        </w:rPr>
      </w:pPr>
      <w:hyperlink w:anchor="_Toc81512531" w:history="1">
        <w:r w:rsidR="00FD0206" w:rsidRPr="00AD63CB">
          <w:rPr>
            <w:rStyle w:val="Hyperlink"/>
          </w:rPr>
          <w:t>2.2.1.11</w:t>
        </w:r>
        <w:r w:rsidR="00FD0206">
          <w:rPr>
            <w:rFonts w:eastAsiaTheme="minorEastAsia"/>
            <w:i w:val="0"/>
            <w:sz w:val="22"/>
            <w:szCs w:val="22"/>
            <w:lang w:eastAsia="nl-BE"/>
          </w:rPr>
          <w:tab/>
        </w:r>
        <w:r w:rsidR="00FD0206" w:rsidRPr="00AD63CB">
          <w:rPr>
            <w:rStyle w:val="Hyperlink"/>
          </w:rPr>
          <w:t>TABEL 5</w:t>
        </w:r>
        <w:r w:rsidR="00FD0206">
          <w:rPr>
            <w:webHidden/>
          </w:rPr>
          <w:tab/>
        </w:r>
        <w:r w:rsidR="00FD0206">
          <w:rPr>
            <w:webHidden/>
          </w:rPr>
          <w:fldChar w:fldCharType="begin"/>
        </w:r>
        <w:r w:rsidR="00FD0206">
          <w:rPr>
            <w:webHidden/>
          </w:rPr>
          <w:instrText xml:space="preserve"> PAGEREF _Toc81512531 \h </w:instrText>
        </w:r>
        <w:r w:rsidR="00FD0206">
          <w:rPr>
            <w:webHidden/>
          </w:rPr>
        </w:r>
        <w:r w:rsidR="00FD0206">
          <w:rPr>
            <w:webHidden/>
          </w:rPr>
          <w:fldChar w:fldCharType="separate"/>
        </w:r>
        <w:r w:rsidR="00FD0206">
          <w:rPr>
            <w:webHidden/>
          </w:rPr>
          <w:t>83</w:t>
        </w:r>
        <w:r w:rsidR="00FD0206">
          <w:rPr>
            <w:webHidden/>
          </w:rPr>
          <w:fldChar w:fldCharType="end"/>
        </w:r>
      </w:hyperlink>
    </w:p>
    <w:p w14:paraId="568A4BCF" w14:textId="74F33EEB" w:rsidR="00FD0206" w:rsidRDefault="007B5E9B">
      <w:pPr>
        <w:pStyle w:val="Inhopg4"/>
        <w:rPr>
          <w:rFonts w:eastAsiaTheme="minorEastAsia"/>
          <w:i w:val="0"/>
          <w:sz w:val="22"/>
          <w:szCs w:val="22"/>
          <w:lang w:eastAsia="nl-BE"/>
        </w:rPr>
      </w:pPr>
      <w:hyperlink w:anchor="_Toc81512532" w:history="1">
        <w:r w:rsidR="00FD0206" w:rsidRPr="00AD63CB">
          <w:rPr>
            <w:rStyle w:val="Hyperlink"/>
          </w:rPr>
          <w:t>2.2.1.12</w:t>
        </w:r>
        <w:r w:rsidR="00FD0206">
          <w:rPr>
            <w:rFonts w:eastAsiaTheme="minorEastAsia"/>
            <w:i w:val="0"/>
            <w:sz w:val="22"/>
            <w:szCs w:val="22"/>
            <w:lang w:eastAsia="nl-BE"/>
          </w:rPr>
          <w:tab/>
        </w:r>
        <w:r w:rsidR="00FD0206" w:rsidRPr="00AD63CB">
          <w:rPr>
            <w:rStyle w:val="Hyperlink"/>
          </w:rPr>
          <w:t>TABEL 6</w:t>
        </w:r>
        <w:r w:rsidR="00FD0206">
          <w:rPr>
            <w:webHidden/>
          </w:rPr>
          <w:tab/>
        </w:r>
        <w:r w:rsidR="00FD0206">
          <w:rPr>
            <w:webHidden/>
          </w:rPr>
          <w:fldChar w:fldCharType="begin"/>
        </w:r>
        <w:r w:rsidR="00FD0206">
          <w:rPr>
            <w:webHidden/>
          </w:rPr>
          <w:instrText xml:space="preserve"> PAGEREF _Toc81512532 \h </w:instrText>
        </w:r>
        <w:r w:rsidR="00FD0206">
          <w:rPr>
            <w:webHidden/>
          </w:rPr>
        </w:r>
        <w:r w:rsidR="00FD0206">
          <w:rPr>
            <w:webHidden/>
          </w:rPr>
          <w:fldChar w:fldCharType="separate"/>
        </w:r>
        <w:r w:rsidR="00FD0206">
          <w:rPr>
            <w:webHidden/>
          </w:rPr>
          <w:t>83</w:t>
        </w:r>
        <w:r w:rsidR="00FD0206">
          <w:rPr>
            <w:webHidden/>
          </w:rPr>
          <w:fldChar w:fldCharType="end"/>
        </w:r>
      </w:hyperlink>
    </w:p>
    <w:p w14:paraId="128B222A" w14:textId="240F1394" w:rsidR="00FD0206" w:rsidRDefault="007B5E9B">
      <w:pPr>
        <w:pStyle w:val="Inhopg4"/>
        <w:rPr>
          <w:rFonts w:eastAsiaTheme="minorEastAsia"/>
          <w:i w:val="0"/>
          <w:sz w:val="22"/>
          <w:szCs w:val="22"/>
          <w:lang w:eastAsia="nl-BE"/>
        </w:rPr>
      </w:pPr>
      <w:hyperlink w:anchor="_Toc81512533" w:history="1">
        <w:r w:rsidR="00FD0206" w:rsidRPr="00AD63CB">
          <w:rPr>
            <w:rStyle w:val="Hyperlink"/>
          </w:rPr>
          <w:t>2.2.1.13</w:t>
        </w:r>
        <w:r w:rsidR="00FD0206">
          <w:rPr>
            <w:rFonts w:eastAsiaTheme="minorEastAsia"/>
            <w:i w:val="0"/>
            <w:sz w:val="22"/>
            <w:szCs w:val="22"/>
            <w:lang w:eastAsia="nl-BE"/>
          </w:rPr>
          <w:tab/>
        </w:r>
        <w:r w:rsidR="00FD0206" w:rsidRPr="00AD63CB">
          <w:rPr>
            <w:rStyle w:val="Hyperlink"/>
          </w:rPr>
          <w:t>TABEL 7</w:t>
        </w:r>
        <w:r w:rsidR="00FD0206">
          <w:rPr>
            <w:webHidden/>
          </w:rPr>
          <w:tab/>
        </w:r>
        <w:r w:rsidR="00FD0206">
          <w:rPr>
            <w:webHidden/>
          </w:rPr>
          <w:fldChar w:fldCharType="begin"/>
        </w:r>
        <w:r w:rsidR="00FD0206">
          <w:rPr>
            <w:webHidden/>
          </w:rPr>
          <w:instrText xml:space="preserve"> PAGEREF _Toc81512533 \h </w:instrText>
        </w:r>
        <w:r w:rsidR="00FD0206">
          <w:rPr>
            <w:webHidden/>
          </w:rPr>
        </w:r>
        <w:r w:rsidR="00FD0206">
          <w:rPr>
            <w:webHidden/>
          </w:rPr>
          <w:fldChar w:fldCharType="separate"/>
        </w:r>
        <w:r w:rsidR="00FD0206">
          <w:rPr>
            <w:webHidden/>
          </w:rPr>
          <w:t>83</w:t>
        </w:r>
        <w:r w:rsidR="00FD0206">
          <w:rPr>
            <w:webHidden/>
          </w:rPr>
          <w:fldChar w:fldCharType="end"/>
        </w:r>
      </w:hyperlink>
    </w:p>
    <w:p w14:paraId="7EAA5030" w14:textId="45539C58" w:rsidR="00FD0206" w:rsidRDefault="007B5E9B">
      <w:pPr>
        <w:pStyle w:val="Inhopg4"/>
        <w:rPr>
          <w:rFonts w:eastAsiaTheme="minorEastAsia"/>
          <w:i w:val="0"/>
          <w:sz w:val="22"/>
          <w:szCs w:val="22"/>
          <w:lang w:eastAsia="nl-BE"/>
        </w:rPr>
      </w:pPr>
      <w:hyperlink w:anchor="_Toc81512534" w:history="1">
        <w:r w:rsidR="00FD0206" w:rsidRPr="00AD63CB">
          <w:rPr>
            <w:rStyle w:val="Hyperlink"/>
          </w:rPr>
          <w:t>2.2.1.14</w:t>
        </w:r>
        <w:r w:rsidR="00FD0206">
          <w:rPr>
            <w:rFonts w:eastAsiaTheme="minorEastAsia"/>
            <w:i w:val="0"/>
            <w:sz w:val="22"/>
            <w:szCs w:val="22"/>
            <w:lang w:eastAsia="nl-BE"/>
          </w:rPr>
          <w:tab/>
        </w:r>
        <w:r w:rsidR="00FD0206" w:rsidRPr="00AD63CB">
          <w:rPr>
            <w:rStyle w:val="Hyperlink"/>
          </w:rPr>
          <w:t>TABEL 8</w:t>
        </w:r>
        <w:r w:rsidR="00FD0206">
          <w:rPr>
            <w:webHidden/>
          </w:rPr>
          <w:tab/>
        </w:r>
        <w:r w:rsidR="00FD0206">
          <w:rPr>
            <w:webHidden/>
          </w:rPr>
          <w:fldChar w:fldCharType="begin"/>
        </w:r>
        <w:r w:rsidR="00FD0206">
          <w:rPr>
            <w:webHidden/>
          </w:rPr>
          <w:instrText xml:space="preserve"> PAGEREF _Toc81512534 \h </w:instrText>
        </w:r>
        <w:r w:rsidR="00FD0206">
          <w:rPr>
            <w:webHidden/>
          </w:rPr>
        </w:r>
        <w:r w:rsidR="00FD0206">
          <w:rPr>
            <w:webHidden/>
          </w:rPr>
          <w:fldChar w:fldCharType="separate"/>
        </w:r>
        <w:r w:rsidR="00FD0206">
          <w:rPr>
            <w:webHidden/>
          </w:rPr>
          <w:t>83</w:t>
        </w:r>
        <w:r w:rsidR="00FD0206">
          <w:rPr>
            <w:webHidden/>
          </w:rPr>
          <w:fldChar w:fldCharType="end"/>
        </w:r>
      </w:hyperlink>
    </w:p>
    <w:p w14:paraId="66D344B6" w14:textId="1785F93C" w:rsidR="00FD0206" w:rsidRDefault="007B5E9B">
      <w:pPr>
        <w:pStyle w:val="Inhopg1"/>
        <w:rPr>
          <w:rFonts w:eastAsiaTheme="minorEastAsia"/>
          <w:b w:val="0"/>
          <w:lang w:eastAsia="nl-BE"/>
        </w:rPr>
      </w:pPr>
      <w:hyperlink w:anchor="_Toc81512535" w:history="1">
        <w:r w:rsidR="00FD0206" w:rsidRPr="00AD63CB">
          <w:rPr>
            <w:rStyle w:val="Hyperlink"/>
          </w:rPr>
          <w:t>3</w:t>
        </w:r>
        <w:r w:rsidR="00FD0206">
          <w:rPr>
            <w:rFonts w:eastAsiaTheme="minorEastAsia"/>
            <w:b w:val="0"/>
            <w:lang w:eastAsia="nl-BE"/>
          </w:rPr>
          <w:tab/>
        </w:r>
        <w:r w:rsidR="00FD0206" w:rsidRPr="00AD63CB">
          <w:rPr>
            <w:rStyle w:val="Hyperlink"/>
          </w:rPr>
          <w:t>Auditinstructie rapporteringsmodellen</w:t>
        </w:r>
        <w:r w:rsidR="00FD0206">
          <w:rPr>
            <w:webHidden/>
          </w:rPr>
          <w:tab/>
        </w:r>
        <w:r w:rsidR="00FD0206">
          <w:rPr>
            <w:webHidden/>
          </w:rPr>
          <w:fldChar w:fldCharType="begin"/>
        </w:r>
        <w:r w:rsidR="00FD0206">
          <w:rPr>
            <w:webHidden/>
          </w:rPr>
          <w:instrText xml:space="preserve"> PAGEREF _Toc81512535 \h </w:instrText>
        </w:r>
        <w:r w:rsidR="00FD0206">
          <w:rPr>
            <w:webHidden/>
          </w:rPr>
        </w:r>
        <w:r w:rsidR="00FD0206">
          <w:rPr>
            <w:webHidden/>
          </w:rPr>
          <w:fldChar w:fldCharType="separate"/>
        </w:r>
        <w:r w:rsidR="00FD0206">
          <w:rPr>
            <w:webHidden/>
          </w:rPr>
          <w:t>84</w:t>
        </w:r>
        <w:r w:rsidR="00FD0206">
          <w:rPr>
            <w:webHidden/>
          </w:rPr>
          <w:fldChar w:fldCharType="end"/>
        </w:r>
      </w:hyperlink>
    </w:p>
    <w:p w14:paraId="51FFDCF2" w14:textId="7FEDE5F1" w:rsidR="00FD0206" w:rsidRDefault="007B5E9B">
      <w:pPr>
        <w:pStyle w:val="Inhopg2"/>
        <w:rPr>
          <w:rFonts w:eastAsiaTheme="minorEastAsia"/>
          <w:lang w:eastAsia="nl-BE"/>
        </w:rPr>
      </w:pPr>
      <w:hyperlink w:anchor="_Toc81512536" w:history="1">
        <w:r w:rsidR="00FD0206" w:rsidRPr="00AD63CB">
          <w:rPr>
            <w:rStyle w:val="Hyperlink"/>
          </w:rPr>
          <w:t>3.1</w:t>
        </w:r>
        <w:r w:rsidR="00FD0206">
          <w:rPr>
            <w:rFonts w:eastAsiaTheme="minorEastAsia"/>
            <w:lang w:eastAsia="nl-BE"/>
          </w:rPr>
          <w:tab/>
        </w:r>
        <w:r w:rsidR="00FD0206" w:rsidRPr="00AD63CB">
          <w:rPr>
            <w:rStyle w:val="Hyperlink"/>
          </w:rPr>
          <w:t>Inleiding</w:t>
        </w:r>
        <w:r w:rsidR="00FD0206">
          <w:rPr>
            <w:webHidden/>
          </w:rPr>
          <w:tab/>
        </w:r>
        <w:r w:rsidR="00FD0206">
          <w:rPr>
            <w:webHidden/>
          </w:rPr>
          <w:fldChar w:fldCharType="begin"/>
        </w:r>
        <w:r w:rsidR="00FD0206">
          <w:rPr>
            <w:webHidden/>
          </w:rPr>
          <w:instrText xml:space="preserve"> PAGEREF _Toc81512536 \h </w:instrText>
        </w:r>
        <w:r w:rsidR="00FD0206">
          <w:rPr>
            <w:webHidden/>
          </w:rPr>
        </w:r>
        <w:r w:rsidR="00FD0206">
          <w:rPr>
            <w:webHidden/>
          </w:rPr>
          <w:fldChar w:fldCharType="separate"/>
        </w:r>
        <w:r w:rsidR="00FD0206">
          <w:rPr>
            <w:webHidden/>
          </w:rPr>
          <w:t>84</w:t>
        </w:r>
        <w:r w:rsidR="00FD0206">
          <w:rPr>
            <w:webHidden/>
          </w:rPr>
          <w:fldChar w:fldCharType="end"/>
        </w:r>
      </w:hyperlink>
    </w:p>
    <w:p w14:paraId="5FCC2028" w14:textId="40278721" w:rsidR="00FD0206" w:rsidRDefault="007B5E9B">
      <w:pPr>
        <w:pStyle w:val="Inhopg2"/>
        <w:rPr>
          <w:rFonts w:eastAsiaTheme="minorEastAsia"/>
          <w:lang w:eastAsia="nl-BE"/>
        </w:rPr>
      </w:pPr>
      <w:hyperlink w:anchor="_Toc81512537" w:history="1">
        <w:r w:rsidR="00FD0206" w:rsidRPr="00AD63CB">
          <w:rPr>
            <w:rStyle w:val="Hyperlink"/>
          </w:rPr>
          <w:t>3.2</w:t>
        </w:r>
        <w:r w:rsidR="00FD0206">
          <w:rPr>
            <w:rFonts w:eastAsiaTheme="minorEastAsia"/>
            <w:lang w:eastAsia="nl-BE"/>
          </w:rPr>
          <w:tab/>
        </w:r>
        <w:r w:rsidR="00FD0206" w:rsidRPr="00AD63CB">
          <w:rPr>
            <w:rStyle w:val="Hyperlink"/>
          </w:rPr>
          <w:t>Scope</w:t>
        </w:r>
        <w:r w:rsidR="00FD0206">
          <w:rPr>
            <w:webHidden/>
          </w:rPr>
          <w:tab/>
        </w:r>
        <w:r w:rsidR="00FD0206">
          <w:rPr>
            <w:webHidden/>
          </w:rPr>
          <w:fldChar w:fldCharType="begin"/>
        </w:r>
        <w:r w:rsidR="00FD0206">
          <w:rPr>
            <w:webHidden/>
          </w:rPr>
          <w:instrText xml:space="preserve"> PAGEREF _Toc81512537 \h </w:instrText>
        </w:r>
        <w:r w:rsidR="00FD0206">
          <w:rPr>
            <w:webHidden/>
          </w:rPr>
        </w:r>
        <w:r w:rsidR="00FD0206">
          <w:rPr>
            <w:webHidden/>
          </w:rPr>
          <w:fldChar w:fldCharType="separate"/>
        </w:r>
        <w:r w:rsidR="00FD0206">
          <w:rPr>
            <w:webHidden/>
          </w:rPr>
          <w:t>84</w:t>
        </w:r>
        <w:r w:rsidR="00FD0206">
          <w:rPr>
            <w:webHidden/>
          </w:rPr>
          <w:fldChar w:fldCharType="end"/>
        </w:r>
      </w:hyperlink>
    </w:p>
    <w:p w14:paraId="34FA7C1E" w14:textId="1A300D3E" w:rsidR="00FD0206" w:rsidRDefault="007B5E9B">
      <w:pPr>
        <w:pStyle w:val="Inhopg2"/>
        <w:rPr>
          <w:rFonts w:eastAsiaTheme="minorEastAsia"/>
          <w:lang w:eastAsia="nl-BE"/>
        </w:rPr>
      </w:pPr>
      <w:hyperlink w:anchor="_Toc81512538" w:history="1">
        <w:r w:rsidR="00FD0206" w:rsidRPr="00AD63CB">
          <w:rPr>
            <w:rStyle w:val="Hyperlink"/>
          </w:rPr>
          <w:t>3.3</w:t>
        </w:r>
        <w:r w:rsidR="00FD0206">
          <w:rPr>
            <w:rFonts w:eastAsiaTheme="minorEastAsia"/>
            <w:lang w:eastAsia="nl-BE"/>
          </w:rPr>
          <w:tab/>
        </w:r>
        <w:r w:rsidR="00FD0206" w:rsidRPr="00AD63CB">
          <w:rPr>
            <w:rStyle w:val="Hyperlink"/>
          </w:rPr>
          <w:t>Controleobject</w:t>
        </w:r>
        <w:r w:rsidR="00FD0206">
          <w:rPr>
            <w:webHidden/>
          </w:rPr>
          <w:tab/>
        </w:r>
        <w:r w:rsidR="00FD0206">
          <w:rPr>
            <w:webHidden/>
          </w:rPr>
          <w:fldChar w:fldCharType="begin"/>
        </w:r>
        <w:r w:rsidR="00FD0206">
          <w:rPr>
            <w:webHidden/>
          </w:rPr>
          <w:instrText xml:space="preserve"> PAGEREF _Toc81512538 \h </w:instrText>
        </w:r>
        <w:r w:rsidR="00FD0206">
          <w:rPr>
            <w:webHidden/>
          </w:rPr>
        </w:r>
        <w:r w:rsidR="00FD0206">
          <w:rPr>
            <w:webHidden/>
          </w:rPr>
          <w:fldChar w:fldCharType="separate"/>
        </w:r>
        <w:r w:rsidR="00FD0206">
          <w:rPr>
            <w:webHidden/>
          </w:rPr>
          <w:t>84</w:t>
        </w:r>
        <w:r w:rsidR="00FD0206">
          <w:rPr>
            <w:webHidden/>
          </w:rPr>
          <w:fldChar w:fldCharType="end"/>
        </w:r>
      </w:hyperlink>
    </w:p>
    <w:p w14:paraId="08785FB9" w14:textId="7DE281E5" w:rsidR="00FD0206" w:rsidRDefault="007B5E9B">
      <w:pPr>
        <w:pStyle w:val="Inhopg2"/>
        <w:rPr>
          <w:rFonts w:eastAsiaTheme="minorEastAsia"/>
          <w:lang w:eastAsia="nl-BE"/>
        </w:rPr>
      </w:pPr>
      <w:hyperlink w:anchor="_Toc81512539" w:history="1">
        <w:r w:rsidR="00FD0206" w:rsidRPr="00AD63CB">
          <w:rPr>
            <w:rStyle w:val="Hyperlink"/>
          </w:rPr>
          <w:t>3.4</w:t>
        </w:r>
        <w:r w:rsidR="00FD0206">
          <w:rPr>
            <w:rFonts w:eastAsiaTheme="minorEastAsia"/>
            <w:lang w:eastAsia="nl-BE"/>
          </w:rPr>
          <w:tab/>
        </w:r>
        <w:r w:rsidR="00FD0206" w:rsidRPr="00AD63CB">
          <w:rPr>
            <w:rStyle w:val="Hyperlink"/>
          </w:rPr>
          <w:t>Doelstelling controle</w:t>
        </w:r>
        <w:r w:rsidR="00FD0206">
          <w:rPr>
            <w:webHidden/>
          </w:rPr>
          <w:tab/>
        </w:r>
        <w:r w:rsidR="00FD0206">
          <w:rPr>
            <w:webHidden/>
          </w:rPr>
          <w:fldChar w:fldCharType="begin"/>
        </w:r>
        <w:r w:rsidR="00FD0206">
          <w:rPr>
            <w:webHidden/>
          </w:rPr>
          <w:instrText xml:space="preserve"> PAGEREF _Toc81512539 \h </w:instrText>
        </w:r>
        <w:r w:rsidR="00FD0206">
          <w:rPr>
            <w:webHidden/>
          </w:rPr>
        </w:r>
        <w:r w:rsidR="00FD0206">
          <w:rPr>
            <w:webHidden/>
          </w:rPr>
          <w:fldChar w:fldCharType="separate"/>
        </w:r>
        <w:r w:rsidR="00FD0206">
          <w:rPr>
            <w:webHidden/>
          </w:rPr>
          <w:t>85</w:t>
        </w:r>
        <w:r w:rsidR="00FD0206">
          <w:rPr>
            <w:webHidden/>
          </w:rPr>
          <w:fldChar w:fldCharType="end"/>
        </w:r>
      </w:hyperlink>
    </w:p>
    <w:p w14:paraId="0CFCE100" w14:textId="04B206E3" w:rsidR="00FD0206" w:rsidRDefault="007B5E9B">
      <w:pPr>
        <w:pStyle w:val="Inhopg2"/>
        <w:rPr>
          <w:rFonts w:eastAsiaTheme="minorEastAsia"/>
          <w:lang w:eastAsia="nl-BE"/>
        </w:rPr>
      </w:pPr>
      <w:hyperlink w:anchor="_Toc81512540" w:history="1">
        <w:r w:rsidR="00FD0206" w:rsidRPr="00AD63CB">
          <w:rPr>
            <w:rStyle w:val="Hyperlink"/>
          </w:rPr>
          <w:t>3.5</w:t>
        </w:r>
        <w:r w:rsidR="00FD0206">
          <w:rPr>
            <w:rFonts w:eastAsiaTheme="minorEastAsia"/>
            <w:lang w:eastAsia="nl-BE"/>
          </w:rPr>
          <w:tab/>
        </w:r>
        <w:r w:rsidR="00FD0206" w:rsidRPr="00AD63CB">
          <w:rPr>
            <w:rStyle w:val="Hyperlink"/>
          </w:rPr>
          <w:t>Verslaggeving</w:t>
        </w:r>
        <w:r w:rsidR="00FD0206">
          <w:rPr>
            <w:webHidden/>
          </w:rPr>
          <w:tab/>
        </w:r>
        <w:r w:rsidR="00FD0206">
          <w:rPr>
            <w:webHidden/>
          </w:rPr>
          <w:fldChar w:fldCharType="begin"/>
        </w:r>
        <w:r w:rsidR="00FD0206">
          <w:rPr>
            <w:webHidden/>
          </w:rPr>
          <w:instrText xml:space="preserve"> PAGEREF _Toc81512540 \h </w:instrText>
        </w:r>
        <w:r w:rsidR="00FD0206">
          <w:rPr>
            <w:webHidden/>
          </w:rPr>
        </w:r>
        <w:r w:rsidR="00FD0206">
          <w:rPr>
            <w:webHidden/>
          </w:rPr>
          <w:fldChar w:fldCharType="separate"/>
        </w:r>
        <w:r w:rsidR="00FD0206">
          <w:rPr>
            <w:webHidden/>
          </w:rPr>
          <w:t>85</w:t>
        </w:r>
        <w:r w:rsidR="00FD0206">
          <w:rPr>
            <w:webHidden/>
          </w:rPr>
          <w:fldChar w:fldCharType="end"/>
        </w:r>
      </w:hyperlink>
    </w:p>
    <w:p w14:paraId="292C32A5" w14:textId="5C507798" w:rsidR="00780214" w:rsidRDefault="00126780" w:rsidP="00EE4311">
      <w:pPr>
        <w:pStyle w:val="Kop1"/>
        <w:numPr>
          <w:ilvl w:val="0"/>
          <w:numId w:val="0"/>
        </w:numPr>
      </w:pPr>
      <w:r>
        <w:rPr>
          <w:rFonts w:asciiTheme="minorHAnsi" w:hAnsiTheme="minorHAnsi" w:cstheme="minorBidi"/>
          <w:bCs w:val="0"/>
          <w:noProof/>
          <w:color w:val="auto"/>
          <w:sz w:val="22"/>
          <w:szCs w:val="22"/>
        </w:rPr>
        <w:fldChar w:fldCharType="end"/>
      </w:r>
      <w:r w:rsidR="00780214">
        <w:br w:type="page"/>
      </w:r>
    </w:p>
    <w:p w14:paraId="66EAEA2C" w14:textId="6F172202" w:rsidR="000D47E5" w:rsidRPr="009F04B9" w:rsidRDefault="000D47E5" w:rsidP="000D47E5">
      <w:pPr>
        <w:pStyle w:val="Kop1"/>
        <w:numPr>
          <w:ilvl w:val="0"/>
          <w:numId w:val="27"/>
        </w:numPr>
      </w:pPr>
      <w:bookmarkStart w:id="3" w:name="_Toc420934506"/>
      <w:bookmarkStart w:id="4" w:name="_Toc450038578"/>
      <w:bookmarkStart w:id="5" w:name="_Toc81512428"/>
      <w:r w:rsidRPr="009F04B9">
        <w:lastRenderedPageBreak/>
        <w:t xml:space="preserve">Invulinstructie </w:t>
      </w:r>
      <w:r w:rsidR="00FA412C">
        <w:t>exogene en endogene r</w:t>
      </w:r>
      <w:r w:rsidRPr="009F04B9">
        <w:t>apporteringsmodellen</w:t>
      </w:r>
      <w:bookmarkEnd w:id="3"/>
      <w:bookmarkEnd w:id="4"/>
      <w:bookmarkEnd w:id="5"/>
    </w:p>
    <w:p w14:paraId="2C691B73" w14:textId="025059CA" w:rsidR="000D47E5" w:rsidRPr="009F04B9" w:rsidRDefault="000D47E5" w:rsidP="000D47E5">
      <w:pPr>
        <w:pStyle w:val="Kop2"/>
      </w:pPr>
      <w:bookmarkStart w:id="6" w:name="_Ref389575908"/>
      <w:bookmarkStart w:id="7" w:name="_Toc420934507"/>
      <w:bookmarkStart w:id="8" w:name="_Toc450038579"/>
      <w:bookmarkStart w:id="9" w:name="_Ref40097557"/>
      <w:bookmarkStart w:id="10" w:name="_Toc81512429"/>
      <w:r w:rsidRPr="009F04B9">
        <w:t>Invulinstructie Bijlage 4</w:t>
      </w:r>
      <w:r w:rsidR="003048A2">
        <w:t>A</w:t>
      </w:r>
      <w:r w:rsidRPr="009F04B9">
        <w:t>: rapporteringsmodel exogene kosten</w:t>
      </w:r>
      <w:bookmarkEnd w:id="6"/>
      <w:bookmarkEnd w:id="7"/>
      <w:bookmarkEnd w:id="8"/>
      <w:r w:rsidR="005040D2">
        <w:t xml:space="preserve"> </w:t>
      </w:r>
      <w:r w:rsidR="002E4D03">
        <w:t xml:space="preserve">en aanvullende endogene termen </w:t>
      </w:r>
      <w:r w:rsidR="005040D2">
        <w:t>2021</w:t>
      </w:r>
      <w:bookmarkEnd w:id="9"/>
      <w:bookmarkEnd w:id="10"/>
    </w:p>
    <w:p w14:paraId="0458649B" w14:textId="57EDA8CE" w:rsidR="000D47E5" w:rsidRPr="0043072E" w:rsidRDefault="00A14CA8" w:rsidP="00836F3C">
      <w:pPr>
        <w:rPr>
          <w:rFonts w:ascii="Calibri" w:hAnsi="Calibri"/>
        </w:rPr>
      </w:pPr>
      <w:r>
        <w:rPr>
          <w:rFonts w:ascii="Calibri" w:hAnsi="Calibri"/>
        </w:rPr>
        <w:t>Dit rapporteringsmodel</w:t>
      </w:r>
      <w:r w:rsidR="000D47E5" w:rsidRPr="0043072E">
        <w:rPr>
          <w:rFonts w:ascii="Calibri" w:hAnsi="Calibri"/>
        </w:rPr>
        <w:t xml:space="preserve"> heeft als doel om via een standaardformaat tegemoet te komen aan de informatiebehoeften van de VREG teneinde </w:t>
      </w:r>
      <w:r w:rsidR="00B923EE">
        <w:rPr>
          <w:rFonts w:ascii="Calibri" w:hAnsi="Calibri"/>
        </w:rPr>
        <w:t xml:space="preserve">voor elke distributienetbeheerder </w:t>
      </w:r>
      <w:r w:rsidR="000D47E5" w:rsidRPr="0043072E">
        <w:rPr>
          <w:rFonts w:ascii="Calibri" w:hAnsi="Calibri"/>
        </w:rPr>
        <w:t xml:space="preserve">een </w:t>
      </w:r>
      <w:r w:rsidR="00555E62">
        <w:rPr>
          <w:rFonts w:ascii="Calibri" w:hAnsi="Calibri"/>
        </w:rPr>
        <w:t>toegelaten</w:t>
      </w:r>
      <w:r w:rsidR="000D47E5" w:rsidRPr="0043072E">
        <w:rPr>
          <w:rFonts w:ascii="Calibri" w:hAnsi="Calibri"/>
        </w:rPr>
        <w:t xml:space="preserve"> inkomen m.b.t. de exogene kosten</w:t>
      </w:r>
      <w:r w:rsidR="000B1D89">
        <w:rPr>
          <w:rFonts w:ascii="Calibri" w:hAnsi="Calibri"/>
        </w:rPr>
        <w:t xml:space="preserve"> enerzijds en de aanvullende endogene termen ander</w:t>
      </w:r>
      <w:r w:rsidR="00B923EE">
        <w:rPr>
          <w:rFonts w:ascii="Calibri" w:hAnsi="Calibri"/>
        </w:rPr>
        <w:t>zijds</w:t>
      </w:r>
      <w:r w:rsidR="000D47E5" w:rsidRPr="0043072E">
        <w:rPr>
          <w:rFonts w:ascii="Calibri" w:hAnsi="Calibri"/>
        </w:rPr>
        <w:t xml:space="preserve"> te bepalen.</w:t>
      </w:r>
    </w:p>
    <w:p w14:paraId="51AF8A1C" w14:textId="49FC3E12" w:rsidR="000D47E5" w:rsidRPr="0043072E" w:rsidRDefault="000D47E5" w:rsidP="000D47E5">
      <w:pPr>
        <w:rPr>
          <w:rFonts w:ascii="Calibri" w:hAnsi="Calibri"/>
        </w:rPr>
      </w:pPr>
      <w:r w:rsidRPr="0043072E">
        <w:rPr>
          <w:rFonts w:ascii="Calibri" w:hAnsi="Calibri"/>
        </w:rPr>
        <w:t>Het rapporteringsmodel bestaat uit een Excel bestand met de volgende werkbladen:</w:t>
      </w:r>
    </w:p>
    <w:p w14:paraId="480F48B6" w14:textId="067DD2C9" w:rsidR="009F04B9" w:rsidRPr="0014269D" w:rsidRDefault="000D47E5" w:rsidP="009F04B9">
      <w:pPr>
        <w:numPr>
          <w:ilvl w:val="0"/>
          <w:numId w:val="11"/>
        </w:numPr>
        <w:spacing w:before="0" w:line="240" w:lineRule="auto"/>
        <w:ind w:left="1418" w:hanging="425"/>
        <w:jc w:val="both"/>
        <w:rPr>
          <w:rFonts w:ascii="Calibri" w:hAnsi="Calibri"/>
          <w:b/>
        </w:rPr>
      </w:pPr>
      <w:r w:rsidRPr="0043072E">
        <w:rPr>
          <w:rFonts w:ascii="Calibri" w:hAnsi="Calibri"/>
        </w:rPr>
        <w:t>TITELBLAD</w:t>
      </w:r>
    </w:p>
    <w:p w14:paraId="2C84DAB1" w14:textId="077EE113" w:rsidR="000D47E5" w:rsidRPr="009F04B9" w:rsidRDefault="000D47E5" w:rsidP="009F04B9">
      <w:pPr>
        <w:numPr>
          <w:ilvl w:val="0"/>
          <w:numId w:val="11"/>
        </w:numPr>
        <w:spacing w:before="0" w:line="240" w:lineRule="auto"/>
        <w:ind w:left="1418" w:hanging="425"/>
        <w:jc w:val="both"/>
        <w:rPr>
          <w:rFonts w:ascii="Calibri" w:hAnsi="Calibri"/>
          <w:b/>
        </w:rPr>
      </w:pPr>
      <w:r w:rsidRPr="009F04B9">
        <w:rPr>
          <w:rFonts w:ascii="Calibri" w:hAnsi="Calibri"/>
        </w:rPr>
        <w:t>TABEL 1</w:t>
      </w:r>
      <w:r w:rsidRPr="009F04B9">
        <w:rPr>
          <w:rFonts w:ascii="Calibri" w:hAnsi="Calibri"/>
        </w:rPr>
        <w:tab/>
        <w:t>Resultatenrekening (algemene boekhouding) voor boekjaar 20</w:t>
      </w:r>
      <w:r w:rsidR="0006738F">
        <w:rPr>
          <w:rFonts w:ascii="Calibri" w:hAnsi="Calibri"/>
        </w:rPr>
        <w:t>21</w:t>
      </w:r>
      <w:r w:rsidRPr="009F04B9">
        <w:rPr>
          <w:rFonts w:ascii="Calibri" w:hAnsi="Calibri"/>
        </w:rPr>
        <w:t xml:space="preserve"> (waarden boekhouding)</w:t>
      </w:r>
    </w:p>
    <w:p w14:paraId="7FC6791C" w14:textId="14E7AB19" w:rsidR="000D47E5" w:rsidRPr="0014269D" w:rsidRDefault="000D47E5" w:rsidP="000D47E5">
      <w:pPr>
        <w:numPr>
          <w:ilvl w:val="0"/>
          <w:numId w:val="11"/>
        </w:numPr>
        <w:spacing w:before="0" w:line="240" w:lineRule="auto"/>
        <w:ind w:left="1418" w:right="-2" w:hanging="425"/>
        <w:jc w:val="both"/>
        <w:rPr>
          <w:rFonts w:ascii="Calibri" w:hAnsi="Calibri"/>
          <w:b/>
        </w:rPr>
      </w:pPr>
      <w:r w:rsidRPr="0043072E">
        <w:rPr>
          <w:rFonts w:ascii="Calibri" w:hAnsi="Calibri"/>
        </w:rPr>
        <w:t>TABEL 2</w:t>
      </w:r>
      <w:r w:rsidRPr="0043072E">
        <w:rPr>
          <w:rFonts w:ascii="Calibri" w:hAnsi="Calibri"/>
        </w:rPr>
        <w:tab/>
      </w:r>
      <w:r w:rsidRPr="0043072E">
        <w:rPr>
          <w:rFonts w:ascii="Calibri" w:hAnsi="Calibri"/>
        </w:rPr>
        <w:tab/>
        <w:t>Algemeen overzicht</w:t>
      </w:r>
      <w:r w:rsidR="00F104F7">
        <w:rPr>
          <w:rFonts w:ascii="Calibri" w:hAnsi="Calibri"/>
        </w:rPr>
        <w:t xml:space="preserve"> exogene kosten</w:t>
      </w:r>
    </w:p>
    <w:p w14:paraId="169B941C" w14:textId="5AD3B2C3" w:rsidR="0014269D" w:rsidRPr="0043072E" w:rsidRDefault="0014269D" w:rsidP="000D47E5">
      <w:pPr>
        <w:numPr>
          <w:ilvl w:val="0"/>
          <w:numId w:val="11"/>
        </w:numPr>
        <w:spacing w:before="0" w:line="240" w:lineRule="auto"/>
        <w:ind w:left="1418" w:right="-2" w:hanging="425"/>
        <w:jc w:val="both"/>
        <w:rPr>
          <w:rFonts w:ascii="Calibri" w:hAnsi="Calibri"/>
          <w:b/>
        </w:rPr>
      </w:pPr>
      <w:r>
        <w:rPr>
          <w:rFonts w:ascii="Calibri" w:hAnsi="Calibri"/>
        </w:rPr>
        <w:t>TABEL 3</w:t>
      </w:r>
      <w:r>
        <w:rPr>
          <w:rFonts w:ascii="Calibri" w:hAnsi="Calibri"/>
        </w:rPr>
        <w:tab/>
      </w:r>
      <w:r>
        <w:rPr>
          <w:rFonts w:ascii="Calibri" w:hAnsi="Calibri"/>
        </w:rPr>
        <w:tab/>
        <w:t>Detail inzake samenstelling exogene kosten</w:t>
      </w:r>
    </w:p>
    <w:p w14:paraId="3F42115B" w14:textId="1F60DC65" w:rsidR="009F04B9" w:rsidRDefault="000D47E5" w:rsidP="009F04B9">
      <w:pPr>
        <w:numPr>
          <w:ilvl w:val="0"/>
          <w:numId w:val="11"/>
        </w:numPr>
        <w:spacing w:before="0" w:line="240" w:lineRule="auto"/>
        <w:ind w:left="1418" w:right="-2" w:hanging="425"/>
        <w:jc w:val="both"/>
        <w:rPr>
          <w:rFonts w:ascii="Calibri" w:hAnsi="Calibri"/>
          <w:b/>
        </w:rPr>
      </w:pPr>
      <w:r w:rsidRPr="009F04B9">
        <w:rPr>
          <w:rFonts w:ascii="Calibri" w:hAnsi="Calibri"/>
        </w:rPr>
        <w:t>TABEL 4A</w:t>
      </w:r>
      <w:r w:rsidR="009F04B9">
        <w:rPr>
          <w:rFonts w:ascii="Calibri" w:hAnsi="Calibri"/>
        </w:rPr>
        <w:tab/>
      </w:r>
      <w:r w:rsidRPr="009F04B9">
        <w:rPr>
          <w:rFonts w:ascii="Calibri" w:hAnsi="Calibri"/>
        </w:rPr>
        <w:tab/>
        <w:t>Opvolging regulatoir saldo inzake exogene kosten m.b.t. distributie</w:t>
      </w:r>
    </w:p>
    <w:p w14:paraId="3C907BD3" w14:textId="61F3CADB" w:rsidR="009F04B9" w:rsidRDefault="000D47E5" w:rsidP="009F04B9">
      <w:pPr>
        <w:numPr>
          <w:ilvl w:val="0"/>
          <w:numId w:val="11"/>
        </w:numPr>
        <w:spacing w:before="0" w:line="240" w:lineRule="auto"/>
        <w:ind w:left="1418" w:right="-2" w:hanging="425"/>
        <w:jc w:val="both"/>
        <w:rPr>
          <w:rFonts w:ascii="Calibri" w:hAnsi="Calibri"/>
          <w:b/>
        </w:rPr>
      </w:pPr>
      <w:r w:rsidRPr="009F04B9">
        <w:rPr>
          <w:rFonts w:ascii="Calibri" w:hAnsi="Calibri"/>
        </w:rPr>
        <w:t>TABEL 4B</w:t>
      </w:r>
      <w:r w:rsidRPr="009F04B9">
        <w:rPr>
          <w:rFonts w:ascii="Calibri" w:hAnsi="Calibri"/>
        </w:rPr>
        <w:tab/>
      </w:r>
      <w:r w:rsidR="009F04B9">
        <w:rPr>
          <w:rFonts w:ascii="Calibri" w:hAnsi="Calibri"/>
        </w:rPr>
        <w:tab/>
      </w:r>
      <w:r w:rsidRPr="009F04B9">
        <w:rPr>
          <w:rFonts w:ascii="Calibri" w:hAnsi="Calibri"/>
        </w:rPr>
        <w:t>Overzicht regulatoir saldo inzake exogene kosten m.b.t. distributie per tariefcomponent</w:t>
      </w:r>
    </w:p>
    <w:p w14:paraId="110927FC" w14:textId="33143054" w:rsidR="009F04B9" w:rsidRDefault="000D47E5" w:rsidP="009F04B9">
      <w:pPr>
        <w:numPr>
          <w:ilvl w:val="0"/>
          <w:numId w:val="11"/>
        </w:numPr>
        <w:spacing w:before="0" w:line="240" w:lineRule="auto"/>
        <w:ind w:left="1418" w:right="-2" w:hanging="425"/>
        <w:jc w:val="both"/>
        <w:rPr>
          <w:rFonts w:ascii="Calibri" w:hAnsi="Calibri"/>
          <w:b/>
        </w:rPr>
      </w:pPr>
      <w:r w:rsidRPr="009F04B9">
        <w:rPr>
          <w:rFonts w:ascii="Calibri" w:hAnsi="Calibri"/>
        </w:rPr>
        <w:t>TABEL 4C</w:t>
      </w:r>
      <w:r w:rsidRPr="009F04B9">
        <w:rPr>
          <w:rFonts w:ascii="Calibri" w:hAnsi="Calibri"/>
        </w:rPr>
        <w:tab/>
      </w:r>
      <w:r w:rsidR="009F04B9">
        <w:rPr>
          <w:rFonts w:ascii="Calibri" w:hAnsi="Calibri"/>
        </w:rPr>
        <w:tab/>
      </w:r>
      <w:r w:rsidRPr="009F04B9">
        <w:rPr>
          <w:rFonts w:ascii="Calibri" w:hAnsi="Calibri"/>
        </w:rPr>
        <w:t xml:space="preserve">Opvolging regulatoir saldo inzake exogene kosten m.b.t. </w:t>
      </w:r>
      <w:r w:rsidR="007E6081">
        <w:rPr>
          <w:rFonts w:ascii="Calibri" w:hAnsi="Calibri"/>
        </w:rPr>
        <w:t>transmissie</w:t>
      </w:r>
      <w:r w:rsidRPr="009F04B9">
        <w:rPr>
          <w:rFonts w:ascii="Calibri" w:hAnsi="Calibri"/>
        </w:rPr>
        <w:t xml:space="preserve"> (exclusief federale bijdrage elektriciteit)</w:t>
      </w:r>
    </w:p>
    <w:p w14:paraId="2D719874" w14:textId="20C44145" w:rsidR="009F04B9" w:rsidRDefault="000D47E5" w:rsidP="009F04B9">
      <w:pPr>
        <w:numPr>
          <w:ilvl w:val="0"/>
          <w:numId w:val="11"/>
        </w:numPr>
        <w:spacing w:before="0" w:line="240" w:lineRule="auto"/>
        <w:ind w:left="1418" w:right="-2" w:hanging="425"/>
        <w:jc w:val="both"/>
        <w:rPr>
          <w:rFonts w:ascii="Calibri" w:hAnsi="Calibri"/>
          <w:b/>
        </w:rPr>
      </w:pPr>
      <w:r w:rsidRPr="009F04B9">
        <w:rPr>
          <w:rFonts w:ascii="Calibri" w:hAnsi="Calibri"/>
        </w:rPr>
        <w:t>TABEL 5A</w:t>
      </w:r>
      <w:r w:rsidRPr="009F04B9">
        <w:rPr>
          <w:rFonts w:ascii="Calibri" w:hAnsi="Calibri"/>
        </w:rPr>
        <w:tab/>
      </w:r>
      <w:r w:rsidR="009F04B9">
        <w:rPr>
          <w:rFonts w:ascii="Calibri" w:hAnsi="Calibri"/>
        </w:rPr>
        <w:tab/>
      </w:r>
      <w:r w:rsidR="007E6081">
        <w:rPr>
          <w:rFonts w:ascii="Calibri" w:hAnsi="Calibri"/>
        </w:rPr>
        <w:t>Opvolging regulatoir saldo inzake volumerisico endogeen budget</w:t>
      </w:r>
    </w:p>
    <w:p w14:paraId="1A220D6A" w14:textId="7DA487B1" w:rsidR="009F04B9" w:rsidRDefault="000D47E5" w:rsidP="009F04B9">
      <w:pPr>
        <w:numPr>
          <w:ilvl w:val="0"/>
          <w:numId w:val="11"/>
        </w:numPr>
        <w:spacing w:before="0" w:line="240" w:lineRule="auto"/>
        <w:ind w:left="1418" w:right="-2" w:hanging="425"/>
        <w:jc w:val="both"/>
        <w:rPr>
          <w:rFonts w:ascii="Calibri" w:hAnsi="Calibri"/>
          <w:b/>
        </w:rPr>
      </w:pPr>
      <w:r w:rsidRPr="009F04B9">
        <w:rPr>
          <w:rFonts w:ascii="Calibri" w:hAnsi="Calibri"/>
        </w:rPr>
        <w:t>TABEL 5B</w:t>
      </w:r>
      <w:r w:rsidR="009F04B9">
        <w:rPr>
          <w:rFonts w:ascii="Calibri" w:hAnsi="Calibri"/>
        </w:rPr>
        <w:tab/>
      </w:r>
      <w:r w:rsidRPr="009F04B9">
        <w:rPr>
          <w:rFonts w:ascii="Calibri" w:hAnsi="Calibri"/>
        </w:rPr>
        <w:tab/>
      </w:r>
      <w:r w:rsidR="009A5CF6">
        <w:rPr>
          <w:rFonts w:ascii="Calibri" w:hAnsi="Calibri"/>
        </w:rPr>
        <w:t>Overzicht</w:t>
      </w:r>
      <w:r w:rsidR="00E9077E">
        <w:rPr>
          <w:rFonts w:ascii="Calibri" w:hAnsi="Calibri"/>
        </w:rPr>
        <w:t xml:space="preserve"> regulatoir saldo inzake volumerisico endogeen budget per tariefcomponent</w:t>
      </w:r>
      <w:r w:rsidRPr="009F04B9">
        <w:rPr>
          <w:rFonts w:ascii="Calibri" w:hAnsi="Calibri"/>
        </w:rPr>
        <w:t xml:space="preserve"> </w:t>
      </w:r>
    </w:p>
    <w:p w14:paraId="13DA7D1A" w14:textId="6D68F28A" w:rsidR="009F04B9" w:rsidRDefault="000D47E5" w:rsidP="009F04B9">
      <w:pPr>
        <w:numPr>
          <w:ilvl w:val="0"/>
          <w:numId w:val="11"/>
        </w:numPr>
        <w:spacing w:before="0" w:line="240" w:lineRule="auto"/>
        <w:ind w:left="1418" w:right="-2" w:hanging="425"/>
        <w:jc w:val="both"/>
        <w:rPr>
          <w:rFonts w:ascii="Calibri" w:hAnsi="Calibri"/>
          <w:b/>
        </w:rPr>
      </w:pPr>
      <w:r w:rsidRPr="009F04B9">
        <w:rPr>
          <w:rFonts w:ascii="Calibri" w:hAnsi="Calibri"/>
        </w:rPr>
        <w:t>TABEL 5C</w:t>
      </w:r>
      <w:r w:rsidR="009F04B9">
        <w:rPr>
          <w:rFonts w:ascii="Calibri" w:hAnsi="Calibri"/>
        </w:rPr>
        <w:tab/>
      </w:r>
      <w:r w:rsidRPr="009F04B9">
        <w:rPr>
          <w:rFonts w:ascii="Calibri" w:hAnsi="Calibri"/>
        </w:rPr>
        <w:tab/>
        <w:t xml:space="preserve">Werkelijke </w:t>
      </w:r>
      <w:r w:rsidR="004C5061">
        <w:rPr>
          <w:rFonts w:ascii="Calibri" w:hAnsi="Calibri"/>
        </w:rPr>
        <w:t>opbrengsten</w:t>
      </w:r>
      <w:r w:rsidRPr="009F04B9">
        <w:rPr>
          <w:rFonts w:ascii="Calibri" w:hAnsi="Calibri"/>
        </w:rPr>
        <w:t xml:space="preserve"> uit periodieke </w:t>
      </w:r>
      <w:r w:rsidR="00105B19">
        <w:rPr>
          <w:rFonts w:ascii="Calibri" w:hAnsi="Calibri"/>
        </w:rPr>
        <w:t>distributie</w:t>
      </w:r>
      <w:r w:rsidRPr="009F04B9">
        <w:rPr>
          <w:rFonts w:ascii="Calibri" w:hAnsi="Calibri"/>
        </w:rPr>
        <w:t>nettarieven in boekjaar 20</w:t>
      </w:r>
      <w:r w:rsidR="00105B19">
        <w:rPr>
          <w:rFonts w:ascii="Calibri" w:hAnsi="Calibri"/>
        </w:rPr>
        <w:t>21</w:t>
      </w:r>
      <w:r w:rsidRPr="009F04B9">
        <w:rPr>
          <w:rFonts w:ascii="Calibri" w:hAnsi="Calibri"/>
        </w:rPr>
        <w:t xml:space="preserve"> (elektriciteit – afname)</w:t>
      </w:r>
    </w:p>
    <w:p w14:paraId="401E9266" w14:textId="019AED08" w:rsidR="009F04B9" w:rsidRDefault="000D47E5" w:rsidP="009F04B9">
      <w:pPr>
        <w:numPr>
          <w:ilvl w:val="0"/>
          <w:numId w:val="11"/>
        </w:numPr>
        <w:spacing w:before="0" w:line="240" w:lineRule="auto"/>
        <w:ind w:left="1418" w:right="-2" w:hanging="425"/>
        <w:jc w:val="both"/>
        <w:rPr>
          <w:rFonts w:ascii="Calibri" w:hAnsi="Calibri"/>
          <w:b/>
        </w:rPr>
      </w:pPr>
      <w:r w:rsidRPr="009F04B9">
        <w:rPr>
          <w:rFonts w:ascii="Calibri" w:hAnsi="Calibri"/>
        </w:rPr>
        <w:t>TABEL 5D</w:t>
      </w:r>
      <w:r w:rsidR="009F04B9">
        <w:rPr>
          <w:rFonts w:ascii="Calibri" w:hAnsi="Calibri"/>
        </w:rPr>
        <w:tab/>
      </w:r>
      <w:r w:rsidRPr="009F04B9">
        <w:rPr>
          <w:rFonts w:ascii="Calibri" w:hAnsi="Calibri"/>
        </w:rPr>
        <w:tab/>
      </w:r>
      <w:r w:rsidR="00105B19" w:rsidRPr="009F04B9">
        <w:rPr>
          <w:rFonts w:ascii="Calibri" w:hAnsi="Calibri"/>
        </w:rPr>
        <w:t xml:space="preserve">Werkelijke </w:t>
      </w:r>
      <w:r w:rsidR="00105B19">
        <w:rPr>
          <w:rFonts w:ascii="Calibri" w:hAnsi="Calibri"/>
        </w:rPr>
        <w:t>opbrengsten</w:t>
      </w:r>
      <w:r w:rsidR="00105B19" w:rsidRPr="009F04B9">
        <w:rPr>
          <w:rFonts w:ascii="Calibri" w:hAnsi="Calibri"/>
        </w:rPr>
        <w:t xml:space="preserve"> uit periodieke </w:t>
      </w:r>
      <w:r w:rsidR="00105B19">
        <w:rPr>
          <w:rFonts w:ascii="Calibri" w:hAnsi="Calibri"/>
        </w:rPr>
        <w:t>distributie</w:t>
      </w:r>
      <w:r w:rsidR="00105B19" w:rsidRPr="009F04B9">
        <w:rPr>
          <w:rFonts w:ascii="Calibri" w:hAnsi="Calibri"/>
        </w:rPr>
        <w:t>nettarieven in boekjaar 20</w:t>
      </w:r>
      <w:r w:rsidR="00105B19">
        <w:rPr>
          <w:rFonts w:ascii="Calibri" w:hAnsi="Calibri"/>
        </w:rPr>
        <w:t>21</w:t>
      </w:r>
      <w:r w:rsidR="00105B19" w:rsidRPr="009F04B9">
        <w:rPr>
          <w:rFonts w:ascii="Calibri" w:hAnsi="Calibri"/>
        </w:rPr>
        <w:t xml:space="preserve"> (elektriciteit – </w:t>
      </w:r>
      <w:r w:rsidR="00105B19">
        <w:rPr>
          <w:rFonts w:ascii="Calibri" w:hAnsi="Calibri"/>
        </w:rPr>
        <w:t>injectie</w:t>
      </w:r>
      <w:r w:rsidR="00105B19" w:rsidRPr="009F04B9">
        <w:rPr>
          <w:rFonts w:ascii="Calibri" w:hAnsi="Calibri"/>
        </w:rPr>
        <w:t>)</w:t>
      </w:r>
    </w:p>
    <w:p w14:paraId="48EABEDF" w14:textId="1C3F99F0" w:rsidR="009F04B9" w:rsidRPr="009573FD" w:rsidRDefault="000D47E5" w:rsidP="009F04B9">
      <w:pPr>
        <w:numPr>
          <w:ilvl w:val="0"/>
          <w:numId w:val="11"/>
        </w:numPr>
        <w:spacing w:before="0" w:line="240" w:lineRule="auto"/>
        <w:ind w:left="1418" w:right="-2" w:hanging="425"/>
        <w:jc w:val="both"/>
        <w:rPr>
          <w:rFonts w:ascii="Calibri" w:hAnsi="Calibri"/>
          <w:b/>
        </w:rPr>
      </w:pPr>
      <w:r w:rsidRPr="009F04B9">
        <w:rPr>
          <w:rFonts w:ascii="Calibri" w:hAnsi="Calibri"/>
        </w:rPr>
        <w:t>TABEL 5E</w:t>
      </w:r>
      <w:r w:rsidRPr="009F04B9">
        <w:rPr>
          <w:rFonts w:ascii="Calibri" w:hAnsi="Calibri"/>
        </w:rPr>
        <w:tab/>
      </w:r>
      <w:r w:rsidR="009F04B9">
        <w:rPr>
          <w:rFonts w:ascii="Calibri" w:hAnsi="Calibri"/>
        </w:rPr>
        <w:tab/>
      </w:r>
      <w:r w:rsidR="00105B19" w:rsidRPr="009F04B9">
        <w:rPr>
          <w:rFonts w:ascii="Calibri" w:hAnsi="Calibri"/>
        </w:rPr>
        <w:t xml:space="preserve">Werkelijke </w:t>
      </w:r>
      <w:r w:rsidR="00105B19">
        <w:rPr>
          <w:rFonts w:ascii="Calibri" w:hAnsi="Calibri"/>
        </w:rPr>
        <w:t>opbrengsten</w:t>
      </w:r>
      <w:r w:rsidR="00105B19" w:rsidRPr="009F04B9">
        <w:rPr>
          <w:rFonts w:ascii="Calibri" w:hAnsi="Calibri"/>
        </w:rPr>
        <w:t xml:space="preserve"> uit periodieke </w:t>
      </w:r>
      <w:r w:rsidR="00105B19">
        <w:rPr>
          <w:rFonts w:ascii="Calibri" w:hAnsi="Calibri"/>
        </w:rPr>
        <w:t>distributie</w:t>
      </w:r>
      <w:r w:rsidR="00105B19" w:rsidRPr="009F04B9">
        <w:rPr>
          <w:rFonts w:ascii="Calibri" w:hAnsi="Calibri"/>
        </w:rPr>
        <w:t>nettarieven in boekjaar 20</w:t>
      </w:r>
      <w:r w:rsidR="00105B19">
        <w:rPr>
          <w:rFonts w:ascii="Calibri" w:hAnsi="Calibri"/>
        </w:rPr>
        <w:t>21</w:t>
      </w:r>
      <w:r w:rsidR="00105B19" w:rsidRPr="009F04B9">
        <w:rPr>
          <w:rFonts w:ascii="Calibri" w:hAnsi="Calibri"/>
        </w:rPr>
        <w:t xml:space="preserve"> (</w:t>
      </w:r>
      <w:r w:rsidR="00105B19">
        <w:rPr>
          <w:rFonts w:ascii="Calibri" w:hAnsi="Calibri"/>
        </w:rPr>
        <w:t>gas</w:t>
      </w:r>
      <w:r w:rsidR="00105B19" w:rsidRPr="009F04B9">
        <w:rPr>
          <w:rFonts w:ascii="Calibri" w:hAnsi="Calibri"/>
        </w:rPr>
        <w:t xml:space="preserve"> – afname)</w:t>
      </w:r>
    </w:p>
    <w:p w14:paraId="4F013B9E" w14:textId="3FA12967" w:rsidR="009573FD" w:rsidRDefault="009573FD" w:rsidP="009F04B9">
      <w:pPr>
        <w:numPr>
          <w:ilvl w:val="0"/>
          <w:numId w:val="11"/>
        </w:numPr>
        <w:spacing w:before="0" w:line="240" w:lineRule="auto"/>
        <w:ind w:left="1418" w:right="-2" w:hanging="425"/>
        <w:jc w:val="both"/>
        <w:rPr>
          <w:rFonts w:ascii="Calibri" w:hAnsi="Calibri"/>
          <w:b/>
        </w:rPr>
      </w:pPr>
      <w:r w:rsidRPr="009F04B9">
        <w:rPr>
          <w:rFonts w:ascii="Calibri" w:hAnsi="Calibri"/>
        </w:rPr>
        <w:t>TABEL 5</w:t>
      </w:r>
      <w:r>
        <w:rPr>
          <w:rFonts w:ascii="Calibri" w:hAnsi="Calibri"/>
        </w:rPr>
        <w:t>F</w:t>
      </w:r>
      <w:r w:rsidRPr="009F04B9">
        <w:rPr>
          <w:rFonts w:ascii="Calibri" w:hAnsi="Calibri"/>
        </w:rPr>
        <w:tab/>
      </w:r>
      <w:r>
        <w:rPr>
          <w:rFonts w:ascii="Calibri" w:hAnsi="Calibri"/>
        </w:rPr>
        <w:tab/>
      </w:r>
      <w:r w:rsidRPr="009F04B9">
        <w:rPr>
          <w:rFonts w:ascii="Calibri" w:hAnsi="Calibri"/>
        </w:rPr>
        <w:t xml:space="preserve">Werkelijke </w:t>
      </w:r>
      <w:r>
        <w:rPr>
          <w:rFonts w:ascii="Calibri" w:hAnsi="Calibri"/>
        </w:rPr>
        <w:t>opbrengsten</w:t>
      </w:r>
      <w:r w:rsidRPr="009F04B9">
        <w:rPr>
          <w:rFonts w:ascii="Calibri" w:hAnsi="Calibri"/>
        </w:rPr>
        <w:t xml:space="preserve"> uit periodieke </w:t>
      </w:r>
      <w:r>
        <w:rPr>
          <w:rFonts w:ascii="Calibri" w:hAnsi="Calibri"/>
        </w:rPr>
        <w:t>distributie</w:t>
      </w:r>
      <w:r w:rsidRPr="009F04B9">
        <w:rPr>
          <w:rFonts w:ascii="Calibri" w:hAnsi="Calibri"/>
        </w:rPr>
        <w:t>nettarieven in boekjaar 20</w:t>
      </w:r>
      <w:r>
        <w:rPr>
          <w:rFonts w:ascii="Calibri" w:hAnsi="Calibri"/>
        </w:rPr>
        <w:t>21</w:t>
      </w:r>
      <w:r w:rsidRPr="009F04B9">
        <w:rPr>
          <w:rFonts w:ascii="Calibri" w:hAnsi="Calibri"/>
        </w:rPr>
        <w:t xml:space="preserve"> (</w:t>
      </w:r>
      <w:r>
        <w:rPr>
          <w:rFonts w:ascii="Calibri" w:hAnsi="Calibri"/>
        </w:rPr>
        <w:t>gas</w:t>
      </w:r>
      <w:r w:rsidRPr="009F04B9">
        <w:rPr>
          <w:rFonts w:ascii="Calibri" w:hAnsi="Calibri"/>
        </w:rPr>
        <w:t xml:space="preserve"> – </w:t>
      </w:r>
      <w:r>
        <w:rPr>
          <w:rFonts w:ascii="Calibri" w:hAnsi="Calibri"/>
        </w:rPr>
        <w:t>injectie</w:t>
      </w:r>
      <w:r w:rsidRPr="009F04B9">
        <w:rPr>
          <w:rFonts w:ascii="Calibri" w:hAnsi="Calibri"/>
        </w:rPr>
        <w:t>)</w:t>
      </w:r>
    </w:p>
    <w:p w14:paraId="3BC09AD2" w14:textId="77777777" w:rsidR="009F04B9" w:rsidRDefault="000D47E5" w:rsidP="009F04B9">
      <w:pPr>
        <w:numPr>
          <w:ilvl w:val="0"/>
          <w:numId w:val="11"/>
        </w:numPr>
        <w:spacing w:before="0" w:line="240" w:lineRule="auto"/>
        <w:ind w:left="1418" w:right="-2" w:hanging="425"/>
        <w:jc w:val="both"/>
        <w:rPr>
          <w:rFonts w:ascii="Calibri" w:hAnsi="Calibri"/>
          <w:b/>
        </w:rPr>
      </w:pPr>
      <w:r w:rsidRPr="009F04B9">
        <w:rPr>
          <w:rFonts w:ascii="Calibri" w:hAnsi="Calibri"/>
        </w:rPr>
        <w:t>TABEL 6A</w:t>
      </w:r>
      <w:r w:rsidRPr="009F04B9">
        <w:rPr>
          <w:rFonts w:ascii="Calibri" w:hAnsi="Calibri"/>
        </w:rPr>
        <w:tab/>
      </w:r>
      <w:r w:rsidR="009F04B9">
        <w:rPr>
          <w:rFonts w:ascii="Calibri" w:hAnsi="Calibri"/>
        </w:rPr>
        <w:tab/>
      </w:r>
      <w:r w:rsidRPr="009F04B9">
        <w:rPr>
          <w:rFonts w:ascii="Calibri" w:hAnsi="Calibri"/>
        </w:rPr>
        <w:t>Opvolging regulatoir saldo inzake herindexering van het budget voor endogene kosten</w:t>
      </w:r>
    </w:p>
    <w:p w14:paraId="196395A8" w14:textId="6B531261" w:rsidR="009F04B9" w:rsidRDefault="000D47E5" w:rsidP="009F04B9">
      <w:pPr>
        <w:numPr>
          <w:ilvl w:val="0"/>
          <w:numId w:val="11"/>
        </w:numPr>
        <w:spacing w:before="0" w:line="240" w:lineRule="auto"/>
        <w:ind w:left="1418" w:right="-2" w:hanging="425"/>
        <w:jc w:val="both"/>
        <w:rPr>
          <w:rFonts w:ascii="Calibri" w:hAnsi="Calibri"/>
          <w:b/>
        </w:rPr>
      </w:pPr>
      <w:r w:rsidRPr="009F04B9">
        <w:rPr>
          <w:rFonts w:ascii="Calibri" w:hAnsi="Calibri"/>
        </w:rPr>
        <w:t>TABEL 6B</w:t>
      </w:r>
      <w:r w:rsidRPr="009F04B9">
        <w:rPr>
          <w:rFonts w:ascii="Calibri" w:hAnsi="Calibri"/>
        </w:rPr>
        <w:tab/>
      </w:r>
      <w:r w:rsidR="009F04B9">
        <w:rPr>
          <w:rFonts w:ascii="Calibri" w:hAnsi="Calibri"/>
        </w:rPr>
        <w:tab/>
      </w:r>
      <w:r w:rsidRPr="009F04B9">
        <w:rPr>
          <w:rFonts w:ascii="Calibri" w:hAnsi="Calibri"/>
        </w:rPr>
        <w:t>Overzicht regulatoir saldo inzake herindexering van het budget voor endogene kosten per tariefcomponent</w:t>
      </w:r>
    </w:p>
    <w:p w14:paraId="16CCE512" w14:textId="0790659B" w:rsidR="009F04B9" w:rsidRPr="00A2260A" w:rsidRDefault="000D47E5" w:rsidP="009F04B9">
      <w:pPr>
        <w:numPr>
          <w:ilvl w:val="0"/>
          <w:numId w:val="11"/>
        </w:numPr>
        <w:spacing w:before="0" w:line="240" w:lineRule="auto"/>
        <w:ind w:left="1418" w:right="-2" w:hanging="425"/>
        <w:jc w:val="both"/>
        <w:rPr>
          <w:rFonts w:ascii="Calibri" w:hAnsi="Calibri"/>
          <w:b/>
        </w:rPr>
      </w:pPr>
      <w:r w:rsidRPr="009F04B9">
        <w:rPr>
          <w:rFonts w:ascii="Calibri" w:hAnsi="Calibri"/>
        </w:rPr>
        <w:t>TABEL 7</w:t>
      </w:r>
      <w:r w:rsidRPr="009F04B9">
        <w:rPr>
          <w:rFonts w:ascii="Calibri" w:hAnsi="Calibri"/>
        </w:rPr>
        <w:tab/>
      </w:r>
      <w:r w:rsidR="009F04B9">
        <w:rPr>
          <w:rFonts w:ascii="Calibri" w:hAnsi="Calibri"/>
        </w:rPr>
        <w:tab/>
      </w:r>
      <w:r w:rsidRPr="009F04B9">
        <w:rPr>
          <w:rFonts w:ascii="Calibri" w:hAnsi="Calibri"/>
        </w:rPr>
        <w:t>Opvolging regulatoir saldo inzake vennootschapsbelasting</w:t>
      </w:r>
    </w:p>
    <w:p w14:paraId="5FDA7124" w14:textId="16EEF5E2" w:rsidR="000D47E5" w:rsidRPr="00EC5F16" w:rsidRDefault="00A2260A" w:rsidP="009F04B9">
      <w:pPr>
        <w:numPr>
          <w:ilvl w:val="0"/>
          <w:numId w:val="11"/>
        </w:numPr>
        <w:spacing w:before="0" w:line="240" w:lineRule="auto"/>
        <w:ind w:left="1418" w:right="-2" w:hanging="425"/>
        <w:jc w:val="both"/>
        <w:rPr>
          <w:rFonts w:ascii="Calibri" w:hAnsi="Calibri"/>
          <w:b/>
        </w:rPr>
      </w:pPr>
      <w:r w:rsidRPr="00EC5F16">
        <w:rPr>
          <w:rFonts w:ascii="Calibri" w:hAnsi="Calibri"/>
        </w:rPr>
        <w:t>TABEL 8</w:t>
      </w:r>
      <w:r w:rsidRPr="00EC5F16">
        <w:rPr>
          <w:rFonts w:ascii="Calibri" w:hAnsi="Calibri"/>
        </w:rPr>
        <w:tab/>
      </w:r>
      <w:r w:rsidRPr="00EC5F16">
        <w:rPr>
          <w:rFonts w:ascii="Calibri" w:hAnsi="Calibri"/>
        </w:rPr>
        <w:tab/>
        <w:t>Opvolging regulatoir saldo inzake herwaarderingsmeerwaarden</w:t>
      </w:r>
      <w:r w:rsidR="000D47E5" w:rsidRPr="00EC5F16">
        <w:rPr>
          <w:rFonts w:ascii="Calibri" w:hAnsi="Calibri"/>
        </w:rPr>
        <w:t xml:space="preserve"> </w:t>
      </w:r>
    </w:p>
    <w:p w14:paraId="5DA05806" w14:textId="32D92AB0" w:rsidR="00FA28F5" w:rsidRPr="00FA28F5" w:rsidRDefault="00FA28F5" w:rsidP="000D47E5">
      <w:pPr>
        <w:numPr>
          <w:ilvl w:val="0"/>
          <w:numId w:val="11"/>
        </w:numPr>
        <w:spacing w:before="0" w:line="240" w:lineRule="auto"/>
        <w:ind w:left="1418" w:right="-2" w:hanging="425"/>
        <w:jc w:val="both"/>
        <w:rPr>
          <w:rFonts w:ascii="Calibri" w:hAnsi="Calibri"/>
          <w:b/>
        </w:rPr>
      </w:pPr>
      <w:r>
        <w:rPr>
          <w:rFonts w:ascii="Calibri" w:hAnsi="Calibri"/>
        </w:rPr>
        <w:t xml:space="preserve">TABEL </w:t>
      </w:r>
      <w:r w:rsidR="009F7AD2">
        <w:rPr>
          <w:rFonts w:ascii="Calibri" w:hAnsi="Calibri"/>
        </w:rPr>
        <w:t>9</w:t>
      </w:r>
      <w:r>
        <w:rPr>
          <w:rFonts w:ascii="Calibri" w:hAnsi="Calibri"/>
        </w:rPr>
        <w:tab/>
      </w:r>
      <w:r>
        <w:rPr>
          <w:rFonts w:ascii="Calibri" w:hAnsi="Calibri"/>
        </w:rPr>
        <w:tab/>
        <w:t>Algemeen overzicht aanvullende endogene termen</w:t>
      </w:r>
    </w:p>
    <w:p w14:paraId="4EE690F4" w14:textId="608CBCAA" w:rsidR="00FA28F5" w:rsidRPr="00B671AD" w:rsidRDefault="00FA28F5" w:rsidP="000D47E5">
      <w:pPr>
        <w:numPr>
          <w:ilvl w:val="0"/>
          <w:numId w:val="11"/>
        </w:numPr>
        <w:spacing w:before="0" w:line="240" w:lineRule="auto"/>
        <w:ind w:left="1418" w:right="-2" w:hanging="425"/>
        <w:jc w:val="both"/>
        <w:rPr>
          <w:rFonts w:ascii="Calibri" w:hAnsi="Calibri"/>
          <w:b/>
        </w:rPr>
      </w:pPr>
      <w:r>
        <w:rPr>
          <w:rFonts w:ascii="Calibri" w:hAnsi="Calibri"/>
        </w:rPr>
        <w:t>TABEL 1</w:t>
      </w:r>
      <w:r w:rsidR="009F7AD2">
        <w:rPr>
          <w:rFonts w:ascii="Calibri" w:hAnsi="Calibri"/>
        </w:rPr>
        <w:t>0</w:t>
      </w:r>
      <w:r w:rsidR="00B671AD">
        <w:rPr>
          <w:rFonts w:ascii="Calibri" w:hAnsi="Calibri"/>
        </w:rPr>
        <w:tab/>
      </w:r>
      <w:r w:rsidR="00B671AD">
        <w:rPr>
          <w:rFonts w:ascii="Calibri" w:hAnsi="Calibri"/>
        </w:rPr>
        <w:tab/>
        <w:t>Fiscaal niet-aftrekbare afschrijvingen op herwaarderingsmeerwaarden</w:t>
      </w:r>
    </w:p>
    <w:p w14:paraId="345BD277" w14:textId="55F97A73" w:rsidR="006531EB" w:rsidRPr="006531EB" w:rsidRDefault="006531EB" w:rsidP="000D47E5">
      <w:pPr>
        <w:numPr>
          <w:ilvl w:val="0"/>
          <w:numId w:val="11"/>
        </w:numPr>
        <w:spacing w:before="0" w:line="240" w:lineRule="auto"/>
        <w:ind w:left="1418" w:right="-2" w:hanging="425"/>
        <w:jc w:val="both"/>
        <w:rPr>
          <w:rFonts w:ascii="Calibri" w:hAnsi="Calibri"/>
          <w:b/>
        </w:rPr>
      </w:pPr>
      <w:r>
        <w:rPr>
          <w:rFonts w:ascii="Calibri" w:hAnsi="Calibri"/>
          <w:bCs/>
        </w:rPr>
        <w:t>TABEL 11</w:t>
      </w:r>
      <w:r>
        <w:rPr>
          <w:rFonts w:ascii="Calibri" w:hAnsi="Calibri"/>
          <w:bCs/>
        </w:rPr>
        <w:tab/>
      </w:r>
      <w:r>
        <w:rPr>
          <w:rFonts w:ascii="Calibri" w:hAnsi="Calibri"/>
          <w:bCs/>
        </w:rPr>
        <w:tab/>
        <w:t>Fi</w:t>
      </w:r>
      <w:r w:rsidR="00642118">
        <w:rPr>
          <w:rFonts w:ascii="Calibri" w:hAnsi="Calibri"/>
          <w:bCs/>
        </w:rPr>
        <w:t xml:space="preserve">scaal niet-aftrekbare </w:t>
      </w:r>
      <w:r w:rsidR="00223498">
        <w:rPr>
          <w:rFonts w:ascii="Calibri" w:hAnsi="Calibri"/>
          <w:bCs/>
        </w:rPr>
        <w:t>heffing volgens het Decreet houdende het Grootschalig Referentiebestand</w:t>
      </w:r>
      <w:r w:rsidR="00642118">
        <w:rPr>
          <w:rFonts w:ascii="Calibri" w:hAnsi="Calibri"/>
          <w:bCs/>
        </w:rPr>
        <w:t xml:space="preserve"> </w:t>
      </w:r>
    </w:p>
    <w:p w14:paraId="0C0FF2E6" w14:textId="520F69D4" w:rsidR="00B671AD" w:rsidRPr="00722672" w:rsidRDefault="00B671AD" w:rsidP="000D47E5">
      <w:pPr>
        <w:numPr>
          <w:ilvl w:val="0"/>
          <w:numId w:val="11"/>
        </w:numPr>
        <w:spacing w:before="0" w:line="240" w:lineRule="auto"/>
        <w:ind w:left="1418" w:right="-2" w:hanging="425"/>
        <w:jc w:val="both"/>
        <w:rPr>
          <w:rFonts w:ascii="Calibri" w:hAnsi="Calibri"/>
          <w:b/>
        </w:rPr>
      </w:pPr>
      <w:r>
        <w:rPr>
          <w:rFonts w:ascii="Calibri" w:hAnsi="Calibri"/>
        </w:rPr>
        <w:t>TABEL 1</w:t>
      </w:r>
      <w:r w:rsidR="00A21B75">
        <w:rPr>
          <w:rFonts w:ascii="Calibri" w:hAnsi="Calibri"/>
        </w:rPr>
        <w:t>2</w:t>
      </w:r>
      <w:r>
        <w:rPr>
          <w:rFonts w:ascii="Calibri" w:hAnsi="Calibri"/>
        </w:rPr>
        <w:tab/>
      </w:r>
      <w:r>
        <w:rPr>
          <w:rFonts w:ascii="Calibri" w:hAnsi="Calibri"/>
        </w:rPr>
        <w:tab/>
        <w:t>Notionele intre</w:t>
      </w:r>
      <w:r w:rsidR="00722672">
        <w:rPr>
          <w:rFonts w:ascii="Calibri" w:hAnsi="Calibri"/>
        </w:rPr>
        <w:t>staftrek</w:t>
      </w:r>
    </w:p>
    <w:p w14:paraId="5406CCB3" w14:textId="12A05D3D" w:rsidR="00722672" w:rsidRPr="00162513" w:rsidRDefault="00722672" w:rsidP="000D47E5">
      <w:pPr>
        <w:numPr>
          <w:ilvl w:val="0"/>
          <w:numId w:val="11"/>
        </w:numPr>
        <w:spacing w:before="0" w:line="240" w:lineRule="auto"/>
        <w:ind w:left="1418" w:right="-2" w:hanging="425"/>
        <w:jc w:val="both"/>
        <w:rPr>
          <w:rFonts w:ascii="Calibri" w:hAnsi="Calibri"/>
          <w:b/>
        </w:rPr>
      </w:pPr>
      <w:r>
        <w:rPr>
          <w:rFonts w:ascii="Calibri" w:hAnsi="Calibri"/>
        </w:rPr>
        <w:t>TABEL 1</w:t>
      </w:r>
      <w:r w:rsidR="00A21B75">
        <w:rPr>
          <w:rFonts w:ascii="Calibri" w:hAnsi="Calibri"/>
        </w:rPr>
        <w:t>3</w:t>
      </w:r>
      <w:r w:rsidR="00162513">
        <w:rPr>
          <w:rFonts w:ascii="Calibri" w:hAnsi="Calibri"/>
        </w:rPr>
        <w:t>A</w:t>
      </w:r>
      <w:r w:rsidR="00162513">
        <w:rPr>
          <w:rFonts w:ascii="Calibri" w:hAnsi="Calibri"/>
        </w:rPr>
        <w:tab/>
      </w:r>
      <w:r w:rsidR="00162513" w:rsidRPr="00162513">
        <w:rPr>
          <w:rFonts w:ascii="Calibri" w:hAnsi="Calibri"/>
        </w:rPr>
        <w:t xml:space="preserve">Afschrijvingen van de meerwaarde op basis van de historische indexatie (materiële vaste activa) </w:t>
      </w:r>
      <w:r w:rsidR="00162513">
        <w:rPr>
          <w:rFonts w:ascii="Calibri" w:hAnsi="Calibri"/>
        </w:rPr>
        <w:t>–</w:t>
      </w:r>
      <w:r w:rsidR="00162513" w:rsidRPr="00162513">
        <w:rPr>
          <w:rFonts w:ascii="Calibri" w:hAnsi="Calibri"/>
        </w:rPr>
        <w:t xml:space="preserve"> elektriciteit</w:t>
      </w:r>
    </w:p>
    <w:p w14:paraId="0DAA4A9E" w14:textId="16992A03" w:rsidR="00162513" w:rsidRPr="004E4658" w:rsidRDefault="00162513" w:rsidP="000D47E5">
      <w:pPr>
        <w:numPr>
          <w:ilvl w:val="0"/>
          <w:numId w:val="11"/>
        </w:numPr>
        <w:spacing w:before="0" w:line="240" w:lineRule="auto"/>
        <w:ind w:left="1418" w:right="-2" w:hanging="425"/>
        <w:jc w:val="both"/>
        <w:rPr>
          <w:rFonts w:ascii="Calibri" w:hAnsi="Calibri"/>
          <w:b/>
        </w:rPr>
      </w:pPr>
      <w:r>
        <w:rPr>
          <w:rFonts w:ascii="Calibri" w:hAnsi="Calibri"/>
        </w:rPr>
        <w:t>TABEL 1</w:t>
      </w:r>
      <w:r w:rsidR="00A21B75">
        <w:rPr>
          <w:rFonts w:ascii="Calibri" w:hAnsi="Calibri"/>
        </w:rPr>
        <w:t>3</w:t>
      </w:r>
      <w:r>
        <w:rPr>
          <w:rFonts w:ascii="Calibri" w:hAnsi="Calibri"/>
        </w:rPr>
        <w:t>B</w:t>
      </w:r>
      <w:r>
        <w:rPr>
          <w:rFonts w:ascii="Calibri" w:hAnsi="Calibri"/>
        </w:rPr>
        <w:tab/>
      </w:r>
      <w:r w:rsidR="004E4658" w:rsidRPr="004E4658">
        <w:rPr>
          <w:rFonts w:ascii="Calibri" w:hAnsi="Calibri"/>
        </w:rPr>
        <w:t xml:space="preserve">Afschrijvingen van de meerwaarde op basis van de iRAB (materiële vaste activa) </w:t>
      </w:r>
      <w:r w:rsidR="004E4658">
        <w:rPr>
          <w:rFonts w:ascii="Calibri" w:hAnsi="Calibri"/>
        </w:rPr>
        <w:t>–</w:t>
      </w:r>
      <w:r w:rsidR="004E4658" w:rsidRPr="004E4658">
        <w:rPr>
          <w:rFonts w:ascii="Calibri" w:hAnsi="Calibri"/>
        </w:rPr>
        <w:t xml:space="preserve"> elektriciteit</w:t>
      </w:r>
    </w:p>
    <w:p w14:paraId="494793F4" w14:textId="0C1EC559" w:rsidR="004E4658" w:rsidRPr="00415B5C" w:rsidRDefault="004E4658" w:rsidP="000D47E5">
      <w:pPr>
        <w:numPr>
          <w:ilvl w:val="0"/>
          <w:numId w:val="11"/>
        </w:numPr>
        <w:spacing w:before="0" w:line="240" w:lineRule="auto"/>
        <w:ind w:left="1418" w:right="-2" w:hanging="425"/>
        <w:jc w:val="both"/>
        <w:rPr>
          <w:rFonts w:ascii="Calibri" w:hAnsi="Calibri"/>
          <w:b/>
        </w:rPr>
      </w:pPr>
      <w:r>
        <w:rPr>
          <w:rFonts w:ascii="Calibri" w:hAnsi="Calibri"/>
        </w:rPr>
        <w:lastRenderedPageBreak/>
        <w:t>TABEL 1</w:t>
      </w:r>
      <w:r w:rsidR="00A21B75">
        <w:rPr>
          <w:rFonts w:ascii="Calibri" w:hAnsi="Calibri"/>
        </w:rPr>
        <w:t>3</w:t>
      </w:r>
      <w:r>
        <w:rPr>
          <w:rFonts w:ascii="Calibri" w:hAnsi="Calibri"/>
        </w:rPr>
        <w:t>C</w:t>
      </w:r>
      <w:r>
        <w:rPr>
          <w:rFonts w:ascii="Calibri" w:hAnsi="Calibri"/>
        </w:rPr>
        <w:tab/>
      </w:r>
      <w:r w:rsidR="00415B5C" w:rsidRPr="00415B5C">
        <w:rPr>
          <w:rFonts w:ascii="Calibri" w:hAnsi="Calibri"/>
        </w:rPr>
        <w:t xml:space="preserve">Afschrijvingen van de meerwaarde op basis van de historische indexatie (materiële vaste activa) </w:t>
      </w:r>
      <w:r w:rsidR="00415B5C">
        <w:rPr>
          <w:rFonts w:ascii="Calibri" w:hAnsi="Calibri"/>
        </w:rPr>
        <w:t>–</w:t>
      </w:r>
      <w:r w:rsidR="00415B5C" w:rsidRPr="00415B5C">
        <w:rPr>
          <w:rFonts w:ascii="Calibri" w:hAnsi="Calibri"/>
        </w:rPr>
        <w:t xml:space="preserve"> gas</w:t>
      </w:r>
    </w:p>
    <w:p w14:paraId="45077699" w14:textId="5FD49063" w:rsidR="00415B5C" w:rsidRPr="00415B5C" w:rsidRDefault="00415B5C" w:rsidP="000D47E5">
      <w:pPr>
        <w:numPr>
          <w:ilvl w:val="0"/>
          <w:numId w:val="11"/>
        </w:numPr>
        <w:spacing w:before="0" w:line="240" w:lineRule="auto"/>
        <w:ind w:left="1418" w:right="-2" w:hanging="425"/>
        <w:jc w:val="both"/>
        <w:rPr>
          <w:rFonts w:ascii="Calibri" w:hAnsi="Calibri"/>
          <w:b/>
        </w:rPr>
      </w:pPr>
      <w:r>
        <w:rPr>
          <w:rFonts w:ascii="Calibri" w:hAnsi="Calibri"/>
        </w:rPr>
        <w:t>TABEL 1</w:t>
      </w:r>
      <w:r w:rsidR="00A21B75">
        <w:rPr>
          <w:rFonts w:ascii="Calibri" w:hAnsi="Calibri"/>
        </w:rPr>
        <w:t>3</w:t>
      </w:r>
      <w:r>
        <w:rPr>
          <w:rFonts w:ascii="Calibri" w:hAnsi="Calibri"/>
        </w:rPr>
        <w:t>D</w:t>
      </w:r>
      <w:r>
        <w:rPr>
          <w:rFonts w:ascii="Calibri" w:hAnsi="Calibri"/>
        </w:rPr>
        <w:tab/>
      </w:r>
      <w:r w:rsidRPr="00415B5C">
        <w:rPr>
          <w:rFonts w:ascii="Calibri" w:hAnsi="Calibri"/>
        </w:rPr>
        <w:t xml:space="preserve">Afschrijvingen van de meerwaarde op basis van de iRAB (materiële vaste activa) </w:t>
      </w:r>
      <w:r>
        <w:rPr>
          <w:rFonts w:ascii="Calibri" w:hAnsi="Calibri"/>
        </w:rPr>
        <w:t>–</w:t>
      </w:r>
      <w:r w:rsidRPr="00415B5C">
        <w:rPr>
          <w:rFonts w:ascii="Calibri" w:hAnsi="Calibri"/>
        </w:rPr>
        <w:t xml:space="preserve"> gas</w:t>
      </w:r>
    </w:p>
    <w:p w14:paraId="4A307F0B" w14:textId="3148DB62" w:rsidR="00415B5C" w:rsidRPr="009F04B9" w:rsidRDefault="00415B5C" w:rsidP="000D47E5">
      <w:pPr>
        <w:numPr>
          <w:ilvl w:val="0"/>
          <w:numId w:val="11"/>
        </w:numPr>
        <w:spacing w:before="0" w:line="240" w:lineRule="auto"/>
        <w:ind w:left="1418" w:right="-2" w:hanging="425"/>
        <w:jc w:val="both"/>
        <w:rPr>
          <w:rFonts w:ascii="Calibri" w:hAnsi="Calibri"/>
          <w:b/>
        </w:rPr>
      </w:pPr>
      <w:r>
        <w:rPr>
          <w:rFonts w:ascii="Calibri" w:hAnsi="Calibri"/>
        </w:rPr>
        <w:t>TABEL 1</w:t>
      </w:r>
      <w:r w:rsidR="00A21B75">
        <w:rPr>
          <w:rFonts w:ascii="Calibri" w:hAnsi="Calibri"/>
        </w:rPr>
        <w:t>4</w:t>
      </w:r>
      <w:r w:rsidR="00CD7528">
        <w:rPr>
          <w:rFonts w:ascii="Calibri" w:hAnsi="Calibri"/>
        </w:rPr>
        <w:tab/>
      </w:r>
      <w:r w:rsidR="00CD7528">
        <w:rPr>
          <w:rFonts w:ascii="Calibri" w:hAnsi="Calibri"/>
        </w:rPr>
        <w:tab/>
      </w:r>
      <w:r w:rsidR="00CD7528" w:rsidRPr="00CD7528">
        <w:rPr>
          <w:rFonts w:ascii="Calibri" w:hAnsi="Calibri"/>
        </w:rPr>
        <w:t>Kapitaalkostvergoeding herwaarderingsmeerwaarden</w:t>
      </w:r>
    </w:p>
    <w:p w14:paraId="4056FE4F" w14:textId="418502BD" w:rsidR="000D47E5" w:rsidRPr="0043072E" w:rsidRDefault="000D47E5" w:rsidP="00836F3C">
      <w:pPr>
        <w:ind w:right="-2"/>
        <w:rPr>
          <w:rFonts w:ascii="Calibri" w:hAnsi="Calibri" w:cs="Tahoma"/>
        </w:rPr>
      </w:pPr>
      <w:r w:rsidRPr="0043072E">
        <w:rPr>
          <w:rFonts w:ascii="Calibri" w:hAnsi="Calibri" w:cs="Tahoma"/>
        </w:rPr>
        <w:t xml:space="preserve">Het Excel bestand is voorzien van een aantal automatisch berekende waarden teneinde de verwerking van het rapporteringsmodel, zowel voor de distributienetbeheerder als voor de VREG, efficiënt te laten verlopen. </w:t>
      </w:r>
      <w:r w:rsidR="00896671">
        <w:rPr>
          <w:rFonts w:ascii="Calibri" w:hAnsi="Calibri" w:cs="Tahoma"/>
        </w:rPr>
        <w:t xml:space="preserve">Deze waarden werden door de VREG dan ook beveiligd. </w:t>
      </w:r>
      <w:r w:rsidRPr="0043072E">
        <w:rPr>
          <w:rFonts w:ascii="Calibri" w:hAnsi="Calibri" w:cs="Tahoma"/>
        </w:rPr>
        <w:t xml:space="preserve">Het rapporteringsmodel dient door de distributienetbeheerder in één afgedrukt exemplaar te worden opgeleverd, alsook onder elektronische vorm (Excel-formaat). </w:t>
      </w:r>
      <w:r w:rsidR="00B22C7F">
        <w:rPr>
          <w:rFonts w:ascii="Calibri" w:hAnsi="Calibri" w:cs="Tahoma"/>
        </w:rPr>
        <w:t>In de elektronische vor</w:t>
      </w:r>
      <w:r w:rsidR="001A0268">
        <w:rPr>
          <w:rFonts w:ascii="Calibri" w:hAnsi="Calibri" w:cs="Tahoma"/>
        </w:rPr>
        <w:t>m zijn geen verwijzingen naar externe bestanden (koppelingen) toegelaten.</w:t>
      </w:r>
    </w:p>
    <w:p w14:paraId="39E87A36" w14:textId="1F1B72A4" w:rsidR="000D47E5" w:rsidRPr="0043072E" w:rsidRDefault="000D47E5" w:rsidP="00836F3C">
      <w:pPr>
        <w:ind w:right="-2"/>
        <w:rPr>
          <w:rFonts w:ascii="Calibri" w:hAnsi="Calibri"/>
        </w:rPr>
      </w:pPr>
      <w:r w:rsidRPr="0043072E">
        <w:rPr>
          <w:rFonts w:ascii="Calibri" w:hAnsi="Calibri"/>
        </w:rPr>
        <w:t xml:space="preserve">Het rapporteringsmodel dient te worden ingevuld met inachtneming van de </w:t>
      </w:r>
      <w:r w:rsidR="00904509">
        <w:rPr>
          <w:rFonts w:ascii="Calibri" w:hAnsi="Calibri"/>
        </w:rPr>
        <w:t>regulatoire</w:t>
      </w:r>
      <w:r w:rsidRPr="0043072E">
        <w:rPr>
          <w:rFonts w:ascii="Calibri" w:hAnsi="Calibri"/>
        </w:rPr>
        <w:t xml:space="preserve"> boekhoudkundige voorschriften die in paragraaf </w:t>
      </w:r>
      <w:r w:rsidR="00B06BFC">
        <w:rPr>
          <w:rFonts w:ascii="Calibri" w:hAnsi="Calibri"/>
        </w:rPr>
        <w:t>13</w:t>
      </w:r>
      <w:r w:rsidRPr="0043072E">
        <w:rPr>
          <w:rFonts w:ascii="Calibri" w:hAnsi="Calibri"/>
        </w:rPr>
        <w:t xml:space="preserve"> van de hoofdtekst van de tariefmethodologie zijn opgenomen. Eventuele afwijkingen tussen de boekhoudkundige waarden en de waarden opgenomen in het rapporteringsmodel dienen door de distributienetbeheerder in een afzonderlijke nota in detail worden verklaard. </w:t>
      </w:r>
    </w:p>
    <w:p w14:paraId="2EDFDCBE" w14:textId="23EFF51C" w:rsidR="000D47E5" w:rsidRPr="0043072E" w:rsidRDefault="000D47E5" w:rsidP="009F04B9">
      <w:pPr>
        <w:ind w:right="-2"/>
        <w:rPr>
          <w:rFonts w:ascii="Calibri" w:hAnsi="Calibri"/>
        </w:rPr>
      </w:pPr>
      <w:r w:rsidRPr="0043072E">
        <w:rPr>
          <w:rFonts w:ascii="Calibri" w:hAnsi="Calibri"/>
        </w:rPr>
        <w:t xml:space="preserve">Voor de rapportering inzake de exogene kosten </w:t>
      </w:r>
      <w:r w:rsidR="0022519A">
        <w:rPr>
          <w:rFonts w:ascii="Calibri" w:hAnsi="Calibri"/>
        </w:rPr>
        <w:t xml:space="preserve">en de aanvullende endogene termen </w:t>
      </w:r>
      <w:r w:rsidRPr="0043072E">
        <w:rPr>
          <w:rFonts w:ascii="Calibri" w:hAnsi="Calibri"/>
        </w:rPr>
        <w:t>kan een onderscheid gemaakt worden tussen volgende tijdstippen:</w:t>
      </w:r>
      <w:r w:rsidR="00F87A25">
        <w:rPr>
          <w:rFonts w:ascii="Calibri" w:hAnsi="Calibri"/>
        </w:rPr>
        <w:br/>
      </w:r>
    </w:p>
    <w:p w14:paraId="5181A452" w14:textId="77777777" w:rsidR="00F87A25" w:rsidRDefault="000D47E5" w:rsidP="00836F3C">
      <w:pPr>
        <w:numPr>
          <w:ilvl w:val="0"/>
          <w:numId w:val="16"/>
        </w:numPr>
        <w:spacing w:before="0" w:line="240" w:lineRule="auto"/>
        <w:ind w:right="-2" w:hanging="438"/>
        <w:jc w:val="both"/>
        <w:rPr>
          <w:rFonts w:ascii="Calibri" w:hAnsi="Calibri"/>
        </w:rPr>
      </w:pPr>
      <w:r w:rsidRPr="00F87A25">
        <w:rPr>
          <w:rFonts w:ascii="Calibri" w:hAnsi="Calibri"/>
        </w:rPr>
        <w:t xml:space="preserve">Ex-ante rapportering: </w:t>
      </w:r>
    </w:p>
    <w:p w14:paraId="3F889F8A" w14:textId="29C10D41" w:rsidR="000D47E5" w:rsidRDefault="000D47E5" w:rsidP="00F87A25">
      <w:pPr>
        <w:spacing w:before="0" w:line="240" w:lineRule="auto"/>
        <w:ind w:left="2190" w:right="-2"/>
        <w:jc w:val="both"/>
        <w:rPr>
          <w:rFonts w:ascii="Calibri" w:hAnsi="Calibri"/>
        </w:rPr>
      </w:pPr>
      <w:r w:rsidRPr="00F87A25">
        <w:rPr>
          <w:rFonts w:ascii="Calibri" w:hAnsi="Calibri"/>
        </w:rPr>
        <w:t>In het jaar voorafgaand aan het jaar 20</w:t>
      </w:r>
      <w:r w:rsidR="00107788" w:rsidRPr="00F87A25">
        <w:rPr>
          <w:rFonts w:ascii="Calibri" w:hAnsi="Calibri"/>
        </w:rPr>
        <w:t>21</w:t>
      </w:r>
      <w:r w:rsidRPr="00F87A25">
        <w:rPr>
          <w:rFonts w:ascii="Calibri" w:hAnsi="Calibri"/>
        </w:rPr>
        <w:t xml:space="preserve"> dient de distributienetbeheerder de </w:t>
      </w:r>
      <w:r w:rsidRPr="00F87A25">
        <w:rPr>
          <w:rFonts w:ascii="Calibri" w:hAnsi="Calibri"/>
          <w:b/>
        </w:rPr>
        <w:t>gebudgetteerde waarden</w:t>
      </w:r>
      <w:r w:rsidRPr="00F87A25">
        <w:rPr>
          <w:rFonts w:ascii="Calibri" w:hAnsi="Calibri"/>
        </w:rPr>
        <w:t xml:space="preserve"> voor het boekjaar 2</w:t>
      </w:r>
      <w:r w:rsidR="00DF4DBD" w:rsidRPr="00F87A25">
        <w:rPr>
          <w:rFonts w:ascii="Calibri" w:hAnsi="Calibri"/>
        </w:rPr>
        <w:t>021</w:t>
      </w:r>
      <w:r w:rsidRPr="00F87A25">
        <w:rPr>
          <w:rFonts w:ascii="Calibri" w:hAnsi="Calibri"/>
        </w:rPr>
        <w:t xml:space="preserve"> te rapporteren</w:t>
      </w:r>
      <w:r w:rsidR="00DF4DBD" w:rsidRPr="00F87A25">
        <w:rPr>
          <w:rFonts w:ascii="Calibri" w:hAnsi="Calibri"/>
        </w:rPr>
        <w:t xml:space="preserve">, dewelke </w:t>
      </w:r>
      <w:r w:rsidRPr="00F87A25">
        <w:rPr>
          <w:rFonts w:ascii="Calibri" w:hAnsi="Calibri"/>
        </w:rPr>
        <w:t xml:space="preserve">als basis </w:t>
      </w:r>
      <w:r w:rsidR="00DF4DBD" w:rsidRPr="00F87A25">
        <w:rPr>
          <w:rFonts w:ascii="Calibri" w:hAnsi="Calibri"/>
        </w:rPr>
        <w:t xml:space="preserve">dienen </w:t>
      </w:r>
      <w:r w:rsidRPr="00F87A25">
        <w:rPr>
          <w:rFonts w:ascii="Calibri" w:hAnsi="Calibri"/>
        </w:rPr>
        <w:t xml:space="preserve">voor de bepaling van </w:t>
      </w:r>
      <w:r w:rsidR="007B6393" w:rsidRPr="00F87A25">
        <w:rPr>
          <w:rFonts w:ascii="Calibri" w:hAnsi="Calibri"/>
        </w:rPr>
        <w:t xml:space="preserve">de toegelaten inkomsten voor het boekjaar 2021 </w:t>
      </w:r>
      <w:r w:rsidRPr="00F87A25">
        <w:rPr>
          <w:rFonts w:ascii="Calibri" w:hAnsi="Calibri"/>
        </w:rPr>
        <w:t>inzake exogene kosten</w:t>
      </w:r>
      <w:r w:rsidR="0022519A" w:rsidRPr="00F87A25">
        <w:rPr>
          <w:rFonts w:ascii="Calibri" w:hAnsi="Calibri"/>
        </w:rPr>
        <w:t xml:space="preserve"> enerzijds en aanvullende endogene termen</w:t>
      </w:r>
      <w:r w:rsidRPr="00F87A25">
        <w:rPr>
          <w:rFonts w:ascii="Calibri" w:hAnsi="Calibri"/>
        </w:rPr>
        <w:t xml:space="preserve"> </w:t>
      </w:r>
      <w:r w:rsidR="0022519A" w:rsidRPr="00F87A25">
        <w:rPr>
          <w:rFonts w:ascii="Calibri" w:hAnsi="Calibri"/>
        </w:rPr>
        <w:t>anderzijds</w:t>
      </w:r>
      <w:r w:rsidRPr="00F87A25">
        <w:rPr>
          <w:rFonts w:ascii="Calibri" w:hAnsi="Calibri"/>
        </w:rPr>
        <w:t>.</w:t>
      </w:r>
      <w:r w:rsidR="00836F3C" w:rsidRPr="00F87A25">
        <w:rPr>
          <w:rFonts w:ascii="Calibri" w:hAnsi="Calibri"/>
        </w:rPr>
        <w:t xml:space="preserve"> </w:t>
      </w:r>
    </w:p>
    <w:p w14:paraId="6D658DE8" w14:textId="77777777" w:rsidR="00F87A25" w:rsidRPr="00F87A25" w:rsidRDefault="00F87A25" w:rsidP="00F87A25">
      <w:pPr>
        <w:spacing w:before="0" w:line="240" w:lineRule="auto"/>
        <w:ind w:left="2190" w:right="-2"/>
        <w:jc w:val="both"/>
        <w:rPr>
          <w:rFonts w:ascii="Calibri" w:hAnsi="Calibri"/>
        </w:rPr>
      </w:pPr>
    </w:p>
    <w:p w14:paraId="538FA3C3" w14:textId="77777777" w:rsidR="00F87A25" w:rsidRDefault="000D47E5" w:rsidP="00F87A25">
      <w:pPr>
        <w:numPr>
          <w:ilvl w:val="0"/>
          <w:numId w:val="16"/>
        </w:numPr>
        <w:spacing w:before="0" w:line="240" w:lineRule="auto"/>
        <w:ind w:right="-2"/>
        <w:jc w:val="both"/>
        <w:rPr>
          <w:rFonts w:ascii="Calibri" w:hAnsi="Calibri"/>
        </w:rPr>
      </w:pPr>
      <w:r w:rsidRPr="0043072E">
        <w:rPr>
          <w:rFonts w:ascii="Calibri" w:hAnsi="Calibri"/>
        </w:rPr>
        <w:t>Ex-post rapportering:</w:t>
      </w:r>
    </w:p>
    <w:p w14:paraId="5429C793" w14:textId="7D835459" w:rsidR="000D47E5" w:rsidRPr="00F87A25" w:rsidRDefault="000D47E5" w:rsidP="00F87A25">
      <w:pPr>
        <w:spacing w:before="0" w:line="240" w:lineRule="auto"/>
        <w:ind w:left="2190" w:right="-2"/>
        <w:jc w:val="both"/>
        <w:rPr>
          <w:rFonts w:ascii="Calibri" w:hAnsi="Calibri"/>
        </w:rPr>
      </w:pPr>
      <w:r w:rsidRPr="00F87A25">
        <w:rPr>
          <w:rFonts w:ascii="Calibri" w:hAnsi="Calibri"/>
        </w:rPr>
        <w:t>In het jaar volgend op het jaar 20</w:t>
      </w:r>
      <w:r w:rsidR="00DF4DBD" w:rsidRPr="00F87A25">
        <w:rPr>
          <w:rFonts w:ascii="Calibri" w:hAnsi="Calibri"/>
        </w:rPr>
        <w:t>21</w:t>
      </w:r>
      <w:r w:rsidRPr="00F87A25">
        <w:rPr>
          <w:rFonts w:ascii="Calibri" w:hAnsi="Calibri"/>
        </w:rPr>
        <w:t xml:space="preserve"> dient de distributienetbeheerder de </w:t>
      </w:r>
      <w:r w:rsidRPr="00F87A25">
        <w:rPr>
          <w:rFonts w:ascii="Calibri" w:hAnsi="Calibri"/>
          <w:b/>
        </w:rPr>
        <w:t>werkelijke waarden</w:t>
      </w:r>
      <w:r w:rsidRPr="00F87A25">
        <w:rPr>
          <w:rFonts w:ascii="Calibri" w:hAnsi="Calibri"/>
        </w:rPr>
        <w:t xml:space="preserve"> inzake exogene kosten</w:t>
      </w:r>
      <w:r w:rsidR="00F87A25">
        <w:rPr>
          <w:rFonts w:ascii="Calibri" w:hAnsi="Calibri"/>
        </w:rPr>
        <w:t xml:space="preserve"> en aanvullende endogene termen</w:t>
      </w:r>
      <w:r w:rsidRPr="00F87A25">
        <w:rPr>
          <w:rFonts w:ascii="Calibri" w:hAnsi="Calibri"/>
        </w:rPr>
        <w:t xml:space="preserve"> voor </w:t>
      </w:r>
      <w:r w:rsidR="00F87A25">
        <w:rPr>
          <w:rFonts w:ascii="Calibri" w:hAnsi="Calibri"/>
        </w:rPr>
        <w:t xml:space="preserve">het </w:t>
      </w:r>
      <w:r w:rsidRPr="00F87A25">
        <w:rPr>
          <w:rFonts w:ascii="Calibri" w:hAnsi="Calibri"/>
        </w:rPr>
        <w:t>boekjaar 20</w:t>
      </w:r>
      <w:r w:rsidR="00DF4DBD" w:rsidRPr="00F87A25">
        <w:rPr>
          <w:rFonts w:ascii="Calibri" w:hAnsi="Calibri"/>
        </w:rPr>
        <w:t>21</w:t>
      </w:r>
      <w:r w:rsidRPr="00F87A25">
        <w:rPr>
          <w:rFonts w:ascii="Calibri" w:hAnsi="Calibri"/>
        </w:rPr>
        <w:t xml:space="preserve"> te rapporteren</w:t>
      </w:r>
      <w:r w:rsidR="00E30A82">
        <w:rPr>
          <w:rFonts w:ascii="Calibri" w:hAnsi="Calibri"/>
        </w:rPr>
        <w:t>. Deze werkelijke waarden laten toe om de regulatoire saldi voor het boekjaar te bepalen</w:t>
      </w:r>
      <w:r w:rsidRPr="00F87A25">
        <w:rPr>
          <w:rFonts w:ascii="Calibri" w:hAnsi="Calibri"/>
        </w:rPr>
        <w:t xml:space="preserve">. </w:t>
      </w:r>
      <w:r w:rsidR="00E30A82">
        <w:rPr>
          <w:rFonts w:ascii="Calibri" w:hAnsi="Calibri"/>
        </w:rPr>
        <w:t xml:space="preserve">Deze regulatoire saldi worden vervolgens </w:t>
      </w:r>
      <w:r w:rsidRPr="00F87A25">
        <w:rPr>
          <w:rFonts w:ascii="Calibri" w:hAnsi="Calibri"/>
        </w:rPr>
        <w:t xml:space="preserve">doorgerekend in de </w:t>
      </w:r>
      <w:r w:rsidR="00FA698C" w:rsidRPr="00F87A25">
        <w:rPr>
          <w:rFonts w:ascii="Calibri" w:hAnsi="Calibri"/>
        </w:rPr>
        <w:t xml:space="preserve">periodieke </w:t>
      </w:r>
      <w:r w:rsidRPr="00F87A25">
        <w:rPr>
          <w:rFonts w:ascii="Calibri" w:hAnsi="Calibri"/>
        </w:rPr>
        <w:t xml:space="preserve">distributienettarieven van de </w:t>
      </w:r>
      <w:r w:rsidR="00340EBB">
        <w:rPr>
          <w:rFonts w:ascii="Calibri" w:hAnsi="Calibri"/>
        </w:rPr>
        <w:t>daaropvolgende</w:t>
      </w:r>
      <w:r w:rsidRPr="00F87A25">
        <w:rPr>
          <w:rFonts w:ascii="Calibri" w:hAnsi="Calibri"/>
        </w:rPr>
        <w:t xml:space="preserve"> jaren en dit conform de bepalingen omtrent de afbouw van deze regulatoire saldi zoals beschreven in paragraaf 5.</w:t>
      </w:r>
      <w:r w:rsidR="00BD72FA" w:rsidRPr="00F87A25">
        <w:rPr>
          <w:rFonts w:ascii="Calibri" w:hAnsi="Calibri"/>
        </w:rPr>
        <w:t>6</w:t>
      </w:r>
      <w:r w:rsidR="007C1906">
        <w:rPr>
          <w:rFonts w:ascii="Calibri" w:hAnsi="Calibri"/>
        </w:rPr>
        <w:t>.7</w:t>
      </w:r>
      <w:r w:rsidRPr="00F87A25">
        <w:rPr>
          <w:rFonts w:ascii="Calibri" w:hAnsi="Calibri"/>
        </w:rPr>
        <w:t xml:space="preserve"> van de hoofdtekst van de tariefmethodologie</w:t>
      </w:r>
      <w:r w:rsidR="009F04B9" w:rsidRPr="00F87A25">
        <w:rPr>
          <w:rFonts w:ascii="Calibri" w:hAnsi="Calibri"/>
        </w:rPr>
        <w:t>.</w:t>
      </w:r>
    </w:p>
    <w:p w14:paraId="0D415146" w14:textId="0D1F6C7D" w:rsidR="000D47E5" w:rsidRPr="0043072E" w:rsidRDefault="000D47E5" w:rsidP="00836F3C">
      <w:pPr>
        <w:ind w:right="-2"/>
        <w:rPr>
          <w:rFonts w:ascii="Calibri" w:hAnsi="Calibri"/>
        </w:rPr>
      </w:pPr>
      <w:r w:rsidRPr="0043072E">
        <w:rPr>
          <w:rFonts w:ascii="Calibri" w:hAnsi="Calibri"/>
        </w:rPr>
        <w:t xml:space="preserve">De wijze waarop het rapporteringsmodel dient te worden ingevuld, is beschreven in paragraaf </w:t>
      </w:r>
      <w:r w:rsidRPr="0043072E">
        <w:rPr>
          <w:rFonts w:ascii="Calibri" w:hAnsi="Calibri"/>
        </w:rPr>
        <w:fldChar w:fldCharType="begin"/>
      </w:r>
      <w:r w:rsidRPr="0043072E">
        <w:rPr>
          <w:rFonts w:ascii="Calibri" w:hAnsi="Calibri"/>
        </w:rPr>
        <w:instrText xml:space="preserve"> REF _Ref389574802 \r \h  \* MERGEFORMAT </w:instrText>
      </w:r>
      <w:r w:rsidRPr="0043072E">
        <w:rPr>
          <w:rFonts w:ascii="Calibri" w:hAnsi="Calibri"/>
        </w:rPr>
      </w:r>
      <w:r w:rsidRPr="0043072E">
        <w:rPr>
          <w:rFonts w:ascii="Calibri" w:hAnsi="Calibri"/>
        </w:rPr>
        <w:fldChar w:fldCharType="separate"/>
      </w:r>
      <w:r w:rsidR="00964FA9">
        <w:rPr>
          <w:rFonts w:ascii="Calibri" w:hAnsi="Calibri"/>
        </w:rPr>
        <w:t>1.1.1</w:t>
      </w:r>
      <w:r w:rsidRPr="0043072E">
        <w:rPr>
          <w:rFonts w:ascii="Calibri" w:hAnsi="Calibri"/>
        </w:rPr>
        <w:fldChar w:fldCharType="end"/>
      </w:r>
      <w:r w:rsidRPr="0043072E">
        <w:rPr>
          <w:rFonts w:ascii="Calibri" w:hAnsi="Calibri"/>
        </w:rPr>
        <w:t xml:space="preserve"> van deze instructie. </w:t>
      </w:r>
    </w:p>
    <w:p w14:paraId="1D351D3F" w14:textId="33898152" w:rsidR="000D47E5" w:rsidRPr="0043072E" w:rsidRDefault="000D47E5" w:rsidP="00836F3C">
      <w:pPr>
        <w:ind w:right="-2"/>
        <w:rPr>
          <w:rFonts w:ascii="Calibri" w:hAnsi="Calibri"/>
        </w:rPr>
      </w:pPr>
      <w:r w:rsidRPr="0043072E">
        <w:rPr>
          <w:rFonts w:ascii="Calibri" w:hAnsi="Calibri"/>
        </w:rPr>
        <w:t xml:space="preserve">Het ingevulde ex-post rapporteringsmodel inzake exogene kosten </w:t>
      </w:r>
      <w:r w:rsidR="007C1906">
        <w:rPr>
          <w:rFonts w:ascii="Calibri" w:hAnsi="Calibri"/>
        </w:rPr>
        <w:t xml:space="preserve">en aanvullende endogene termen </w:t>
      </w:r>
      <w:r w:rsidRPr="0043072E">
        <w:rPr>
          <w:rFonts w:ascii="Calibri" w:hAnsi="Calibri"/>
        </w:rPr>
        <w:t xml:space="preserve">dient bovendien te zijn gewaarmerkt door een verslag van feitelijke bevindingen van de commissaris van de distributienetbeheerder, conform de bepalingen in paragraaf </w:t>
      </w:r>
      <w:r w:rsidRPr="0043072E">
        <w:rPr>
          <w:rFonts w:ascii="Calibri" w:hAnsi="Calibri"/>
        </w:rPr>
        <w:fldChar w:fldCharType="begin"/>
      </w:r>
      <w:r w:rsidRPr="0043072E">
        <w:rPr>
          <w:rFonts w:ascii="Calibri" w:hAnsi="Calibri"/>
        </w:rPr>
        <w:instrText xml:space="preserve"> REF _Ref442793011 \r \h  \* MERGEFORMAT </w:instrText>
      </w:r>
      <w:r w:rsidRPr="0043072E">
        <w:rPr>
          <w:rFonts w:ascii="Calibri" w:hAnsi="Calibri"/>
        </w:rPr>
      </w:r>
      <w:r w:rsidRPr="0043072E">
        <w:rPr>
          <w:rFonts w:ascii="Calibri" w:hAnsi="Calibri"/>
        </w:rPr>
        <w:fldChar w:fldCharType="separate"/>
      </w:r>
      <w:r w:rsidR="00964FA9">
        <w:rPr>
          <w:rFonts w:ascii="Calibri" w:hAnsi="Calibri"/>
        </w:rPr>
        <w:t>3</w:t>
      </w:r>
      <w:r w:rsidRPr="0043072E">
        <w:rPr>
          <w:rFonts w:ascii="Calibri" w:hAnsi="Calibri"/>
        </w:rPr>
        <w:fldChar w:fldCharType="end"/>
      </w:r>
      <w:r w:rsidR="00D1596E">
        <w:rPr>
          <w:rFonts w:ascii="Calibri" w:hAnsi="Calibri"/>
        </w:rPr>
        <w:t xml:space="preserve"> van deze instructie</w:t>
      </w:r>
      <w:r w:rsidRPr="0043072E">
        <w:rPr>
          <w:rFonts w:ascii="Calibri" w:hAnsi="Calibri"/>
        </w:rPr>
        <w:t>.</w:t>
      </w:r>
    </w:p>
    <w:p w14:paraId="02EB425A" w14:textId="05BBD418" w:rsidR="000D47E5" w:rsidRPr="009F04B9" w:rsidRDefault="000D47E5" w:rsidP="009F04B9">
      <w:pPr>
        <w:pStyle w:val="Kop3"/>
      </w:pPr>
      <w:bookmarkStart w:id="11" w:name="_Ref389574802"/>
      <w:bookmarkStart w:id="12" w:name="_Toc420934508"/>
      <w:bookmarkStart w:id="13" w:name="_Toc450038580"/>
      <w:bookmarkStart w:id="14" w:name="_Toc81512430"/>
      <w:r w:rsidRPr="009F04B9">
        <w:t>Algemene invulinstructie</w:t>
      </w:r>
      <w:bookmarkEnd w:id="11"/>
      <w:bookmarkEnd w:id="12"/>
      <w:bookmarkEnd w:id="13"/>
      <w:bookmarkEnd w:id="14"/>
    </w:p>
    <w:p w14:paraId="454E081E" w14:textId="5B7CE119" w:rsidR="000D47E5" w:rsidRPr="0043072E" w:rsidRDefault="000D47E5" w:rsidP="00836F3C">
      <w:pPr>
        <w:ind w:right="-2"/>
        <w:rPr>
          <w:rFonts w:ascii="Calibri" w:hAnsi="Calibri"/>
        </w:rPr>
      </w:pPr>
      <w:r w:rsidRPr="0043072E">
        <w:rPr>
          <w:rFonts w:ascii="Calibri" w:hAnsi="Calibri"/>
        </w:rPr>
        <w:t>De opmaak van de werkbladen en de in het model aangebrachte formules en verwijzingen mogen niet worden verwijderd of gewijzigd.</w:t>
      </w:r>
      <w:r w:rsidR="00233045">
        <w:rPr>
          <w:rFonts w:ascii="Calibri" w:hAnsi="Calibri"/>
        </w:rPr>
        <w:t xml:space="preserve"> Om die reden werden alle niet-geel gemarkeerde cellen dan </w:t>
      </w:r>
      <w:r w:rsidR="00233045">
        <w:rPr>
          <w:rFonts w:ascii="Calibri" w:hAnsi="Calibri"/>
        </w:rPr>
        <w:lastRenderedPageBreak/>
        <w:t>ook beveiligd.</w:t>
      </w:r>
      <w:r w:rsidRPr="0043072E">
        <w:rPr>
          <w:rFonts w:ascii="Calibri" w:hAnsi="Calibri"/>
        </w:rPr>
        <w:t xml:space="preserve"> </w:t>
      </w:r>
      <w:r w:rsidR="0006028A">
        <w:rPr>
          <w:rFonts w:ascii="Calibri" w:hAnsi="Calibri"/>
        </w:rPr>
        <w:t>A</w:t>
      </w:r>
      <w:r w:rsidRPr="0043072E">
        <w:rPr>
          <w:rFonts w:ascii="Calibri" w:hAnsi="Calibri"/>
        </w:rPr>
        <w:t xml:space="preserve">lleen de geel gekleurde cellen </w:t>
      </w:r>
      <w:r w:rsidR="0006028A">
        <w:rPr>
          <w:rFonts w:ascii="Calibri" w:hAnsi="Calibri"/>
        </w:rPr>
        <w:t xml:space="preserve">kunnen dus </w:t>
      </w:r>
      <w:r w:rsidRPr="0043072E">
        <w:rPr>
          <w:rFonts w:ascii="Calibri" w:hAnsi="Calibri"/>
        </w:rPr>
        <w:t>door de distributienetbeheerder worden ingevuld. De witte, blauwe en gearceerde cellen mogen niet worden ingevuld of gewijzigd, zoals onderstaande legenda</w:t>
      </w:r>
      <w:r w:rsidR="009F04B9">
        <w:rPr>
          <w:rFonts w:ascii="Calibri" w:hAnsi="Calibri"/>
        </w:rPr>
        <w:t xml:space="preserve"> ook aangeeft.</w:t>
      </w:r>
    </w:p>
    <w:p w14:paraId="512112F9" w14:textId="7CADF787" w:rsidR="000D47E5" w:rsidRPr="0043072E" w:rsidRDefault="000D1CD5" w:rsidP="009F04B9">
      <w:pPr>
        <w:ind w:right="-2"/>
        <w:rPr>
          <w:rFonts w:ascii="Calibri" w:hAnsi="Calibri"/>
        </w:rPr>
      </w:pPr>
      <w:r w:rsidRPr="000D1CD5">
        <w:rPr>
          <w:noProof/>
        </w:rPr>
        <w:drawing>
          <wp:inline distT="0" distB="0" distL="0" distR="0" wp14:anchorId="6B938F13" wp14:editId="22711872">
            <wp:extent cx="5936511" cy="977705"/>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75310" cy="984095"/>
                    </a:xfrm>
                    <a:prstGeom prst="rect">
                      <a:avLst/>
                    </a:prstGeom>
                  </pic:spPr>
                </pic:pic>
              </a:graphicData>
            </a:graphic>
          </wp:inline>
        </w:drawing>
      </w:r>
    </w:p>
    <w:p w14:paraId="7CD6CD5D" w14:textId="56057428" w:rsidR="000D47E5" w:rsidRPr="0043072E" w:rsidRDefault="000D47E5" w:rsidP="00836F3C">
      <w:pPr>
        <w:rPr>
          <w:rFonts w:ascii="Calibri" w:hAnsi="Calibri"/>
        </w:rPr>
      </w:pPr>
      <w:r w:rsidRPr="0043072E">
        <w:rPr>
          <w:rFonts w:ascii="Calibri" w:hAnsi="Calibri"/>
        </w:rPr>
        <w:t xml:space="preserve">Het toevoegen van opmerkingen bij de gegevens is uitsluitend toegestaan aan de hand van een afzonderlijk verklarende nota die aan het rapporteringsmodel moet worden toegevoegd. Indien in de verklarende nota een verwijzing naar gerapporteerde waarden wordt gemaakt, verzoekt de VREG om duidelijk aan te geven naar </w:t>
      </w:r>
      <w:r w:rsidR="009F04B9">
        <w:rPr>
          <w:rFonts w:ascii="Calibri" w:hAnsi="Calibri"/>
        </w:rPr>
        <w:t>welke cellen wordt gerefereerd.</w:t>
      </w:r>
    </w:p>
    <w:p w14:paraId="7F059435" w14:textId="44B67C15" w:rsidR="000D47E5" w:rsidRPr="0043072E" w:rsidRDefault="000D47E5" w:rsidP="00836F3C">
      <w:pPr>
        <w:rPr>
          <w:rFonts w:ascii="Calibri" w:hAnsi="Calibri"/>
        </w:rPr>
      </w:pPr>
      <w:r w:rsidRPr="0043072E">
        <w:rPr>
          <w:rFonts w:ascii="Calibri" w:hAnsi="Calibri"/>
        </w:rPr>
        <w:t>In de volgende paragrafen wordt de invulinstructie verder gedetailleerd en dit voor elke tabel afzonderlijk. Op die manier tracht de VREG zijn referentiekader op een zo volledig mogelijke manier te omschrijven</w:t>
      </w:r>
      <w:r w:rsidR="009F04B9">
        <w:rPr>
          <w:rFonts w:ascii="Calibri" w:hAnsi="Calibri"/>
        </w:rPr>
        <w:t xml:space="preserve">. </w:t>
      </w:r>
    </w:p>
    <w:p w14:paraId="52AF40A1" w14:textId="7E09C222" w:rsidR="000D47E5" w:rsidRPr="0043072E" w:rsidRDefault="000D47E5" w:rsidP="00836F3C">
      <w:pPr>
        <w:rPr>
          <w:rFonts w:ascii="Calibri" w:hAnsi="Calibri"/>
        </w:rPr>
      </w:pPr>
      <w:r w:rsidRPr="0043072E">
        <w:rPr>
          <w:rFonts w:ascii="Calibri" w:hAnsi="Calibri"/>
        </w:rPr>
        <w:t>Voor de gewestgrensoverschrijdende distributienetbeheerders</w:t>
      </w:r>
      <w:r w:rsidR="002413FD">
        <w:rPr>
          <w:rFonts w:ascii="Calibri" w:hAnsi="Calibri"/>
        </w:rPr>
        <w:t>, voor zover nog van toepassing,</w:t>
      </w:r>
      <w:r w:rsidRPr="0043072E">
        <w:rPr>
          <w:rFonts w:ascii="Calibri" w:hAnsi="Calibri"/>
        </w:rPr>
        <w:t xml:space="preserve"> dient te worden opgemerkt dat het rapporteringsmodel, zowel ex-ante als ex-post, louter </w:t>
      </w:r>
      <w:r w:rsidR="00DD1D43">
        <w:rPr>
          <w:rFonts w:ascii="Calibri" w:hAnsi="Calibri"/>
        </w:rPr>
        <w:t xml:space="preserve">met </w:t>
      </w:r>
      <w:r w:rsidRPr="0043072E">
        <w:rPr>
          <w:rFonts w:ascii="Calibri" w:hAnsi="Calibri"/>
        </w:rPr>
        <w:t>de beschouwing van het Vlaamse Gewest (zowel voor activa, passiva, kosten als opbrengsten m.b.t. zijn distributie van elektriciteit of aardgas)</w:t>
      </w:r>
      <w:r w:rsidR="00DD1D43">
        <w:rPr>
          <w:rFonts w:ascii="Calibri" w:hAnsi="Calibri"/>
        </w:rPr>
        <w:t xml:space="preserve"> dient te worden ingevuld</w:t>
      </w:r>
      <w:r w:rsidRPr="0043072E">
        <w:rPr>
          <w:rFonts w:ascii="Calibri" w:hAnsi="Calibri"/>
        </w:rPr>
        <w:t xml:space="preserve">, m.a.w. de waarden nà toepassing van de verdeelsleutels die het aandeel van het Vlaamse Gewest en </w:t>
      </w:r>
      <w:r w:rsidR="00BA3722">
        <w:rPr>
          <w:rFonts w:ascii="Calibri" w:hAnsi="Calibri"/>
        </w:rPr>
        <w:t>overige gewest(en)</w:t>
      </w:r>
      <w:r w:rsidR="009F04B9">
        <w:rPr>
          <w:rFonts w:ascii="Calibri" w:hAnsi="Calibri"/>
        </w:rPr>
        <w:t xml:space="preserve"> onderscheiden.</w:t>
      </w:r>
    </w:p>
    <w:p w14:paraId="284F30F7" w14:textId="77777777" w:rsidR="000D47E5" w:rsidRPr="0043072E" w:rsidRDefault="000D47E5" w:rsidP="00836F3C">
      <w:pPr>
        <w:rPr>
          <w:rFonts w:ascii="Calibri" w:hAnsi="Calibri"/>
        </w:rPr>
      </w:pPr>
      <w:r w:rsidRPr="0043072E">
        <w:rPr>
          <w:rFonts w:ascii="Calibri" w:hAnsi="Calibri"/>
        </w:rPr>
        <w:t>Indien u nadere vragen heeft over de wijze waarop dit model dient worden ingevuld, kunt u contact opnemen met volgende contactpersonen:</w:t>
      </w:r>
    </w:p>
    <w:p w14:paraId="6C43D5E5" w14:textId="71674DC7" w:rsidR="000D47E5" w:rsidRDefault="000D47E5" w:rsidP="00836F3C">
      <w:pPr>
        <w:pStyle w:val="Lijstalinea"/>
        <w:rPr>
          <w:lang w:val="en-GB"/>
        </w:rPr>
      </w:pPr>
      <w:r w:rsidRPr="0043072E">
        <w:rPr>
          <w:lang w:val="en-GB"/>
        </w:rPr>
        <w:t xml:space="preserve">Bert Stockman: </w:t>
      </w:r>
      <w:r w:rsidRPr="0043072E">
        <w:rPr>
          <w:lang w:val="en-GB"/>
        </w:rPr>
        <w:tab/>
      </w:r>
      <w:r w:rsidRPr="0043072E">
        <w:rPr>
          <w:lang w:val="en-GB"/>
        </w:rPr>
        <w:tab/>
      </w:r>
      <w:r w:rsidR="005E72B6">
        <w:rPr>
          <w:lang w:val="en-GB"/>
        </w:rPr>
        <w:tab/>
      </w:r>
      <w:hyperlink r:id="rId12" w:history="1">
        <w:r w:rsidR="005E72B6" w:rsidRPr="00C50B8E">
          <w:rPr>
            <w:rStyle w:val="Hyperlink"/>
            <w:lang w:val="en-GB"/>
          </w:rPr>
          <w:t>bert.stockman@vreg.be</w:t>
        </w:r>
      </w:hyperlink>
      <w:r w:rsidR="005E72B6">
        <w:rPr>
          <w:lang w:val="en-GB"/>
        </w:rPr>
        <w:t xml:space="preserve"> </w:t>
      </w:r>
      <w:r w:rsidR="008F2916">
        <w:rPr>
          <w:lang w:val="en-GB"/>
        </w:rPr>
        <w:t xml:space="preserve"> </w:t>
      </w:r>
    </w:p>
    <w:p w14:paraId="172903F1" w14:textId="5F7A6D07" w:rsidR="002413FD" w:rsidRPr="001552D9" w:rsidRDefault="002413FD" w:rsidP="00836F3C">
      <w:pPr>
        <w:pStyle w:val="Lijstalinea"/>
      </w:pPr>
      <w:r w:rsidRPr="001552D9">
        <w:t>Jonas De Smit</w:t>
      </w:r>
      <w:r w:rsidR="00046213" w:rsidRPr="001552D9">
        <w:t>:</w:t>
      </w:r>
      <w:r w:rsidR="00046213" w:rsidRPr="001552D9">
        <w:tab/>
      </w:r>
      <w:r w:rsidR="00046213" w:rsidRPr="001552D9">
        <w:tab/>
      </w:r>
      <w:r w:rsidR="00046213" w:rsidRPr="001552D9">
        <w:tab/>
      </w:r>
      <w:hyperlink r:id="rId13" w:history="1">
        <w:r w:rsidR="00046213" w:rsidRPr="001552D9">
          <w:rPr>
            <w:rStyle w:val="Hyperlink"/>
          </w:rPr>
          <w:t>jonas.desmit@vreg.be</w:t>
        </w:r>
      </w:hyperlink>
    </w:p>
    <w:p w14:paraId="1BE04B0D" w14:textId="62ECCDF9" w:rsidR="00046213" w:rsidRPr="00836F3C" w:rsidRDefault="00046213" w:rsidP="00836F3C">
      <w:pPr>
        <w:pStyle w:val="Lijstalinea"/>
        <w:rPr>
          <w:lang w:val="en-GB"/>
        </w:rPr>
      </w:pPr>
      <w:r>
        <w:rPr>
          <w:lang w:val="en-GB"/>
        </w:rPr>
        <w:t>Marc Michiels:</w:t>
      </w:r>
      <w:r>
        <w:rPr>
          <w:lang w:val="en-GB"/>
        </w:rPr>
        <w:tab/>
      </w:r>
      <w:r>
        <w:rPr>
          <w:lang w:val="en-GB"/>
        </w:rPr>
        <w:tab/>
      </w:r>
      <w:r>
        <w:rPr>
          <w:lang w:val="en-GB"/>
        </w:rPr>
        <w:tab/>
      </w:r>
      <w:hyperlink r:id="rId14" w:history="1">
        <w:r w:rsidRPr="00AB0B5F">
          <w:rPr>
            <w:rStyle w:val="Hyperlink"/>
            <w:lang w:val="en-GB"/>
          </w:rPr>
          <w:t>marc.michiels@vreg.be</w:t>
        </w:r>
      </w:hyperlink>
      <w:r>
        <w:rPr>
          <w:lang w:val="en-GB"/>
        </w:rPr>
        <w:t xml:space="preserve"> </w:t>
      </w:r>
    </w:p>
    <w:p w14:paraId="01719B9F" w14:textId="77777777" w:rsidR="000D47E5" w:rsidRPr="0043072E" w:rsidRDefault="000D47E5" w:rsidP="009F04B9">
      <w:pPr>
        <w:pStyle w:val="Kop4"/>
      </w:pPr>
      <w:bookmarkStart w:id="15" w:name="_Toc81512431"/>
      <w:r w:rsidRPr="0043072E">
        <w:t>TITELBLAD</w:t>
      </w:r>
      <w:bookmarkEnd w:id="15"/>
    </w:p>
    <w:p w14:paraId="078E504A" w14:textId="2546BE9C" w:rsidR="000D47E5" w:rsidRPr="0043072E" w:rsidRDefault="000D47E5" w:rsidP="00836F3C">
      <w:pPr>
        <w:rPr>
          <w:rFonts w:ascii="Calibri" w:hAnsi="Calibri"/>
        </w:rPr>
      </w:pPr>
      <w:r w:rsidRPr="0043072E">
        <w:rPr>
          <w:rFonts w:ascii="Calibri" w:hAnsi="Calibri"/>
        </w:rPr>
        <w:t>In het titelblad dient de distributienetbeheerder de volgende velden in te vullen:</w:t>
      </w:r>
    </w:p>
    <w:p w14:paraId="79AAD75C" w14:textId="77777777" w:rsidR="000D47E5" w:rsidRPr="0043072E" w:rsidRDefault="000D47E5" w:rsidP="000D47E5">
      <w:pPr>
        <w:numPr>
          <w:ilvl w:val="0"/>
          <w:numId w:val="12"/>
        </w:numPr>
        <w:spacing w:before="0" w:line="240" w:lineRule="auto"/>
        <w:jc w:val="both"/>
        <w:rPr>
          <w:rFonts w:ascii="Calibri" w:hAnsi="Calibri"/>
        </w:rPr>
      </w:pPr>
      <w:r w:rsidRPr="0043072E">
        <w:rPr>
          <w:rFonts w:ascii="Calibri" w:hAnsi="Calibri"/>
        </w:rPr>
        <w:t>Naam van de distributienetbeheerder</w:t>
      </w:r>
    </w:p>
    <w:p w14:paraId="2A14D245" w14:textId="77777777" w:rsidR="000D47E5" w:rsidRPr="0043072E" w:rsidRDefault="000D47E5" w:rsidP="000D47E5">
      <w:pPr>
        <w:numPr>
          <w:ilvl w:val="0"/>
          <w:numId w:val="12"/>
        </w:numPr>
        <w:spacing w:before="0" w:line="240" w:lineRule="auto"/>
        <w:jc w:val="both"/>
        <w:rPr>
          <w:rFonts w:ascii="Calibri" w:hAnsi="Calibri"/>
        </w:rPr>
      </w:pPr>
      <w:r w:rsidRPr="0043072E">
        <w:rPr>
          <w:rFonts w:ascii="Calibri" w:hAnsi="Calibri"/>
        </w:rPr>
        <w:t>Ondernemingsnummer</w:t>
      </w:r>
    </w:p>
    <w:p w14:paraId="1F96C4FB" w14:textId="75269973" w:rsidR="000D47E5" w:rsidRPr="0043072E" w:rsidRDefault="00604B0A" w:rsidP="000D47E5">
      <w:pPr>
        <w:numPr>
          <w:ilvl w:val="0"/>
          <w:numId w:val="12"/>
        </w:numPr>
        <w:spacing w:before="0" w:line="240" w:lineRule="auto"/>
        <w:jc w:val="both"/>
        <w:rPr>
          <w:rFonts w:ascii="Calibri" w:hAnsi="Calibri"/>
        </w:rPr>
      </w:pPr>
      <w:r>
        <w:rPr>
          <w:rFonts w:ascii="Calibri" w:hAnsi="Calibri"/>
        </w:rPr>
        <w:t>Gereguleerde a</w:t>
      </w:r>
      <w:r w:rsidR="000D47E5" w:rsidRPr="0043072E">
        <w:rPr>
          <w:rFonts w:ascii="Calibri" w:hAnsi="Calibri"/>
        </w:rPr>
        <w:t>ctiviteit (distributie van elektriciteit of aardgas)</w:t>
      </w:r>
    </w:p>
    <w:p w14:paraId="4F4C7771" w14:textId="77777777" w:rsidR="000D47E5" w:rsidRPr="0043072E" w:rsidRDefault="000D47E5" w:rsidP="000D47E5">
      <w:pPr>
        <w:numPr>
          <w:ilvl w:val="0"/>
          <w:numId w:val="12"/>
        </w:numPr>
        <w:spacing w:before="0" w:line="240" w:lineRule="auto"/>
        <w:jc w:val="both"/>
        <w:rPr>
          <w:rFonts w:ascii="Calibri" w:hAnsi="Calibri"/>
        </w:rPr>
      </w:pPr>
      <w:r w:rsidRPr="0043072E">
        <w:rPr>
          <w:rFonts w:ascii="Calibri" w:hAnsi="Calibri"/>
        </w:rPr>
        <w:t>Tijdstip van rapportering (ex-ante of ex-post)</w:t>
      </w:r>
    </w:p>
    <w:p w14:paraId="1AE72B65" w14:textId="6B4E64D1" w:rsidR="000D47E5" w:rsidRPr="0043072E" w:rsidRDefault="000D47E5" w:rsidP="00836F3C">
      <w:pPr>
        <w:rPr>
          <w:rFonts w:ascii="Calibri" w:hAnsi="Calibri"/>
        </w:rPr>
      </w:pPr>
      <w:r w:rsidRPr="0043072E">
        <w:rPr>
          <w:rFonts w:ascii="Calibri" w:hAnsi="Calibri"/>
        </w:rPr>
        <w:t xml:space="preserve">In de volgende tabellen van het rapporteringsmodel zijn de vergelijkbare velden gelinkt aan dit titelblad. De in deze cellen ingevulde waarden worden in de volgende werkbladen dus automatisch overgenomen. </w:t>
      </w:r>
    </w:p>
    <w:p w14:paraId="754223A5" w14:textId="7D82910A" w:rsidR="000D47E5" w:rsidRPr="0043072E" w:rsidRDefault="000D47E5" w:rsidP="00836F3C">
      <w:pPr>
        <w:rPr>
          <w:rFonts w:ascii="Calibri" w:hAnsi="Calibri"/>
        </w:rPr>
      </w:pPr>
      <w:r w:rsidRPr="0043072E">
        <w:rPr>
          <w:rFonts w:ascii="Calibri" w:hAnsi="Calibri"/>
        </w:rPr>
        <w:t>Verder omvat het titelblad een herhaling van de richtlijnen met betrekking tot het invullen en de interpretatie van het rapporteringsmodel, de legend</w:t>
      </w:r>
      <w:r w:rsidR="00CD1EE3">
        <w:rPr>
          <w:rFonts w:ascii="Calibri" w:hAnsi="Calibri"/>
        </w:rPr>
        <w:t>e</w:t>
      </w:r>
      <w:r w:rsidRPr="0043072E">
        <w:rPr>
          <w:rFonts w:ascii="Calibri" w:hAnsi="Calibri"/>
        </w:rPr>
        <w:t xml:space="preserve"> met betrekking tot de celkleuren en een </w:t>
      </w:r>
      <w:r w:rsidR="00CD1EE3">
        <w:rPr>
          <w:rFonts w:ascii="Calibri" w:hAnsi="Calibri"/>
        </w:rPr>
        <w:t xml:space="preserve">overzicht van de verschillende tabellen </w:t>
      </w:r>
      <w:r w:rsidRPr="0043072E">
        <w:rPr>
          <w:rFonts w:ascii="Calibri" w:hAnsi="Calibri"/>
        </w:rPr>
        <w:t xml:space="preserve">die in het rapporteringsmodel </w:t>
      </w:r>
      <w:r w:rsidR="00AC7482">
        <w:rPr>
          <w:rFonts w:ascii="Calibri" w:hAnsi="Calibri"/>
        </w:rPr>
        <w:t>zijn</w:t>
      </w:r>
      <w:r w:rsidRPr="0043072E">
        <w:rPr>
          <w:rFonts w:ascii="Calibri" w:hAnsi="Calibri"/>
        </w:rPr>
        <w:t xml:space="preserve"> opgenomen.</w:t>
      </w:r>
    </w:p>
    <w:p w14:paraId="0FFFAE9B" w14:textId="2EA4D27B" w:rsidR="000D47E5" w:rsidRPr="009F04B9" w:rsidRDefault="000D47E5" w:rsidP="000D47E5">
      <w:pPr>
        <w:pStyle w:val="Kop4"/>
      </w:pPr>
      <w:bookmarkStart w:id="16" w:name="_Toc81512432"/>
      <w:r w:rsidRPr="0043072E">
        <w:lastRenderedPageBreak/>
        <w:t>TABEL 1: Resultatenrekening (algemene boekhouding) voor boekjaar 20</w:t>
      </w:r>
      <w:r w:rsidR="00604B0A">
        <w:t>21</w:t>
      </w:r>
      <w:r w:rsidRPr="0043072E">
        <w:t xml:space="preserve"> (waarden boekhouding)</w:t>
      </w:r>
      <w:bookmarkEnd w:id="16"/>
    </w:p>
    <w:p w14:paraId="5EDA3863" w14:textId="7A8D3E9E" w:rsidR="000D47E5" w:rsidRPr="0043072E" w:rsidRDefault="000D47E5" w:rsidP="00836F3C">
      <w:pPr>
        <w:rPr>
          <w:rFonts w:ascii="Calibri" w:hAnsi="Calibri"/>
        </w:rPr>
      </w:pPr>
      <w:r w:rsidRPr="0043072E">
        <w:rPr>
          <w:rFonts w:ascii="Calibri" w:hAnsi="Calibri"/>
        </w:rPr>
        <w:t>In deze tabel rapporteert de distributienetbeheerder de boekhoudkundige waarden van de resultatenrekening voor boekjaar 20</w:t>
      </w:r>
      <w:r w:rsidR="009C2922">
        <w:rPr>
          <w:rFonts w:ascii="Calibri" w:hAnsi="Calibri"/>
        </w:rPr>
        <w:t>21</w:t>
      </w:r>
      <w:r w:rsidRPr="0043072E">
        <w:rPr>
          <w:rFonts w:ascii="Calibri" w:hAnsi="Calibri"/>
        </w:rPr>
        <w:t>, gesplitst over de verschillende activiteiten (‘netbeheer elektriciteit’, ‘netbeheer gas’ en ‘niet-gereguleerde activiteiten’; waarbij ‘netbeheer elektriciteit’ en ‘netbeheer gas’ verder worden onderverdeeld in endogene kosten/opbrengsten, exogene kosten/opbrengsten, overige kosten/opbrengsten, overdrachten en/of terugnames en niet-gereguleerde activiteiten). De distributienetbeheerder dient deze splitsing op te geven teneinde voor het betreffende boekjaar inzicht te hebben in:</w:t>
      </w:r>
    </w:p>
    <w:p w14:paraId="74B22420" w14:textId="77777777" w:rsidR="000D47E5" w:rsidRPr="0043072E" w:rsidRDefault="000D47E5" w:rsidP="0057043F">
      <w:pPr>
        <w:pStyle w:val="Lijstalinea"/>
        <w:ind w:left="851"/>
      </w:pPr>
      <w:r w:rsidRPr="0043072E">
        <w:t>welke kosten en opbrengsten louter betrekking hebben op de uitvoering van de gereguleerde activiteiten in de loop van het boekjaar, en;</w:t>
      </w:r>
    </w:p>
    <w:p w14:paraId="7120CA9F" w14:textId="77777777" w:rsidR="000D47E5" w:rsidRPr="0043072E" w:rsidRDefault="000D47E5" w:rsidP="0057043F">
      <w:pPr>
        <w:pStyle w:val="Lijstalinea"/>
        <w:ind w:left="851"/>
      </w:pPr>
      <w:r w:rsidRPr="0043072E">
        <w:t>welke betrekking hebben op:</w:t>
      </w:r>
    </w:p>
    <w:p w14:paraId="120A1E4A" w14:textId="77777777" w:rsidR="000D47E5" w:rsidRPr="0043072E" w:rsidRDefault="000D47E5" w:rsidP="000D47E5">
      <w:pPr>
        <w:numPr>
          <w:ilvl w:val="1"/>
          <w:numId w:val="25"/>
        </w:numPr>
        <w:spacing w:before="0" w:line="240" w:lineRule="auto"/>
        <w:jc w:val="both"/>
        <w:rPr>
          <w:rFonts w:ascii="Calibri" w:hAnsi="Calibri"/>
        </w:rPr>
      </w:pPr>
      <w:r w:rsidRPr="0043072E">
        <w:rPr>
          <w:rFonts w:ascii="Calibri" w:hAnsi="Calibri"/>
        </w:rPr>
        <w:t>de niet-gereguleerde activiteiten en</w:t>
      </w:r>
    </w:p>
    <w:p w14:paraId="2938BF59" w14:textId="77777777" w:rsidR="000D47E5" w:rsidRPr="0043072E" w:rsidRDefault="000D47E5" w:rsidP="000D47E5">
      <w:pPr>
        <w:numPr>
          <w:ilvl w:val="1"/>
          <w:numId w:val="25"/>
        </w:numPr>
        <w:spacing w:before="0" w:line="240" w:lineRule="auto"/>
        <w:jc w:val="both"/>
        <w:rPr>
          <w:rFonts w:ascii="Calibri" w:hAnsi="Calibri"/>
        </w:rPr>
      </w:pPr>
      <w:r w:rsidRPr="0043072E">
        <w:rPr>
          <w:rFonts w:ascii="Calibri" w:hAnsi="Calibri"/>
        </w:rPr>
        <w:t>de overdrachten en/of terugnames van de regulatoire saldi ontstaan in:</w:t>
      </w:r>
    </w:p>
    <w:p w14:paraId="0111713C" w14:textId="77777777" w:rsidR="000D47E5" w:rsidRPr="0043072E" w:rsidRDefault="000D47E5" w:rsidP="000D47E5">
      <w:pPr>
        <w:numPr>
          <w:ilvl w:val="2"/>
          <w:numId w:val="25"/>
        </w:numPr>
        <w:spacing w:before="0" w:line="240" w:lineRule="auto"/>
        <w:jc w:val="both"/>
        <w:rPr>
          <w:rFonts w:ascii="Calibri" w:hAnsi="Calibri"/>
        </w:rPr>
      </w:pPr>
      <w:r w:rsidRPr="0043072E">
        <w:rPr>
          <w:rFonts w:ascii="Calibri" w:hAnsi="Calibri"/>
        </w:rPr>
        <w:t>het huidige boekjaar en/of;</w:t>
      </w:r>
    </w:p>
    <w:p w14:paraId="1531AB3E" w14:textId="77777777" w:rsidR="000D47E5" w:rsidRPr="0043072E" w:rsidRDefault="000D47E5" w:rsidP="000D47E5">
      <w:pPr>
        <w:numPr>
          <w:ilvl w:val="2"/>
          <w:numId w:val="25"/>
        </w:numPr>
        <w:spacing w:before="0" w:line="240" w:lineRule="auto"/>
        <w:jc w:val="both"/>
        <w:rPr>
          <w:rFonts w:ascii="Calibri" w:hAnsi="Calibri"/>
        </w:rPr>
      </w:pPr>
      <w:r w:rsidRPr="0043072E">
        <w:rPr>
          <w:rFonts w:ascii="Calibri" w:hAnsi="Calibri"/>
        </w:rPr>
        <w:t>de vorige boekjaren.</w:t>
      </w:r>
    </w:p>
    <w:p w14:paraId="1DB99B1C" w14:textId="0F9AB612" w:rsidR="000D47E5" w:rsidRPr="0043072E" w:rsidRDefault="000D47E5" w:rsidP="00775178">
      <w:pPr>
        <w:ind w:left="1988"/>
        <w:rPr>
          <w:rFonts w:ascii="Calibri" w:hAnsi="Calibri"/>
        </w:rPr>
      </w:pPr>
      <w:r w:rsidRPr="0043072E">
        <w:rPr>
          <w:rFonts w:ascii="Calibri" w:hAnsi="Calibri"/>
        </w:rPr>
        <w:t>Deze overdrachten en/of terugnames dienen in deze tabel als één bedrag te worden gerapporteerd.</w:t>
      </w:r>
    </w:p>
    <w:p w14:paraId="78E19E56" w14:textId="2FE82A47" w:rsidR="000D47E5" w:rsidRPr="0043072E" w:rsidRDefault="000D47E5" w:rsidP="00836F3C">
      <w:pPr>
        <w:rPr>
          <w:rFonts w:ascii="Calibri" w:hAnsi="Calibri"/>
        </w:rPr>
      </w:pPr>
      <w:r w:rsidRPr="0043072E">
        <w:rPr>
          <w:rFonts w:ascii="Calibri" w:hAnsi="Calibri"/>
        </w:rPr>
        <w:t>Deze tabel kan enkel op ex-post basis gerapporteerd worden waarbij de totaalwaarden dienen overeen te komen met de gepubliceerde jaarrekening</w:t>
      </w:r>
      <w:r w:rsidRPr="0043072E">
        <w:rPr>
          <w:rStyle w:val="Voetnootmarkering"/>
          <w:rFonts w:ascii="Calibri" w:hAnsi="Calibri"/>
        </w:rPr>
        <w:footnoteReference w:id="2"/>
      </w:r>
      <w:r w:rsidRPr="0043072E">
        <w:rPr>
          <w:rFonts w:ascii="Calibri" w:hAnsi="Calibri"/>
        </w:rPr>
        <w:t xml:space="preserve">. </w:t>
      </w:r>
    </w:p>
    <w:p w14:paraId="258448E0" w14:textId="61EE9834" w:rsidR="000D47E5" w:rsidRDefault="000D47E5" w:rsidP="00836F3C">
      <w:pPr>
        <w:rPr>
          <w:rFonts w:ascii="Calibri" w:hAnsi="Calibri"/>
        </w:rPr>
      </w:pPr>
      <w:r w:rsidRPr="0043072E">
        <w:rPr>
          <w:rFonts w:ascii="Calibri" w:hAnsi="Calibri"/>
        </w:rPr>
        <w:t xml:space="preserve">Bijkomend kan worden opgemerkt dat zowel voor de kosten (indien debetsaldo) als voor de opbrengsten (indien creditsaldo) positieve waarden moeten </w:t>
      </w:r>
      <w:r w:rsidR="009F04B9">
        <w:rPr>
          <w:rFonts w:ascii="Calibri" w:hAnsi="Calibri"/>
        </w:rPr>
        <w:t>worden ingevuld.</w:t>
      </w:r>
    </w:p>
    <w:p w14:paraId="2F32AEB5" w14:textId="735F91C4" w:rsidR="000D47E5" w:rsidRPr="009F04B9" w:rsidRDefault="000D47E5" w:rsidP="000D47E5">
      <w:pPr>
        <w:pStyle w:val="Kop4"/>
      </w:pPr>
      <w:bookmarkStart w:id="17" w:name="_Toc81512433"/>
      <w:r w:rsidRPr="0043072E">
        <w:t>TABEL 2: Algemeen overzicht</w:t>
      </w:r>
      <w:r w:rsidR="000C20F6">
        <w:t xml:space="preserve"> exogene kosten</w:t>
      </w:r>
      <w:bookmarkEnd w:id="17"/>
    </w:p>
    <w:p w14:paraId="20884B88" w14:textId="2D0F1C16" w:rsidR="00C8471F" w:rsidRDefault="000D47E5" w:rsidP="00C8471F">
      <w:pPr>
        <w:rPr>
          <w:rFonts w:ascii="Calibri" w:hAnsi="Calibri"/>
        </w:rPr>
      </w:pPr>
      <w:r w:rsidRPr="0043072E">
        <w:rPr>
          <w:rFonts w:ascii="Calibri" w:hAnsi="Calibri"/>
        </w:rPr>
        <w:t xml:space="preserve">Deze tabel geeft een algemeen overzicht van de gerapporteerde waarden </w:t>
      </w:r>
      <w:r w:rsidR="000C20F6">
        <w:rPr>
          <w:rFonts w:ascii="Calibri" w:hAnsi="Calibri"/>
        </w:rPr>
        <w:t xml:space="preserve">inzake exogene kosten </w:t>
      </w:r>
      <w:r w:rsidRPr="0043072E">
        <w:rPr>
          <w:rFonts w:ascii="Calibri" w:hAnsi="Calibri"/>
        </w:rPr>
        <w:t>zowel op ex-ante als ex-post basis, opgesplitst per tariefcomponent. De gerapporteerde waarden op ex-ante basis voor boekjaar 20</w:t>
      </w:r>
      <w:r w:rsidR="0059728A">
        <w:rPr>
          <w:rFonts w:ascii="Calibri" w:hAnsi="Calibri"/>
        </w:rPr>
        <w:t>21</w:t>
      </w:r>
      <w:r w:rsidRPr="0043072E">
        <w:rPr>
          <w:rFonts w:ascii="Calibri" w:hAnsi="Calibri"/>
        </w:rPr>
        <w:t xml:space="preserve"> (cfr paragraaf </w:t>
      </w:r>
      <w:r w:rsidRPr="0043072E">
        <w:rPr>
          <w:rFonts w:ascii="Calibri" w:hAnsi="Calibri"/>
        </w:rPr>
        <w:fldChar w:fldCharType="begin"/>
      </w:r>
      <w:r w:rsidRPr="0043072E">
        <w:rPr>
          <w:rFonts w:ascii="Calibri" w:hAnsi="Calibri"/>
        </w:rPr>
        <w:instrText xml:space="preserve"> REF _Ref421264496 \r \h  \* MERGEFORMAT </w:instrText>
      </w:r>
      <w:r w:rsidRPr="0043072E">
        <w:rPr>
          <w:rFonts w:ascii="Calibri" w:hAnsi="Calibri"/>
        </w:rPr>
      </w:r>
      <w:r w:rsidRPr="0043072E">
        <w:rPr>
          <w:rFonts w:ascii="Calibri" w:hAnsi="Calibri"/>
        </w:rPr>
        <w:fldChar w:fldCharType="separate"/>
      </w:r>
      <w:r w:rsidR="00964FA9">
        <w:rPr>
          <w:rFonts w:ascii="Calibri" w:hAnsi="Calibri"/>
        </w:rPr>
        <w:t>1.1.1.4</w:t>
      </w:r>
      <w:r w:rsidRPr="0043072E">
        <w:rPr>
          <w:rFonts w:ascii="Calibri" w:hAnsi="Calibri"/>
        </w:rPr>
        <w:fldChar w:fldCharType="end"/>
      </w:r>
      <w:r w:rsidRPr="0043072E">
        <w:rPr>
          <w:rFonts w:ascii="Calibri" w:hAnsi="Calibri"/>
        </w:rPr>
        <w:t>) vormen, mits controle en goedkeuring door de VREG, het toege</w:t>
      </w:r>
      <w:r w:rsidR="0059728A">
        <w:rPr>
          <w:rFonts w:ascii="Calibri" w:hAnsi="Calibri"/>
        </w:rPr>
        <w:t>laten</w:t>
      </w:r>
      <w:r w:rsidRPr="0043072E">
        <w:rPr>
          <w:rFonts w:ascii="Calibri" w:hAnsi="Calibri"/>
        </w:rPr>
        <w:t xml:space="preserve"> inkomen inzake exogene kosten voor boekjaar 20</w:t>
      </w:r>
      <w:r w:rsidR="00BB2FA5">
        <w:rPr>
          <w:rFonts w:ascii="Calibri" w:hAnsi="Calibri"/>
        </w:rPr>
        <w:t>21</w:t>
      </w:r>
      <w:r w:rsidRPr="0043072E">
        <w:rPr>
          <w:rFonts w:ascii="Calibri" w:hAnsi="Calibri"/>
        </w:rPr>
        <w:t>, hetgeen op haar beurt door de distributienetbeheerder in rekening moet worden genomen bij de opmaak van zijn tariefvoorstel voor boekjaar 20</w:t>
      </w:r>
      <w:r w:rsidR="00BB2FA5">
        <w:rPr>
          <w:rFonts w:ascii="Calibri" w:hAnsi="Calibri"/>
        </w:rPr>
        <w:t>21</w:t>
      </w:r>
      <w:r w:rsidRPr="0043072E">
        <w:rPr>
          <w:rFonts w:ascii="Calibri" w:hAnsi="Calibri"/>
        </w:rPr>
        <w:t xml:space="preserve">, rekening houdende met de opsplitsing per tariefcomponent. </w:t>
      </w:r>
    </w:p>
    <w:p w14:paraId="22792687" w14:textId="661A53E4" w:rsidR="00C8471F" w:rsidRPr="0043072E" w:rsidRDefault="00C8471F" w:rsidP="00836F3C">
      <w:pPr>
        <w:rPr>
          <w:rFonts w:ascii="Calibri" w:hAnsi="Calibri"/>
        </w:rPr>
      </w:pPr>
      <w:r>
        <w:rPr>
          <w:rFonts w:ascii="Calibri" w:hAnsi="Calibri"/>
        </w:rPr>
        <w:t>Vervolgens wordt voor het betreffende boekjaar in deze tabel, naast de exogene kosten, ook per tariefcomponent een overzicht opgenomen van de werkelijke ontvangsten uit periodieke distributienettarieven voor exogene kosten en het regulatoir saldo inzake exogene kosten dat daaruit voortvloeit.</w:t>
      </w:r>
    </w:p>
    <w:p w14:paraId="32D37344" w14:textId="57FEF83D" w:rsidR="000D47E5" w:rsidRPr="009F04B9" w:rsidRDefault="000D47E5" w:rsidP="009F04B9">
      <w:pPr>
        <w:pStyle w:val="Kop4"/>
      </w:pPr>
      <w:bookmarkStart w:id="18" w:name="_Ref421264496"/>
      <w:bookmarkStart w:id="19" w:name="_Ref38032440"/>
      <w:bookmarkStart w:id="20" w:name="_Toc81512434"/>
      <w:r w:rsidRPr="0043072E">
        <w:t xml:space="preserve">TABEL 3: </w:t>
      </w:r>
      <w:bookmarkEnd w:id="18"/>
      <w:r w:rsidR="00931F1A">
        <w:t>Detail inzake samenstelling exogene kosten</w:t>
      </w:r>
      <w:bookmarkEnd w:id="19"/>
      <w:bookmarkEnd w:id="20"/>
    </w:p>
    <w:p w14:paraId="1C9F1170" w14:textId="1B708C36" w:rsidR="00685312" w:rsidRDefault="000D47E5" w:rsidP="00836F3C">
      <w:pPr>
        <w:rPr>
          <w:rFonts w:ascii="Calibri" w:hAnsi="Calibri"/>
        </w:rPr>
      </w:pPr>
      <w:r w:rsidRPr="0043072E">
        <w:rPr>
          <w:rFonts w:ascii="Calibri" w:hAnsi="Calibri"/>
        </w:rPr>
        <w:t>In deze tabel wordt een detail gegeven van de verschillende kostenrubrieken die als exogeen worden beschouwd</w:t>
      </w:r>
      <w:r w:rsidR="00475703">
        <w:rPr>
          <w:rFonts w:ascii="Calibri" w:hAnsi="Calibri"/>
        </w:rPr>
        <w:t xml:space="preserve">. </w:t>
      </w:r>
      <w:r w:rsidR="00165CDE">
        <w:rPr>
          <w:rFonts w:ascii="Calibri" w:hAnsi="Calibri"/>
        </w:rPr>
        <w:t>Deze tabel dient zowel voor de rapportering van de exogene kosten op ex-</w:t>
      </w:r>
      <w:r w:rsidR="00165CDE">
        <w:rPr>
          <w:rFonts w:ascii="Calibri" w:hAnsi="Calibri"/>
        </w:rPr>
        <w:lastRenderedPageBreak/>
        <w:t>ante als ex-post basis</w:t>
      </w:r>
      <w:r w:rsidR="00685312">
        <w:rPr>
          <w:rFonts w:ascii="Calibri" w:hAnsi="Calibri"/>
        </w:rPr>
        <w:t>.</w:t>
      </w:r>
      <w:r w:rsidR="006B350E" w:rsidRPr="006B350E">
        <w:rPr>
          <w:rFonts w:ascii="Calibri" w:hAnsi="Calibri"/>
        </w:rPr>
        <w:t xml:space="preserve"> </w:t>
      </w:r>
      <w:r w:rsidR="006B350E">
        <w:rPr>
          <w:rFonts w:ascii="Calibri" w:hAnsi="Calibri"/>
        </w:rPr>
        <w:t xml:space="preserve">Voor de </w:t>
      </w:r>
      <w:r w:rsidR="00CF1366">
        <w:rPr>
          <w:rFonts w:ascii="Calibri" w:hAnsi="Calibri"/>
        </w:rPr>
        <w:t xml:space="preserve">ex-ante </w:t>
      </w:r>
      <w:r w:rsidR="006B350E">
        <w:rPr>
          <w:rFonts w:ascii="Calibri" w:hAnsi="Calibri"/>
        </w:rPr>
        <w:t xml:space="preserve">rapportering </w:t>
      </w:r>
      <w:r w:rsidR="0070719B">
        <w:rPr>
          <w:rFonts w:ascii="Calibri" w:hAnsi="Calibri"/>
        </w:rPr>
        <w:t>fungeert deze tabel</w:t>
      </w:r>
      <w:r w:rsidR="00433F5B">
        <w:rPr>
          <w:rFonts w:ascii="Calibri" w:hAnsi="Calibri"/>
        </w:rPr>
        <w:t>, uiteraard mits controle door de VREG,</w:t>
      </w:r>
      <w:r w:rsidR="0070719B">
        <w:rPr>
          <w:rFonts w:ascii="Calibri" w:hAnsi="Calibri"/>
        </w:rPr>
        <w:t xml:space="preserve"> als basis voor </w:t>
      </w:r>
      <w:r w:rsidR="001076B9">
        <w:rPr>
          <w:rFonts w:ascii="Calibri" w:hAnsi="Calibri"/>
        </w:rPr>
        <w:t>de</w:t>
      </w:r>
      <w:r w:rsidR="006B350E" w:rsidRPr="0043072E">
        <w:rPr>
          <w:rFonts w:ascii="Calibri" w:hAnsi="Calibri"/>
        </w:rPr>
        <w:t xml:space="preserve"> bepaling van het toege</w:t>
      </w:r>
      <w:r w:rsidR="006B350E">
        <w:rPr>
          <w:rFonts w:ascii="Calibri" w:hAnsi="Calibri"/>
        </w:rPr>
        <w:t>laten</w:t>
      </w:r>
      <w:r w:rsidR="006B350E" w:rsidRPr="0043072E">
        <w:rPr>
          <w:rFonts w:ascii="Calibri" w:hAnsi="Calibri"/>
        </w:rPr>
        <w:t xml:space="preserve"> inkomen inzake exogene kosten voor boekjaar 20</w:t>
      </w:r>
      <w:r w:rsidR="006B350E">
        <w:rPr>
          <w:rFonts w:ascii="Calibri" w:hAnsi="Calibri"/>
        </w:rPr>
        <w:t>21.</w:t>
      </w:r>
      <w:r w:rsidR="001076B9">
        <w:rPr>
          <w:rFonts w:ascii="Calibri" w:hAnsi="Calibri"/>
        </w:rPr>
        <w:t xml:space="preserve"> Voor de ex-post rapportering resulteert uit deze tabel het regulatoir saldo inzake exogene kosten voor boekjaar 2021.</w:t>
      </w:r>
    </w:p>
    <w:p w14:paraId="21BB6AE8" w14:textId="788C1539" w:rsidR="00804D17" w:rsidRPr="0043072E" w:rsidRDefault="00804D17" w:rsidP="00804D17">
      <w:pPr>
        <w:rPr>
          <w:rFonts w:ascii="Calibri" w:hAnsi="Calibri"/>
        </w:rPr>
      </w:pPr>
      <w:r>
        <w:rPr>
          <w:rFonts w:ascii="Calibri" w:hAnsi="Calibri"/>
        </w:rPr>
        <w:t xml:space="preserve">De distributienetbeheerder moet </w:t>
      </w:r>
      <w:r w:rsidRPr="0043072E">
        <w:rPr>
          <w:rFonts w:ascii="Calibri" w:hAnsi="Calibri"/>
        </w:rPr>
        <w:t xml:space="preserve">een waarde rapporteren voor elk van de </w:t>
      </w:r>
      <w:r>
        <w:rPr>
          <w:rFonts w:ascii="Calibri" w:hAnsi="Calibri"/>
        </w:rPr>
        <w:t xml:space="preserve">opgegeven </w:t>
      </w:r>
      <w:r w:rsidRPr="0043072E">
        <w:rPr>
          <w:rFonts w:ascii="Calibri" w:hAnsi="Calibri"/>
        </w:rPr>
        <w:t xml:space="preserve">kostenrubrieken. Dit betekent dat er in één specifieke kostenrubriek dus geen subtotaal </w:t>
      </w:r>
      <w:r w:rsidR="00461F9A" w:rsidRPr="0043072E">
        <w:rPr>
          <w:rFonts w:ascii="Calibri" w:hAnsi="Calibri"/>
        </w:rPr>
        <w:t xml:space="preserve">van meerdere kostenrubrieken </w:t>
      </w:r>
      <w:r w:rsidR="00461F9A">
        <w:rPr>
          <w:rFonts w:ascii="Calibri" w:hAnsi="Calibri"/>
        </w:rPr>
        <w:t>k</w:t>
      </w:r>
      <w:r w:rsidRPr="0043072E">
        <w:rPr>
          <w:rFonts w:ascii="Calibri" w:hAnsi="Calibri"/>
        </w:rPr>
        <w:t>an worden opgenomen.</w:t>
      </w:r>
    </w:p>
    <w:p w14:paraId="2E01054C" w14:textId="77777777" w:rsidR="00804D17" w:rsidRPr="0043072E" w:rsidRDefault="00804D17" w:rsidP="00804D17">
      <w:pPr>
        <w:rPr>
          <w:rFonts w:ascii="Calibri" w:hAnsi="Calibri"/>
        </w:rPr>
      </w:pPr>
      <w:r w:rsidRPr="0043072E">
        <w:rPr>
          <w:rFonts w:ascii="Calibri" w:hAnsi="Calibri"/>
        </w:rPr>
        <w:t xml:space="preserve">Bijkomend </w:t>
      </w:r>
      <w:r>
        <w:rPr>
          <w:rFonts w:ascii="Calibri" w:hAnsi="Calibri"/>
        </w:rPr>
        <w:t>wordt</w:t>
      </w:r>
      <w:r w:rsidRPr="0043072E">
        <w:rPr>
          <w:rFonts w:ascii="Calibri" w:hAnsi="Calibri"/>
        </w:rPr>
        <w:t xml:space="preserve"> opgemerkt dat zowel voor de activa (indien debetsaldo), passiva (indien creditsaldo), kosten (indien debetsaldo) als voor de opbrengsten (indien creditsaldo) positieve waarden dienen worden ingevuld, tenzij anders wordt aangegeven in ‘kolom B’ van deze tabel.</w:t>
      </w:r>
    </w:p>
    <w:p w14:paraId="74F9C733" w14:textId="35C99735" w:rsidR="000D47E5" w:rsidRPr="0043072E" w:rsidRDefault="00EC1A89" w:rsidP="00836F3C">
      <w:pPr>
        <w:rPr>
          <w:rFonts w:ascii="Calibri" w:hAnsi="Calibri"/>
        </w:rPr>
      </w:pPr>
      <w:r>
        <w:rPr>
          <w:rFonts w:ascii="Calibri" w:hAnsi="Calibri"/>
        </w:rPr>
        <w:t>Hieronder beschouwt de VREG elk</w:t>
      </w:r>
      <w:r w:rsidR="004C583C">
        <w:rPr>
          <w:rFonts w:ascii="Calibri" w:hAnsi="Calibri"/>
        </w:rPr>
        <w:t xml:space="preserve">e kostenrubriek </w:t>
      </w:r>
      <w:r>
        <w:rPr>
          <w:rFonts w:ascii="Calibri" w:hAnsi="Calibri"/>
        </w:rPr>
        <w:t>in verder detail</w:t>
      </w:r>
      <w:r w:rsidR="000D47E5" w:rsidRPr="0043072E">
        <w:rPr>
          <w:rFonts w:ascii="Calibri" w:hAnsi="Calibri"/>
        </w:rPr>
        <w:t>:</w:t>
      </w:r>
    </w:p>
    <w:p w14:paraId="2D5BE504" w14:textId="77777777" w:rsidR="000D47E5" w:rsidRPr="0043072E" w:rsidRDefault="000D47E5" w:rsidP="000D47E5">
      <w:pPr>
        <w:numPr>
          <w:ilvl w:val="0"/>
          <w:numId w:val="13"/>
        </w:numPr>
        <w:spacing w:before="0" w:line="240" w:lineRule="auto"/>
        <w:ind w:left="2127" w:hanging="426"/>
        <w:jc w:val="both"/>
        <w:rPr>
          <w:rFonts w:ascii="Calibri" w:hAnsi="Calibri"/>
        </w:rPr>
      </w:pPr>
      <w:r w:rsidRPr="0043072E">
        <w:rPr>
          <w:rFonts w:ascii="Calibri" w:hAnsi="Calibri"/>
        </w:rPr>
        <w:t>Afbouw regulatoir saldo inzake exogene kosten m.b.t. distributie</w:t>
      </w:r>
    </w:p>
    <w:p w14:paraId="396D9D1A" w14:textId="3F11AC95" w:rsidR="000D47E5" w:rsidRPr="0043072E" w:rsidRDefault="000D47E5" w:rsidP="000D47E5">
      <w:pPr>
        <w:numPr>
          <w:ilvl w:val="1"/>
          <w:numId w:val="13"/>
        </w:numPr>
        <w:spacing w:before="0" w:line="240" w:lineRule="auto"/>
        <w:ind w:left="2694"/>
        <w:jc w:val="both"/>
        <w:rPr>
          <w:rFonts w:ascii="Calibri" w:hAnsi="Calibri"/>
        </w:rPr>
      </w:pPr>
      <w:r w:rsidRPr="0043072E">
        <w:rPr>
          <w:rFonts w:ascii="Calibri" w:hAnsi="Calibri"/>
        </w:rPr>
        <w:t xml:space="preserve">Op basis van de </w:t>
      </w:r>
      <w:r w:rsidRPr="00D66CC2">
        <w:rPr>
          <w:rFonts w:ascii="Calibri" w:hAnsi="Calibri"/>
        </w:rPr>
        <w:t>automatisch berekende</w:t>
      </w:r>
      <w:r w:rsidRPr="0043072E">
        <w:rPr>
          <w:rFonts w:ascii="Calibri" w:hAnsi="Calibri"/>
        </w:rPr>
        <w:t xml:space="preserve"> waarden in ‘tabel 4B’ (cfr paragraaf </w:t>
      </w:r>
      <w:r w:rsidRPr="0043072E">
        <w:rPr>
          <w:rFonts w:ascii="Calibri" w:hAnsi="Calibri"/>
        </w:rPr>
        <w:fldChar w:fldCharType="begin"/>
      </w:r>
      <w:r w:rsidRPr="0043072E">
        <w:rPr>
          <w:rFonts w:ascii="Calibri" w:hAnsi="Calibri"/>
        </w:rPr>
        <w:instrText xml:space="preserve"> REF _Ref445451467 \r \h  \* MERGEFORMAT </w:instrText>
      </w:r>
      <w:r w:rsidRPr="0043072E">
        <w:rPr>
          <w:rFonts w:ascii="Calibri" w:hAnsi="Calibri"/>
        </w:rPr>
      </w:r>
      <w:r w:rsidRPr="0043072E">
        <w:rPr>
          <w:rFonts w:ascii="Calibri" w:hAnsi="Calibri"/>
        </w:rPr>
        <w:fldChar w:fldCharType="separate"/>
      </w:r>
      <w:r w:rsidR="00964FA9">
        <w:rPr>
          <w:rFonts w:ascii="Calibri" w:hAnsi="Calibri"/>
        </w:rPr>
        <w:t>1.1.1.6</w:t>
      </w:r>
      <w:r w:rsidRPr="0043072E">
        <w:rPr>
          <w:rFonts w:ascii="Calibri" w:hAnsi="Calibri"/>
        </w:rPr>
        <w:fldChar w:fldCharType="end"/>
      </w:r>
      <w:r w:rsidRPr="0043072E">
        <w:rPr>
          <w:rFonts w:ascii="Calibri" w:hAnsi="Calibri"/>
        </w:rPr>
        <w:t>) worden voor deze rubriek de waarden automatisch aangevuld per tariefcomponent.</w:t>
      </w:r>
    </w:p>
    <w:p w14:paraId="4EDEF599" w14:textId="191E6236" w:rsidR="000D47E5" w:rsidRPr="0043072E" w:rsidRDefault="000D47E5" w:rsidP="000D47E5">
      <w:pPr>
        <w:numPr>
          <w:ilvl w:val="0"/>
          <w:numId w:val="13"/>
        </w:numPr>
        <w:spacing w:before="0" w:line="240" w:lineRule="auto"/>
        <w:ind w:left="2127" w:hanging="426"/>
        <w:jc w:val="both"/>
        <w:rPr>
          <w:rFonts w:ascii="Calibri" w:hAnsi="Calibri"/>
        </w:rPr>
      </w:pPr>
      <w:r w:rsidRPr="0043072E">
        <w:rPr>
          <w:rFonts w:ascii="Calibri" w:hAnsi="Calibri"/>
        </w:rPr>
        <w:t xml:space="preserve">Afbouw regulatoir saldo inzake </w:t>
      </w:r>
      <w:r w:rsidR="00A72240">
        <w:rPr>
          <w:rFonts w:ascii="Calibri" w:hAnsi="Calibri"/>
        </w:rPr>
        <w:t>volumerisico endogeen budget</w:t>
      </w:r>
      <w:r w:rsidRPr="0043072E">
        <w:rPr>
          <w:rFonts w:ascii="Calibri" w:hAnsi="Calibri"/>
        </w:rPr>
        <w:t xml:space="preserve"> </w:t>
      </w:r>
    </w:p>
    <w:p w14:paraId="5A80D981" w14:textId="129D96A0" w:rsidR="000D47E5" w:rsidRPr="00D66CC2" w:rsidRDefault="000D47E5" w:rsidP="000D47E5">
      <w:pPr>
        <w:numPr>
          <w:ilvl w:val="1"/>
          <w:numId w:val="13"/>
        </w:numPr>
        <w:spacing w:before="0" w:line="240" w:lineRule="auto"/>
        <w:ind w:left="2694"/>
        <w:jc w:val="both"/>
        <w:rPr>
          <w:rFonts w:ascii="Calibri" w:hAnsi="Calibri"/>
        </w:rPr>
      </w:pPr>
      <w:r w:rsidRPr="0043072E">
        <w:rPr>
          <w:rFonts w:ascii="Calibri" w:hAnsi="Calibri"/>
        </w:rPr>
        <w:t xml:space="preserve">Op basis van de </w:t>
      </w:r>
      <w:r w:rsidRPr="00D66CC2">
        <w:rPr>
          <w:rFonts w:ascii="Calibri" w:hAnsi="Calibri"/>
        </w:rPr>
        <w:t xml:space="preserve">automatisch berekende waarden in ‘tabel 5B’ (cfr paragraaf </w:t>
      </w:r>
      <w:r w:rsidRPr="00D66CC2">
        <w:rPr>
          <w:rFonts w:ascii="Calibri" w:hAnsi="Calibri"/>
        </w:rPr>
        <w:fldChar w:fldCharType="begin"/>
      </w:r>
      <w:r w:rsidRPr="00D66CC2">
        <w:rPr>
          <w:rFonts w:ascii="Calibri" w:hAnsi="Calibri"/>
        </w:rPr>
        <w:instrText xml:space="preserve"> REF _Ref445451556 \r \h  \* MERGEFORMAT </w:instrText>
      </w:r>
      <w:r w:rsidRPr="00D66CC2">
        <w:rPr>
          <w:rFonts w:ascii="Calibri" w:hAnsi="Calibri"/>
        </w:rPr>
      </w:r>
      <w:r w:rsidRPr="00D66CC2">
        <w:rPr>
          <w:rFonts w:ascii="Calibri" w:hAnsi="Calibri"/>
        </w:rPr>
        <w:fldChar w:fldCharType="separate"/>
      </w:r>
      <w:r w:rsidR="00964FA9">
        <w:rPr>
          <w:rFonts w:ascii="Calibri" w:hAnsi="Calibri"/>
        </w:rPr>
        <w:t>1.1.1.9</w:t>
      </w:r>
      <w:r w:rsidRPr="00D66CC2">
        <w:rPr>
          <w:rFonts w:ascii="Calibri" w:hAnsi="Calibri"/>
        </w:rPr>
        <w:fldChar w:fldCharType="end"/>
      </w:r>
      <w:r w:rsidRPr="00D66CC2">
        <w:rPr>
          <w:rFonts w:ascii="Calibri" w:hAnsi="Calibri"/>
        </w:rPr>
        <w:t>) worden voor deze rubriek de waarden automatisch aangevuld per tariefcomponent.</w:t>
      </w:r>
    </w:p>
    <w:p w14:paraId="1C250B6C" w14:textId="77777777" w:rsidR="000D47E5" w:rsidRPr="00D66CC2" w:rsidRDefault="000D47E5" w:rsidP="000D47E5">
      <w:pPr>
        <w:numPr>
          <w:ilvl w:val="0"/>
          <w:numId w:val="13"/>
        </w:numPr>
        <w:spacing w:before="0" w:line="240" w:lineRule="auto"/>
        <w:ind w:left="2127" w:hanging="426"/>
        <w:jc w:val="both"/>
        <w:rPr>
          <w:rFonts w:ascii="Calibri" w:hAnsi="Calibri"/>
        </w:rPr>
      </w:pPr>
      <w:r w:rsidRPr="00D66CC2">
        <w:rPr>
          <w:rFonts w:ascii="Calibri" w:hAnsi="Calibri"/>
        </w:rPr>
        <w:t>Afbouw regulatoir saldo inzake herindexering van het budget voor endogene kosten</w:t>
      </w:r>
    </w:p>
    <w:p w14:paraId="5433F4BE" w14:textId="496F5B2D" w:rsidR="000D47E5" w:rsidRPr="0043072E" w:rsidRDefault="000D47E5" w:rsidP="000D47E5">
      <w:pPr>
        <w:numPr>
          <w:ilvl w:val="1"/>
          <w:numId w:val="13"/>
        </w:numPr>
        <w:spacing w:before="0" w:line="240" w:lineRule="auto"/>
        <w:ind w:left="2694"/>
        <w:jc w:val="both"/>
        <w:rPr>
          <w:rFonts w:ascii="Calibri" w:hAnsi="Calibri"/>
        </w:rPr>
      </w:pPr>
      <w:r w:rsidRPr="00D66CC2">
        <w:rPr>
          <w:rFonts w:ascii="Calibri" w:hAnsi="Calibri"/>
        </w:rPr>
        <w:t xml:space="preserve">Op basis van de automatisch berekende waarden in ‘tabel 6B’ (cfr paragraaf </w:t>
      </w:r>
      <w:r w:rsidRPr="00D66CC2">
        <w:rPr>
          <w:rFonts w:ascii="Calibri" w:hAnsi="Calibri"/>
        </w:rPr>
        <w:fldChar w:fldCharType="begin"/>
      </w:r>
      <w:r w:rsidRPr="00D66CC2">
        <w:rPr>
          <w:rFonts w:ascii="Calibri" w:hAnsi="Calibri"/>
        </w:rPr>
        <w:instrText xml:space="preserve"> REF _Ref445451572 \r \h  \* MERGEFORMAT </w:instrText>
      </w:r>
      <w:r w:rsidRPr="00D66CC2">
        <w:rPr>
          <w:rFonts w:ascii="Calibri" w:hAnsi="Calibri"/>
        </w:rPr>
      </w:r>
      <w:r w:rsidRPr="00D66CC2">
        <w:rPr>
          <w:rFonts w:ascii="Calibri" w:hAnsi="Calibri"/>
        </w:rPr>
        <w:fldChar w:fldCharType="separate"/>
      </w:r>
      <w:r w:rsidR="00964FA9">
        <w:rPr>
          <w:rFonts w:ascii="Calibri" w:hAnsi="Calibri"/>
        </w:rPr>
        <w:t>1.1.1.15</w:t>
      </w:r>
      <w:r w:rsidRPr="00D66CC2">
        <w:rPr>
          <w:rFonts w:ascii="Calibri" w:hAnsi="Calibri"/>
        </w:rPr>
        <w:fldChar w:fldCharType="end"/>
      </w:r>
      <w:r w:rsidRPr="00D66CC2">
        <w:rPr>
          <w:rFonts w:ascii="Calibri" w:hAnsi="Calibri"/>
        </w:rPr>
        <w:t xml:space="preserve">) worden voor deze rubriek de waarden automatisch aangevuld per tariefcomponent. </w:t>
      </w:r>
    </w:p>
    <w:p w14:paraId="6840F3F0" w14:textId="77777777" w:rsidR="000D47E5" w:rsidRPr="0043072E" w:rsidRDefault="000D47E5" w:rsidP="000D47E5">
      <w:pPr>
        <w:numPr>
          <w:ilvl w:val="0"/>
          <w:numId w:val="13"/>
        </w:numPr>
        <w:spacing w:before="0" w:line="240" w:lineRule="auto"/>
        <w:ind w:left="2127" w:hanging="426"/>
        <w:jc w:val="both"/>
        <w:rPr>
          <w:rFonts w:ascii="Calibri" w:hAnsi="Calibri"/>
        </w:rPr>
      </w:pPr>
      <w:r w:rsidRPr="0043072E">
        <w:rPr>
          <w:rFonts w:ascii="Calibri" w:hAnsi="Calibri"/>
        </w:rPr>
        <w:t>Afbouw regulatoir saldo inzake vennootschapsbelasting</w:t>
      </w:r>
    </w:p>
    <w:p w14:paraId="1EDB3301" w14:textId="1E37446A" w:rsidR="000D47E5" w:rsidRPr="00607318" w:rsidRDefault="000D47E5" w:rsidP="000D47E5">
      <w:pPr>
        <w:numPr>
          <w:ilvl w:val="1"/>
          <w:numId w:val="13"/>
        </w:numPr>
        <w:spacing w:before="0" w:line="240" w:lineRule="auto"/>
        <w:ind w:left="2694"/>
        <w:jc w:val="both"/>
        <w:rPr>
          <w:rFonts w:ascii="Calibri" w:hAnsi="Calibri"/>
        </w:rPr>
      </w:pPr>
      <w:r w:rsidRPr="0043072E">
        <w:rPr>
          <w:rFonts w:ascii="Calibri" w:hAnsi="Calibri"/>
        </w:rPr>
        <w:t xml:space="preserve">Op basis van de </w:t>
      </w:r>
      <w:r>
        <w:rPr>
          <w:rFonts w:ascii="Calibri" w:hAnsi="Calibri"/>
        </w:rPr>
        <w:t>automatisch berekende</w:t>
      </w:r>
      <w:r w:rsidRPr="0043072E">
        <w:rPr>
          <w:rFonts w:ascii="Calibri" w:hAnsi="Calibri"/>
        </w:rPr>
        <w:t xml:space="preserve"> waarden in ‘tabel 7’ (cfr paragraaf </w:t>
      </w:r>
      <w:r w:rsidRPr="0043072E">
        <w:rPr>
          <w:rFonts w:ascii="Calibri" w:hAnsi="Calibri"/>
        </w:rPr>
        <w:fldChar w:fldCharType="begin"/>
      </w:r>
      <w:r w:rsidRPr="0043072E">
        <w:rPr>
          <w:rFonts w:ascii="Calibri" w:hAnsi="Calibri"/>
        </w:rPr>
        <w:instrText xml:space="preserve"> REF _Ref445451593 \r \h  \* MERGEFORMAT </w:instrText>
      </w:r>
      <w:r w:rsidRPr="0043072E">
        <w:rPr>
          <w:rFonts w:ascii="Calibri" w:hAnsi="Calibri"/>
        </w:rPr>
      </w:r>
      <w:r w:rsidRPr="0043072E">
        <w:rPr>
          <w:rFonts w:ascii="Calibri" w:hAnsi="Calibri"/>
        </w:rPr>
        <w:fldChar w:fldCharType="separate"/>
      </w:r>
      <w:r w:rsidR="00964FA9">
        <w:rPr>
          <w:rFonts w:ascii="Calibri" w:hAnsi="Calibri"/>
        </w:rPr>
        <w:t>1.1.1.16</w:t>
      </w:r>
      <w:r w:rsidRPr="0043072E">
        <w:rPr>
          <w:rFonts w:ascii="Calibri" w:hAnsi="Calibri"/>
        </w:rPr>
        <w:fldChar w:fldCharType="end"/>
      </w:r>
      <w:r w:rsidRPr="0043072E">
        <w:rPr>
          <w:rFonts w:ascii="Calibri" w:hAnsi="Calibri"/>
        </w:rPr>
        <w:t xml:space="preserve">) wordt voor deze rubriek de waarde automatisch aangevuld. Conform de tariefstructuur worden de kosten inzake vennootschapsbelasting integraal toegewezen aan het basistarief voor het gebruik van het net waardoor ook de afbouw van dit saldo </w:t>
      </w:r>
      <w:r w:rsidRPr="00607318">
        <w:rPr>
          <w:rFonts w:ascii="Calibri" w:hAnsi="Calibri"/>
        </w:rPr>
        <w:t xml:space="preserve">integraal aan deze tariefcomponent wordt toegewezen. </w:t>
      </w:r>
    </w:p>
    <w:p w14:paraId="19F658FC" w14:textId="42A210D2" w:rsidR="00EF5CF6" w:rsidRPr="00607318" w:rsidRDefault="00EF5CF6" w:rsidP="00EF5CF6">
      <w:pPr>
        <w:numPr>
          <w:ilvl w:val="0"/>
          <w:numId w:val="13"/>
        </w:numPr>
        <w:spacing w:before="0" w:line="240" w:lineRule="auto"/>
        <w:ind w:left="2127" w:hanging="426"/>
        <w:jc w:val="both"/>
        <w:rPr>
          <w:rFonts w:ascii="Calibri" w:hAnsi="Calibri"/>
        </w:rPr>
      </w:pPr>
      <w:r w:rsidRPr="00607318">
        <w:rPr>
          <w:rFonts w:ascii="Calibri" w:hAnsi="Calibri"/>
        </w:rPr>
        <w:t>Afbouw regulatoir saldo inzake herwaarderingsmeerwaarden</w:t>
      </w:r>
    </w:p>
    <w:p w14:paraId="1AC07EC3" w14:textId="74E67EBE" w:rsidR="00EF5CF6" w:rsidRDefault="00EF5CF6" w:rsidP="00EF5CF6">
      <w:pPr>
        <w:numPr>
          <w:ilvl w:val="1"/>
          <w:numId w:val="13"/>
        </w:numPr>
        <w:spacing w:before="0" w:line="240" w:lineRule="auto"/>
        <w:ind w:left="2694"/>
        <w:jc w:val="both"/>
        <w:rPr>
          <w:rFonts w:ascii="Calibri" w:hAnsi="Calibri"/>
        </w:rPr>
      </w:pPr>
      <w:r w:rsidRPr="00607318">
        <w:rPr>
          <w:rFonts w:ascii="Calibri" w:hAnsi="Calibri"/>
        </w:rPr>
        <w:t xml:space="preserve">Op basis van de automatisch berekende waarden in ‘tabel </w:t>
      </w:r>
      <w:r w:rsidR="008255B9" w:rsidRPr="00607318">
        <w:rPr>
          <w:rFonts w:ascii="Calibri" w:hAnsi="Calibri"/>
        </w:rPr>
        <w:t>8</w:t>
      </w:r>
      <w:r w:rsidRPr="00607318">
        <w:rPr>
          <w:rFonts w:ascii="Calibri" w:hAnsi="Calibri"/>
        </w:rPr>
        <w:t>’ (cfr paragraaf</w:t>
      </w:r>
      <w:r w:rsidR="00607318">
        <w:rPr>
          <w:rFonts w:ascii="Calibri" w:hAnsi="Calibri"/>
        </w:rPr>
        <w:t xml:space="preserve"> </w:t>
      </w:r>
      <w:r w:rsidR="00607318">
        <w:rPr>
          <w:rFonts w:ascii="Calibri" w:hAnsi="Calibri"/>
        </w:rPr>
        <w:fldChar w:fldCharType="begin"/>
      </w:r>
      <w:r w:rsidR="00607318">
        <w:rPr>
          <w:rFonts w:ascii="Calibri" w:hAnsi="Calibri"/>
        </w:rPr>
        <w:instrText xml:space="preserve"> REF _Ref38874241 \r \h </w:instrText>
      </w:r>
      <w:r w:rsidR="00607318">
        <w:rPr>
          <w:rFonts w:ascii="Calibri" w:hAnsi="Calibri"/>
        </w:rPr>
      </w:r>
      <w:r w:rsidR="00607318">
        <w:rPr>
          <w:rFonts w:ascii="Calibri" w:hAnsi="Calibri"/>
        </w:rPr>
        <w:fldChar w:fldCharType="separate"/>
      </w:r>
      <w:r w:rsidR="00964FA9">
        <w:rPr>
          <w:rFonts w:ascii="Calibri" w:hAnsi="Calibri"/>
        </w:rPr>
        <w:t>1.1.1.17</w:t>
      </w:r>
      <w:r w:rsidR="00607318">
        <w:rPr>
          <w:rFonts w:ascii="Calibri" w:hAnsi="Calibri"/>
        </w:rPr>
        <w:fldChar w:fldCharType="end"/>
      </w:r>
      <w:r w:rsidRPr="00607318">
        <w:rPr>
          <w:rFonts w:ascii="Calibri" w:hAnsi="Calibri"/>
        </w:rPr>
        <w:t>) worden voor deze rubriek de waarden automatisch aangevuld.</w:t>
      </w:r>
      <w:r w:rsidR="00940005" w:rsidRPr="00607318">
        <w:rPr>
          <w:rFonts w:ascii="Calibri" w:hAnsi="Calibri"/>
        </w:rPr>
        <w:t xml:space="preserve"> Aangezien</w:t>
      </w:r>
      <w:r w:rsidR="00940005" w:rsidRPr="008A1CF9">
        <w:rPr>
          <w:rFonts w:ascii="Calibri" w:hAnsi="Calibri"/>
        </w:rPr>
        <w:t xml:space="preserve"> de kosten inzake herwaarderingsmeerwaarden (afschrijvingen en kapitaalkostvergoeding)</w:t>
      </w:r>
      <w:r w:rsidR="00015D62" w:rsidRPr="008A1CF9">
        <w:rPr>
          <w:rFonts w:ascii="Calibri" w:hAnsi="Calibri"/>
        </w:rPr>
        <w:t xml:space="preserve"> integraal aan het basistarief voor het gebruik van het net worden toegewezen, wordt ook de afbouw van dit saldo integraal aan deze tariefcomponent toegewezen. </w:t>
      </w:r>
      <w:r w:rsidRPr="008A1CF9">
        <w:rPr>
          <w:rFonts w:ascii="Calibri" w:hAnsi="Calibri"/>
        </w:rPr>
        <w:t xml:space="preserve"> Hierbij kan slechts vanaf het toegelaten inkomen voor boekjaar 2</w:t>
      </w:r>
      <w:r w:rsidR="00015D62" w:rsidRPr="008A1CF9">
        <w:rPr>
          <w:rFonts w:ascii="Calibri" w:hAnsi="Calibri"/>
        </w:rPr>
        <w:t>02</w:t>
      </w:r>
      <w:r w:rsidR="002F04B0" w:rsidRPr="008A1CF9">
        <w:rPr>
          <w:rFonts w:ascii="Calibri" w:hAnsi="Calibri"/>
        </w:rPr>
        <w:t>3</w:t>
      </w:r>
      <w:r w:rsidRPr="008A1CF9">
        <w:rPr>
          <w:rFonts w:ascii="Calibri" w:hAnsi="Calibri"/>
        </w:rPr>
        <w:t xml:space="preserve"> een afbouw in rekening worden genomen aangezien dit saldo pas vanaf boekjaar 20</w:t>
      </w:r>
      <w:r w:rsidR="002F04B0" w:rsidRPr="008A1CF9">
        <w:rPr>
          <w:rFonts w:ascii="Calibri" w:hAnsi="Calibri"/>
        </w:rPr>
        <w:t>21</w:t>
      </w:r>
      <w:r w:rsidRPr="008A1CF9">
        <w:rPr>
          <w:rFonts w:ascii="Calibri" w:hAnsi="Calibri"/>
        </w:rPr>
        <w:t xml:space="preserve"> tot stand komt.</w:t>
      </w:r>
    </w:p>
    <w:p w14:paraId="63CFAF1E" w14:textId="77777777" w:rsidR="008C4EB1" w:rsidRPr="0043072E" w:rsidRDefault="008C4EB1" w:rsidP="008C4EB1">
      <w:pPr>
        <w:numPr>
          <w:ilvl w:val="0"/>
          <w:numId w:val="13"/>
        </w:numPr>
        <w:spacing w:before="0" w:line="240" w:lineRule="auto"/>
        <w:ind w:left="2127" w:hanging="426"/>
        <w:jc w:val="both"/>
        <w:rPr>
          <w:rFonts w:ascii="Calibri" w:hAnsi="Calibri"/>
        </w:rPr>
      </w:pPr>
      <w:r w:rsidRPr="0043072E">
        <w:rPr>
          <w:rFonts w:ascii="Calibri" w:hAnsi="Calibri"/>
        </w:rPr>
        <w:t xml:space="preserve">Kapitaalkostvergoeding voor de groenestroom- en warmtekrachtcertificaten </w:t>
      </w:r>
    </w:p>
    <w:p w14:paraId="317DFF12" w14:textId="77777777" w:rsidR="008C4EB1" w:rsidRPr="0043072E" w:rsidRDefault="008C4EB1" w:rsidP="008C4EB1">
      <w:pPr>
        <w:numPr>
          <w:ilvl w:val="0"/>
          <w:numId w:val="13"/>
        </w:numPr>
        <w:spacing w:before="0" w:line="240" w:lineRule="auto"/>
        <w:ind w:left="2127" w:hanging="426"/>
        <w:jc w:val="both"/>
        <w:rPr>
          <w:rFonts w:ascii="Calibri" w:hAnsi="Calibri"/>
        </w:rPr>
      </w:pPr>
      <w:r w:rsidRPr="0043072E">
        <w:rPr>
          <w:rFonts w:ascii="Calibri" w:hAnsi="Calibri"/>
        </w:rPr>
        <w:t>Kapitaalkostvergoeding voor het regulatoir saldo inzake exogene kosten m.b.t. distributie</w:t>
      </w:r>
    </w:p>
    <w:p w14:paraId="5EB6E50F" w14:textId="77777777" w:rsidR="008C4EB1" w:rsidRPr="0043072E" w:rsidRDefault="008C4EB1" w:rsidP="008C4EB1">
      <w:pPr>
        <w:numPr>
          <w:ilvl w:val="0"/>
          <w:numId w:val="13"/>
        </w:numPr>
        <w:spacing w:before="0" w:line="240" w:lineRule="auto"/>
        <w:ind w:left="2127" w:hanging="426"/>
        <w:jc w:val="both"/>
        <w:rPr>
          <w:rFonts w:ascii="Calibri" w:hAnsi="Calibri"/>
        </w:rPr>
      </w:pPr>
      <w:r w:rsidRPr="0043072E">
        <w:rPr>
          <w:rFonts w:ascii="Calibri" w:hAnsi="Calibri"/>
        </w:rPr>
        <w:t xml:space="preserve">Kapitaalkostvergoeding voor het regulatoir saldo inzake </w:t>
      </w:r>
      <w:r>
        <w:rPr>
          <w:rFonts w:ascii="Calibri" w:hAnsi="Calibri"/>
        </w:rPr>
        <w:t>volumerisico endogeen budget</w:t>
      </w:r>
      <w:r w:rsidRPr="0043072E">
        <w:rPr>
          <w:rFonts w:ascii="Calibri" w:hAnsi="Calibri"/>
        </w:rPr>
        <w:t xml:space="preserve"> </w:t>
      </w:r>
    </w:p>
    <w:p w14:paraId="297E529B" w14:textId="77777777" w:rsidR="008C4EB1" w:rsidRPr="0043072E" w:rsidRDefault="008C4EB1" w:rsidP="008C4EB1">
      <w:pPr>
        <w:numPr>
          <w:ilvl w:val="0"/>
          <w:numId w:val="13"/>
        </w:numPr>
        <w:spacing w:before="0" w:line="240" w:lineRule="auto"/>
        <w:ind w:left="2127" w:hanging="426"/>
        <w:jc w:val="both"/>
        <w:rPr>
          <w:rFonts w:ascii="Calibri" w:hAnsi="Calibri"/>
        </w:rPr>
      </w:pPr>
      <w:r w:rsidRPr="0043072E">
        <w:rPr>
          <w:rFonts w:ascii="Calibri" w:hAnsi="Calibri"/>
        </w:rPr>
        <w:lastRenderedPageBreak/>
        <w:t>Kapitaalkostvergoeding voor het regulatoir saldo inzake herindexering van het budget voor endogene kosten</w:t>
      </w:r>
    </w:p>
    <w:p w14:paraId="6E33DC32" w14:textId="77777777" w:rsidR="008C4EB1" w:rsidRDefault="008C4EB1" w:rsidP="008C4EB1">
      <w:pPr>
        <w:numPr>
          <w:ilvl w:val="0"/>
          <w:numId w:val="13"/>
        </w:numPr>
        <w:spacing w:before="0" w:line="240" w:lineRule="auto"/>
        <w:ind w:left="2127" w:hanging="426"/>
        <w:jc w:val="both"/>
        <w:rPr>
          <w:rFonts w:ascii="Calibri" w:hAnsi="Calibri"/>
        </w:rPr>
      </w:pPr>
      <w:r w:rsidRPr="0043072E">
        <w:rPr>
          <w:rFonts w:ascii="Calibri" w:hAnsi="Calibri"/>
        </w:rPr>
        <w:t>Kapitaalkostvergoeding voor het regulatoir saldo inzake vennootschapsbelasting</w:t>
      </w:r>
    </w:p>
    <w:p w14:paraId="361BCE8C" w14:textId="56936CD7" w:rsidR="008C4EB1" w:rsidRPr="008A1CF9" w:rsidRDefault="008C4EB1" w:rsidP="008C4EB1">
      <w:pPr>
        <w:numPr>
          <w:ilvl w:val="0"/>
          <w:numId w:val="13"/>
        </w:numPr>
        <w:spacing w:before="0" w:line="240" w:lineRule="auto"/>
        <w:ind w:left="2127"/>
        <w:jc w:val="both"/>
        <w:rPr>
          <w:rFonts w:ascii="Calibri" w:hAnsi="Calibri"/>
        </w:rPr>
      </w:pPr>
      <w:r>
        <w:rPr>
          <w:rFonts w:ascii="Calibri" w:hAnsi="Calibri"/>
        </w:rPr>
        <w:t>Kapitaalkostvergoeding voor het regulatoir saldo inzake herwaarderingsmeerwaarden</w:t>
      </w:r>
    </w:p>
    <w:p w14:paraId="604FF4BB" w14:textId="625B7676" w:rsidR="000D47E5" w:rsidRPr="0043072E" w:rsidRDefault="000D47E5" w:rsidP="000D47E5">
      <w:pPr>
        <w:numPr>
          <w:ilvl w:val="0"/>
          <w:numId w:val="13"/>
        </w:numPr>
        <w:spacing w:before="0" w:line="240" w:lineRule="auto"/>
        <w:ind w:left="2127" w:hanging="426"/>
        <w:jc w:val="both"/>
        <w:rPr>
          <w:rFonts w:ascii="Calibri" w:hAnsi="Calibri"/>
        </w:rPr>
      </w:pPr>
      <w:r w:rsidRPr="0043072E">
        <w:rPr>
          <w:rFonts w:ascii="Calibri" w:hAnsi="Calibri"/>
        </w:rPr>
        <w:t>Kosten van de openbaredienstverplichtingen m.b.t. het stimuleren van rationeel energiegebruik (REG)</w:t>
      </w:r>
      <w:r w:rsidR="00C859DC">
        <w:rPr>
          <w:rFonts w:ascii="Calibri" w:hAnsi="Calibri"/>
        </w:rPr>
        <w:t xml:space="preserve"> (cfr. Energiebesluit)</w:t>
      </w:r>
    </w:p>
    <w:p w14:paraId="766C9A40" w14:textId="77777777" w:rsidR="000D47E5" w:rsidRPr="0043072E" w:rsidRDefault="000D47E5" w:rsidP="000D47E5">
      <w:pPr>
        <w:numPr>
          <w:ilvl w:val="1"/>
          <w:numId w:val="13"/>
        </w:numPr>
        <w:spacing w:before="0" w:line="240" w:lineRule="auto"/>
        <w:ind w:left="2694"/>
        <w:jc w:val="both"/>
        <w:rPr>
          <w:rFonts w:ascii="Calibri" w:hAnsi="Calibri"/>
        </w:rPr>
      </w:pPr>
      <w:r w:rsidRPr="0043072E">
        <w:rPr>
          <w:rFonts w:ascii="Calibri" w:hAnsi="Calibri"/>
        </w:rPr>
        <w:t>Voor deze rubriek dient de elektriciteitsdistributienetbeheerder een afzonderlijke waarde te rapporteren voor:</w:t>
      </w:r>
    </w:p>
    <w:p w14:paraId="3F666DCE" w14:textId="36250613" w:rsidR="000D47E5" w:rsidRPr="0043072E" w:rsidRDefault="000D47E5" w:rsidP="000D47E5">
      <w:pPr>
        <w:numPr>
          <w:ilvl w:val="3"/>
          <w:numId w:val="13"/>
        </w:numPr>
        <w:spacing w:before="0" w:line="240" w:lineRule="auto"/>
        <w:jc w:val="both"/>
        <w:rPr>
          <w:rFonts w:ascii="Calibri" w:hAnsi="Calibri"/>
        </w:rPr>
      </w:pPr>
      <w:r w:rsidRPr="0043072E">
        <w:rPr>
          <w:rFonts w:ascii="Calibri" w:hAnsi="Calibri"/>
        </w:rPr>
        <w:t xml:space="preserve">de kosten m.b.t. REG-premies, </w:t>
      </w:r>
    </w:p>
    <w:p w14:paraId="578F48AF" w14:textId="4566DC65" w:rsidR="000D47E5" w:rsidRPr="0043072E" w:rsidRDefault="000D47E5" w:rsidP="000D47E5">
      <w:pPr>
        <w:numPr>
          <w:ilvl w:val="3"/>
          <w:numId w:val="13"/>
        </w:numPr>
        <w:spacing w:before="0" w:line="240" w:lineRule="auto"/>
        <w:jc w:val="both"/>
        <w:rPr>
          <w:rFonts w:ascii="Calibri" w:hAnsi="Calibri"/>
        </w:rPr>
      </w:pPr>
      <w:r w:rsidRPr="0043072E">
        <w:rPr>
          <w:rFonts w:ascii="Calibri" w:hAnsi="Calibri"/>
        </w:rPr>
        <w:t xml:space="preserve">de kosten m.b.t. de actieverplichting energiescans en </w:t>
      </w:r>
    </w:p>
    <w:p w14:paraId="2EE43B0A" w14:textId="71E82863" w:rsidR="000D47E5" w:rsidRPr="0043072E" w:rsidRDefault="000D47E5" w:rsidP="000D47E5">
      <w:pPr>
        <w:numPr>
          <w:ilvl w:val="3"/>
          <w:numId w:val="13"/>
        </w:numPr>
        <w:spacing w:before="0" w:line="240" w:lineRule="auto"/>
        <w:jc w:val="both"/>
        <w:rPr>
          <w:rFonts w:ascii="Calibri" w:hAnsi="Calibri"/>
        </w:rPr>
      </w:pPr>
      <w:r w:rsidRPr="0043072E">
        <w:rPr>
          <w:rFonts w:ascii="Calibri" w:hAnsi="Calibri"/>
        </w:rPr>
        <w:t xml:space="preserve">de kosten m.b.t. de </w:t>
      </w:r>
      <w:r w:rsidR="00A42F5E">
        <w:rPr>
          <w:rFonts w:ascii="Calibri" w:hAnsi="Calibri"/>
        </w:rPr>
        <w:t>sociale energie efficiëntieprojecten</w:t>
      </w:r>
      <w:r w:rsidRPr="0043072E">
        <w:rPr>
          <w:rFonts w:ascii="Calibri" w:hAnsi="Calibri"/>
        </w:rPr>
        <w:t xml:space="preserve">. </w:t>
      </w:r>
    </w:p>
    <w:p w14:paraId="04B9C3D5" w14:textId="77777777" w:rsidR="000D47E5" w:rsidRPr="0043072E" w:rsidRDefault="000D47E5" w:rsidP="000D47E5">
      <w:pPr>
        <w:numPr>
          <w:ilvl w:val="0"/>
          <w:numId w:val="13"/>
        </w:numPr>
        <w:spacing w:before="0" w:line="240" w:lineRule="auto"/>
        <w:ind w:left="2127" w:hanging="426"/>
        <w:jc w:val="both"/>
        <w:rPr>
          <w:rFonts w:ascii="Calibri" w:hAnsi="Calibri"/>
        </w:rPr>
      </w:pPr>
      <w:r w:rsidRPr="0043072E">
        <w:rPr>
          <w:rFonts w:ascii="Calibri" w:hAnsi="Calibri"/>
        </w:rPr>
        <w:t>Recuperatie van kosten van de openbaredienstverplichtingen m.b.t. het stimuleren van rationeel energiegebruik (REG):</w:t>
      </w:r>
    </w:p>
    <w:p w14:paraId="659A63A5" w14:textId="77777777" w:rsidR="000D47E5" w:rsidRPr="0043072E" w:rsidRDefault="000D47E5" w:rsidP="000D47E5">
      <w:pPr>
        <w:numPr>
          <w:ilvl w:val="1"/>
          <w:numId w:val="13"/>
        </w:numPr>
        <w:spacing w:before="0" w:line="240" w:lineRule="auto"/>
        <w:ind w:left="2694"/>
        <w:jc w:val="both"/>
        <w:rPr>
          <w:rFonts w:ascii="Calibri" w:hAnsi="Calibri"/>
        </w:rPr>
      </w:pPr>
      <w:r w:rsidRPr="0043072E">
        <w:rPr>
          <w:rFonts w:ascii="Calibri" w:hAnsi="Calibri"/>
        </w:rPr>
        <w:t xml:space="preserve">Voor deze rubriek dient de elektriciteitsdistributienetbeheerder een afzonderlijke waarde te rapporteren voor </w:t>
      </w:r>
    </w:p>
    <w:p w14:paraId="6EEDA3A7" w14:textId="0388DB92" w:rsidR="000D47E5" w:rsidRPr="0043072E" w:rsidRDefault="000D47E5" w:rsidP="000D47E5">
      <w:pPr>
        <w:numPr>
          <w:ilvl w:val="3"/>
          <w:numId w:val="13"/>
        </w:numPr>
        <w:spacing w:before="0" w:line="240" w:lineRule="auto"/>
        <w:jc w:val="both"/>
        <w:rPr>
          <w:rFonts w:ascii="Calibri" w:hAnsi="Calibri"/>
        </w:rPr>
      </w:pPr>
      <w:r w:rsidRPr="0043072E">
        <w:rPr>
          <w:rFonts w:ascii="Calibri" w:hAnsi="Calibri"/>
        </w:rPr>
        <w:t xml:space="preserve">de recuperatie van kosten m.b.t. REG-premies, </w:t>
      </w:r>
    </w:p>
    <w:p w14:paraId="2DAC4165" w14:textId="4E04CE0A" w:rsidR="000D47E5" w:rsidRPr="0043072E" w:rsidRDefault="000D47E5" w:rsidP="000D47E5">
      <w:pPr>
        <w:numPr>
          <w:ilvl w:val="3"/>
          <w:numId w:val="13"/>
        </w:numPr>
        <w:spacing w:before="0" w:line="240" w:lineRule="auto"/>
        <w:jc w:val="both"/>
        <w:rPr>
          <w:rFonts w:ascii="Calibri" w:hAnsi="Calibri"/>
        </w:rPr>
      </w:pPr>
      <w:r w:rsidRPr="0043072E">
        <w:rPr>
          <w:rFonts w:ascii="Calibri" w:hAnsi="Calibri"/>
        </w:rPr>
        <w:t>de recuperatie van kosten m.b.t. de actieverplichting energiescans</w:t>
      </w:r>
      <w:r w:rsidR="00A42F5E">
        <w:rPr>
          <w:rFonts w:ascii="Calibri" w:hAnsi="Calibri"/>
        </w:rPr>
        <w:t xml:space="preserve"> </w:t>
      </w:r>
      <w:r w:rsidRPr="0043072E">
        <w:rPr>
          <w:rFonts w:ascii="Calibri" w:hAnsi="Calibri"/>
        </w:rPr>
        <w:t>en</w:t>
      </w:r>
    </w:p>
    <w:p w14:paraId="44557FC1" w14:textId="4E969E4C" w:rsidR="000D47E5" w:rsidRPr="0043072E" w:rsidRDefault="000D47E5" w:rsidP="000D47E5">
      <w:pPr>
        <w:numPr>
          <w:ilvl w:val="3"/>
          <w:numId w:val="13"/>
        </w:numPr>
        <w:spacing w:before="0" w:line="240" w:lineRule="auto"/>
        <w:jc w:val="both"/>
        <w:rPr>
          <w:rFonts w:ascii="Calibri" w:hAnsi="Calibri"/>
        </w:rPr>
      </w:pPr>
      <w:r w:rsidRPr="0043072E">
        <w:rPr>
          <w:rFonts w:ascii="Calibri" w:hAnsi="Calibri"/>
        </w:rPr>
        <w:t xml:space="preserve">de recuperatie van kosten m.b.t. de actieverplichting sociale </w:t>
      </w:r>
      <w:r w:rsidR="00C859DC">
        <w:rPr>
          <w:rFonts w:ascii="Calibri" w:hAnsi="Calibri"/>
        </w:rPr>
        <w:t>energie efficiëntieprojecten</w:t>
      </w:r>
      <w:r w:rsidRPr="0043072E">
        <w:rPr>
          <w:rFonts w:ascii="Calibri" w:hAnsi="Calibri"/>
        </w:rPr>
        <w:t xml:space="preserve">. </w:t>
      </w:r>
    </w:p>
    <w:p w14:paraId="1F12F492" w14:textId="77777777" w:rsidR="000D47E5" w:rsidRPr="0043072E" w:rsidRDefault="000D47E5" w:rsidP="000D47E5">
      <w:pPr>
        <w:numPr>
          <w:ilvl w:val="0"/>
          <w:numId w:val="13"/>
        </w:numPr>
        <w:spacing w:before="0" w:line="240" w:lineRule="auto"/>
        <w:ind w:left="2127" w:hanging="426"/>
        <w:jc w:val="both"/>
        <w:rPr>
          <w:rFonts w:ascii="Calibri" w:hAnsi="Calibri"/>
        </w:rPr>
      </w:pPr>
      <w:r w:rsidRPr="0043072E">
        <w:rPr>
          <w:rFonts w:ascii="Calibri" w:hAnsi="Calibri"/>
        </w:rPr>
        <w:t>Kosten van verplicht aangekochte groenestroom- en warmtekrachtcertificaten aan minimumwaarde (cfr. Energiedecreet)</w:t>
      </w:r>
    </w:p>
    <w:p w14:paraId="353D3645" w14:textId="77777777" w:rsidR="000D47E5" w:rsidRPr="0043072E" w:rsidRDefault="000D47E5" w:rsidP="000D47E5">
      <w:pPr>
        <w:numPr>
          <w:ilvl w:val="0"/>
          <w:numId w:val="13"/>
        </w:numPr>
        <w:spacing w:before="0" w:line="240" w:lineRule="auto"/>
        <w:ind w:left="2127" w:hanging="426"/>
        <w:jc w:val="both"/>
        <w:rPr>
          <w:rFonts w:ascii="Calibri" w:hAnsi="Calibri"/>
        </w:rPr>
      </w:pPr>
      <w:r w:rsidRPr="0043072E">
        <w:rPr>
          <w:rFonts w:ascii="Calibri" w:hAnsi="Calibri"/>
        </w:rPr>
        <w:t xml:space="preserve">Opbrengsten uit verkochte groenestroom- en warmtekrachtcertificaten </w:t>
      </w:r>
    </w:p>
    <w:p w14:paraId="0857B582" w14:textId="5AA45FD7" w:rsidR="000D47E5" w:rsidRPr="0043072E" w:rsidRDefault="009F62E7" w:rsidP="000D47E5">
      <w:pPr>
        <w:numPr>
          <w:ilvl w:val="1"/>
          <w:numId w:val="13"/>
        </w:numPr>
        <w:spacing w:before="0" w:line="240" w:lineRule="auto"/>
        <w:ind w:left="2694"/>
        <w:jc w:val="both"/>
        <w:rPr>
          <w:rFonts w:ascii="Calibri" w:hAnsi="Calibri"/>
        </w:rPr>
      </w:pPr>
      <w:r>
        <w:rPr>
          <w:rFonts w:ascii="Calibri" w:hAnsi="Calibri"/>
        </w:rPr>
        <w:t>Hierbij dient de elektriciteits</w:t>
      </w:r>
      <w:r w:rsidR="00E130E7">
        <w:rPr>
          <w:rFonts w:ascii="Calibri" w:hAnsi="Calibri"/>
        </w:rPr>
        <w:t xml:space="preserve">distributienetbeheerder een afzonderlijke waarde te rapporteren voor de opbrengsten </w:t>
      </w:r>
      <w:r w:rsidR="00DD7971">
        <w:rPr>
          <w:rFonts w:ascii="Calibri" w:hAnsi="Calibri"/>
        </w:rPr>
        <w:t>uit de verkopen t.a.v. de Vlaamse Overheid</w:t>
      </w:r>
      <w:r w:rsidR="004E25AD">
        <w:rPr>
          <w:rStyle w:val="Voetnootmarkering"/>
          <w:rFonts w:ascii="Calibri" w:hAnsi="Calibri"/>
        </w:rPr>
        <w:footnoteReference w:id="3"/>
      </w:r>
      <w:r w:rsidR="00DD7971">
        <w:rPr>
          <w:rFonts w:ascii="Calibri" w:hAnsi="Calibri"/>
        </w:rPr>
        <w:t xml:space="preserve"> enerzijds en de overige verkopen anderzijds</w:t>
      </w:r>
      <w:r w:rsidR="000D47E5" w:rsidRPr="0043072E">
        <w:rPr>
          <w:rFonts w:ascii="Calibri" w:hAnsi="Calibri"/>
        </w:rPr>
        <w:t>.</w:t>
      </w:r>
    </w:p>
    <w:p w14:paraId="27DAF7CC" w14:textId="77777777" w:rsidR="000D47E5" w:rsidRPr="0043072E" w:rsidRDefault="000D47E5" w:rsidP="000D47E5">
      <w:pPr>
        <w:numPr>
          <w:ilvl w:val="0"/>
          <w:numId w:val="13"/>
        </w:numPr>
        <w:spacing w:before="0" w:line="240" w:lineRule="auto"/>
        <w:ind w:left="2127" w:hanging="426"/>
        <w:jc w:val="both"/>
        <w:rPr>
          <w:rFonts w:ascii="Calibri" w:hAnsi="Calibri"/>
        </w:rPr>
      </w:pPr>
      <w:r w:rsidRPr="0043072E" w:rsidDel="009C0C6E">
        <w:rPr>
          <w:rFonts w:ascii="Calibri" w:hAnsi="Calibri"/>
        </w:rPr>
        <w:t xml:space="preserve"> </w:t>
      </w:r>
      <w:r w:rsidRPr="0043072E">
        <w:rPr>
          <w:rFonts w:ascii="Calibri" w:hAnsi="Calibri"/>
        </w:rPr>
        <w:t>Voorraadwijziging groenestroom- en warmtekrachtcertificaten</w:t>
      </w:r>
    </w:p>
    <w:p w14:paraId="16611019" w14:textId="77777777" w:rsidR="000D47E5" w:rsidRPr="0043072E" w:rsidRDefault="000D47E5" w:rsidP="000D47E5">
      <w:pPr>
        <w:numPr>
          <w:ilvl w:val="1"/>
          <w:numId w:val="13"/>
        </w:numPr>
        <w:spacing w:before="0" w:line="240" w:lineRule="auto"/>
        <w:ind w:left="2694"/>
        <w:jc w:val="both"/>
        <w:rPr>
          <w:rFonts w:ascii="Calibri" w:hAnsi="Calibri"/>
        </w:rPr>
      </w:pPr>
      <w:r w:rsidRPr="0043072E">
        <w:rPr>
          <w:rFonts w:ascii="Calibri" w:hAnsi="Calibri"/>
        </w:rPr>
        <w:t>Voor deze rubrieken dient een negatieve waarde in rekening worden genomen in het geval dat de voorraad gestegen is, en omgekeerd.</w:t>
      </w:r>
    </w:p>
    <w:p w14:paraId="24B35165" w14:textId="77777777" w:rsidR="000D47E5" w:rsidRPr="0043072E" w:rsidRDefault="000D47E5" w:rsidP="000D47E5">
      <w:pPr>
        <w:numPr>
          <w:ilvl w:val="0"/>
          <w:numId w:val="13"/>
        </w:numPr>
        <w:spacing w:before="0" w:line="240" w:lineRule="auto"/>
        <w:ind w:left="2127" w:hanging="426"/>
        <w:jc w:val="both"/>
        <w:rPr>
          <w:rFonts w:ascii="Calibri" w:hAnsi="Calibri"/>
        </w:rPr>
      </w:pPr>
      <w:r w:rsidRPr="0043072E">
        <w:rPr>
          <w:rFonts w:ascii="Calibri" w:hAnsi="Calibri"/>
        </w:rPr>
        <w:t>Netto-uitgaven/-inkomsten i.h.k.v. de verrekening van de kost van groenestroom- en warmtekrachtcertificaten onder distributienetbeheerders conform het Energiedecreet (gekend onder de term ‘solidarisering’ van de kosten van de opkoopverplichting)</w:t>
      </w:r>
    </w:p>
    <w:p w14:paraId="0E466005" w14:textId="77777777" w:rsidR="000D47E5" w:rsidRPr="0043072E" w:rsidRDefault="000D47E5" w:rsidP="000D47E5">
      <w:pPr>
        <w:numPr>
          <w:ilvl w:val="1"/>
          <w:numId w:val="13"/>
        </w:numPr>
        <w:spacing w:before="0" w:line="240" w:lineRule="auto"/>
        <w:ind w:left="2694"/>
        <w:jc w:val="both"/>
        <w:rPr>
          <w:rFonts w:ascii="Calibri" w:hAnsi="Calibri"/>
        </w:rPr>
      </w:pPr>
      <w:r w:rsidRPr="0043072E">
        <w:rPr>
          <w:rFonts w:ascii="Calibri" w:hAnsi="Calibri"/>
        </w:rPr>
        <w:t>Voor deze rubriek dient een positieve waarde in rekening worden genomen in het geval van een netto-uitgave, en omgekeerd.</w:t>
      </w:r>
    </w:p>
    <w:p w14:paraId="7E4297E2" w14:textId="77777777" w:rsidR="00373F10" w:rsidRDefault="00373F10" w:rsidP="006F74DC">
      <w:pPr>
        <w:numPr>
          <w:ilvl w:val="0"/>
          <w:numId w:val="13"/>
        </w:numPr>
        <w:spacing w:before="0" w:line="240" w:lineRule="auto"/>
        <w:ind w:left="2127" w:hanging="426"/>
        <w:jc w:val="both"/>
        <w:rPr>
          <w:rFonts w:ascii="Calibri" w:hAnsi="Calibri"/>
        </w:rPr>
      </w:pPr>
      <w:r>
        <w:rPr>
          <w:rFonts w:ascii="Calibri" w:hAnsi="Calibri"/>
        </w:rPr>
        <w:t>Opbrengsten uit niet-recurrente recuperatie van exogene kosten uit bijvoorbeeld fraudezaken</w:t>
      </w:r>
    </w:p>
    <w:p w14:paraId="3690488B" w14:textId="465A325E" w:rsidR="000D47E5" w:rsidRPr="0043072E" w:rsidRDefault="00261803" w:rsidP="00261803">
      <w:pPr>
        <w:numPr>
          <w:ilvl w:val="1"/>
          <w:numId w:val="13"/>
        </w:numPr>
        <w:spacing w:before="0" w:line="240" w:lineRule="auto"/>
        <w:ind w:left="2694"/>
        <w:jc w:val="both"/>
        <w:rPr>
          <w:rFonts w:ascii="Calibri" w:hAnsi="Calibri"/>
        </w:rPr>
      </w:pPr>
      <w:r>
        <w:rPr>
          <w:rFonts w:ascii="Calibri" w:hAnsi="Calibri"/>
        </w:rPr>
        <w:t xml:space="preserve">Voor deze rubriek dient de elektriciteitsdistributienetbeheerder een afzonderlijke waarde te rapporteren voor de opbrengsten uit recuperatie van onterecht uitgekeerde REG-premies enerzijds en </w:t>
      </w:r>
      <w:r w:rsidR="00945022">
        <w:rPr>
          <w:rFonts w:ascii="Calibri" w:hAnsi="Calibri"/>
        </w:rPr>
        <w:t>steuncertificaten aan minimum</w:t>
      </w:r>
      <w:r w:rsidR="000753E8">
        <w:rPr>
          <w:rFonts w:ascii="Calibri" w:hAnsi="Calibri"/>
        </w:rPr>
        <w:t>waarde anderzijds</w:t>
      </w:r>
      <w:r w:rsidR="008F5D7A">
        <w:rPr>
          <w:rFonts w:ascii="Calibri" w:hAnsi="Calibri"/>
        </w:rPr>
        <w:t>.</w:t>
      </w:r>
      <w:r w:rsidR="000D47E5" w:rsidRPr="0043072E">
        <w:rPr>
          <w:rFonts w:ascii="Calibri" w:hAnsi="Calibri"/>
        </w:rPr>
        <w:t xml:space="preserve"> </w:t>
      </w:r>
    </w:p>
    <w:p w14:paraId="02193C61" w14:textId="3C74EE3E" w:rsidR="00945022" w:rsidRDefault="00945022" w:rsidP="000D47E5">
      <w:pPr>
        <w:numPr>
          <w:ilvl w:val="0"/>
          <w:numId w:val="13"/>
        </w:numPr>
        <w:spacing w:before="0" w:line="240" w:lineRule="auto"/>
        <w:ind w:left="2127" w:hanging="426"/>
        <w:jc w:val="both"/>
        <w:rPr>
          <w:rFonts w:ascii="Calibri" w:hAnsi="Calibri"/>
        </w:rPr>
      </w:pPr>
      <w:r>
        <w:rPr>
          <w:rFonts w:ascii="Calibri" w:hAnsi="Calibri"/>
        </w:rPr>
        <w:t xml:space="preserve">Waardeverminderingen op vorderingen </w:t>
      </w:r>
      <w:r w:rsidR="008F5D7A">
        <w:rPr>
          <w:rFonts w:ascii="Calibri" w:hAnsi="Calibri"/>
        </w:rPr>
        <w:t>t.g.v. fraudedossiers</w:t>
      </w:r>
    </w:p>
    <w:p w14:paraId="6CE49830" w14:textId="2C9B56E1" w:rsidR="008F5D7A" w:rsidRDefault="008F5D7A" w:rsidP="008F5D7A">
      <w:pPr>
        <w:numPr>
          <w:ilvl w:val="1"/>
          <w:numId w:val="13"/>
        </w:numPr>
        <w:spacing w:before="0" w:line="240" w:lineRule="auto"/>
        <w:ind w:left="2694"/>
        <w:jc w:val="both"/>
        <w:rPr>
          <w:rFonts w:ascii="Calibri" w:hAnsi="Calibri"/>
        </w:rPr>
      </w:pPr>
      <w:r>
        <w:rPr>
          <w:rFonts w:ascii="Calibri" w:hAnsi="Calibri"/>
        </w:rPr>
        <w:t xml:space="preserve">Ook hier dient de elektriciteitsdistributienetbeheerder een afzonderlijke waarde te rapporteren voor de </w:t>
      </w:r>
      <w:r w:rsidR="0039749A">
        <w:rPr>
          <w:rFonts w:ascii="Calibri" w:hAnsi="Calibri"/>
        </w:rPr>
        <w:t xml:space="preserve">waardeverminderingen </w:t>
      </w:r>
      <w:r w:rsidR="006074B9">
        <w:rPr>
          <w:rFonts w:ascii="Calibri" w:hAnsi="Calibri"/>
        </w:rPr>
        <w:t xml:space="preserve">op vorderingen m.b.t. </w:t>
      </w:r>
      <w:r>
        <w:rPr>
          <w:rFonts w:ascii="Calibri" w:hAnsi="Calibri"/>
        </w:rPr>
        <w:t xml:space="preserve">onterecht uitgekeerde REG-premies enerzijds en </w:t>
      </w:r>
      <w:r w:rsidR="006074B9">
        <w:rPr>
          <w:rFonts w:ascii="Calibri" w:hAnsi="Calibri"/>
        </w:rPr>
        <w:t xml:space="preserve">m.b.t. </w:t>
      </w:r>
      <w:r>
        <w:rPr>
          <w:rFonts w:ascii="Calibri" w:hAnsi="Calibri"/>
        </w:rPr>
        <w:t>steuncertificaten aan minimum</w:t>
      </w:r>
      <w:r w:rsidR="006B11CA">
        <w:rPr>
          <w:rFonts w:ascii="Calibri" w:hAnsi="Calibri"/>
        </w:rPr>
        <w:t>waarde anderzijds</w:t>
      </w:r>
      <w:r>
        <w:rPr>
          <w:rFonts w:ascii="Calibri" w:hAnsi="Calibri"/>
        </w:rPr>
        <w:t>.</w:t>
      </w:r>
    </w:p>
    <w:p w14:paraId="5A69A1E8" w14:textId="52F0A879" w:rsidR="00E12E42" w:rsidRDefault="000753E8" w:rsidP="00E12E42">
      <w:pPr>
        <w:numPr>
          <w:ilvl w:val="0"/>
          <w:numId w:val="13"/>
        </w:numPr>
        <w:spacing w:before="0" w:line="240" w:lineRule="auto"/>
        <w:ind w:left="2127" w:hanging="426"/>
        <w:jc w:val="both"/>
        <w:rPr>
          <w:rFonts w:ascii="Calibri" w:hAnsi="Calibri"/>
        </w:rPr>
      </w:pPr>
      <w:r w:rsidRPr="003F2DBA">
        <w:rPr>
          <w:rFonts w:ascii="Calibri" w:hAnsi="Calibri"/>
        </w:rPr>
        <w:lastRenderedPageBreak/>
        <w:t>Kosten t.g.v. terugvorderingen door de Vlaamse Overheid van onterechte financiering van openbaredienstverplichtingen</w:t>
      </w:r>
    </w:p>
    <w:p w14:paraId="757C1434" w14:textId="5B717103" w:rsidR="00B95684" w:rsidRPr="0020429F" w:rsidRDefault="007B5E9B" w:rsidP="00E12E42">
      <w:pPr>
        <w:numPr>
          <w:ilvl w:val="0"/>
          <w:numId w:val="13"/>
        </w:numPr>
        <w:spacing w:before="0" w:line="240" w:lineRule="auto"/>
        <w:ind w:left="2127" w:hanging="426"/>
        <w:jc w:val="both"/>
        <w:rPr>
          <w:rFonts w:ascii="Calibri" w:hAnsi="Calibri"/>
          <w:color w:val="009999" w:themeColor="accent5"/>
        </w:rPr>
      </w:pPr>
      <w:r>
        <w:rPr>
          <w:rFonts w:ascii="Calibri" w:hAnsi="Calibri"/>
          <w:color w:val="009999" w:themeColor="accent5"/>
        </w:rPr>
        <w:t>[</w:t>
      </w:r>
      <w:r w:rsidR="00124B59">
        <w:rPr>
          <w:rFonts w:ascii="Calibri" w:hAnsi="Calibri"/>
          <w:color w:val="009999" w:themeColor="accent5"/>
        </w:rPr>
        <w:t>O</w:t>
      </w:r>
      <w:r w:rsidR="00B95684" w:rsidRPr="0020429F">
        <w:rPr>
          <w:rFonts w:ascii="Calibri" w:hAnsi="Calibri"/>
          <w:color w:val="009999" w:themeColor="accent5"/>
        </w:rPr>
        <w:t xml:space="preserve">pbrengsten </w:t>
      </w:r>
      <w:r w:rsidR="001D5499" w:rsidRPr="0020429F">
        <w:rPr>
          <w:rFonts w:ascii="Calibri" w:hAnsi="Calibri"/>
          <w:color w:val="009999" w:themeColor="accent5"/>
        </w:rPr>
        <w:t>m.b.t. financiering OCMW-recuperaties inzake de minimale levering aardgas</w:t>
      </w:r>
      <w:r>
        <w:rPr>
          <w:rFonts w:ascii="Calibri" w:hAnsi="Calibri"/>
          <w:color w:val="009999" w:themeColor="accent5"/>
        </w:rPr>
        <w:t>]</w:t>
      </w:r>
      <w:r w:rsidR="0020429F">
        <w:rPr>
          <w:rStyle w:val="Voetnootmarkering"/>
          <w:rFonts w:ascii="Calibri" w:hAnsi="Calibri"/>
          <w:color w:val="009999" w:themeColor="accent5"/>
        </w:rPr>
        <w:footnoteReference w:id="4"/>
      </w:r>
    </w:p>
    <w:p w14:paraId="1AD46757" w14:textId="77777777" w:rsidR="008E3A41" w:rsidRDefault="008E3A41" w:rsidP="008E3A41">
      <w:pPr>
        <w:numPr>
          <w:ilvl w:val="0"/>
          <w:numId w:val="13"/>
        </w:numPr>
        <w:spacing w:before="0" w:line="240" w:lineRule="auto"/>
        <w:ind w:left="2127" w:hanging="426"/>
        <w:jc w:val="both"/>
        <w:rPr>
          <w:rFonts w:ascii="Calibri" w:hAnsi="Calibri"/>
        </w:rPr>
      </w:pPr>
      <w:r w:rsidRPr="0043072E">
        <w:rPr>
          <w:rFonts w:ascii="Calibri" w:hAnsi="Calibri"/>
        </w:rPr>
        <w:t>Belastingen, heffingen, toeslagen, bijdragen en retributies</w:t>
      </w:r>
    </w:p>
    <w:p w14:paraId="618D3784" w14:textId="77777777" w:rsidR="008E3A41" w:rsidRDefault="008E3A41" w:rsidP="008E3A41">
      <w:pPr>
        <w:numPr>
          <w:ilvl w:val="1"/>
          <w:numId w:val="13"/>
        </w:numPr>
        <w:spacing w:before="0" w:line="240" w:lineRule="auto"/>
        <w:ind w:left="2693" w:hanging="357"/>
        <w:jc w:val="both"/>
        <w:rPr>
          <w:rFonts w:ascii="Calibri" w:hAnsi="Calibri"/>
        </w:rPr>
      </w:pPr>
      <w:r w:rsidRPr="00B86E8A">
        <w:rPr>
          <w:rFonts w:ascii="Calibri" w:hAnsi="Calibri"/>
        </w:rPr>
        <w:t xml:space="preserve">Hierbij moet de distributienetbeheerder </w:t>
      </w:r>
      <w:r>
        <w:rPr>
          <w:rFonts w:ascii="Calibri" w:hAnsi="Calibri"/>
        </w:rPr>
        <w:t xml:space="preserve">voor elke kostenrubriek </w:t>
      </w:r>
      <w:r w:rsidRPr="00B86E8A">
        <w:rPr>
          <w:rFonts w:ascii="Calibri" w:hAnsi="Calibri"/>
        </w:rPr>
        <w:t xml:space="preserve">a.d.h.v. een afzonderlijk verklarende nota een gedetailleerde onderbouw van het ex-ante budget opleveren. Dit geeft de VREG de mogelijkheid om een inzicht te krijgen in de opbouw van de hier, door de distributienetbeheerder, gerapporteerde budgetwaarden. </w:t>
      </w:r>
    </w:p>
    <w:p w14:paraId="0197A4AA" w14:textId="532507B7" w:rsidR="008E3A41" w:rsidRPr="00A14D2B" w:rsidRDefault="008E3A41" w:rsidP="008E3A41">
      <w:pPr>
        <w:numPr>
          <w:ilvl w:val="1"/>
          <w:numId w:val="13"/>
        </w:numPr>
        <w:spacing w:before="0" w:line="240" w:lineRule="auto"/>
        <w:ind w:left="2693" w:hanging="357"/>
        <w:jc w:val="both"/>
        <w:rPr>
          <w:rFonts w:ascii="Calibri" w:hAnsi="Calibri"/>
        </w:rPr>
      </w:pPr>
      <w:r w:rsidRPr="00A14D2B">
        <w:rPr>
          <w:rFonts w:ascii="Calibri" w:hAnsi="Calibri"/>
        </w:rPr>
        <w:t>Bij de rapportering (zowel op ex-ante als ex-post basis) van de rubriek ‘lasten van niet-gekapitaliseerde pensioenen’ moet de distributienetbeheerder de betreffende financiële lasten buiten beschouwing laten. Inzake de rubriek ‘retributies’ moet de distributienetbeheerder bij een nieuwe retributieperiode alle getekende retributiereglementen van de relevante gemeenten aan de VREG bezorgen</w:t>
      </w:r>
      <w:r w:rsidR="007D0A11">
        <w:rPr>
          <w:rFonts w:ascii="Calibri" w:hAnsi="Calibri"/>
        </w:rPr>
        <w:t>, ongeacht het moment van rapportering (ex-ante of ex-post)</w:t>
      </w:r>
      <w:r>
        <w:rPr>
          <w:rFonts w:ascii="Calibri" w:hAnsi="Calibri"/>
        </w:rPr>
        <w:t>.</w:t>
      </w:r>
    </w:p>
    <w:p w14:paraId="0961516C" w14:textId="77777777" w:rsidR="00E12E42" w:rsidRPr="0043072E" w:rsidRDefault="00E12E42" w:rsidP="00E12E42">
      <w:pPr>
        <w:numPr>
          <w:ilvl w:val="0"/>
          <w:numId w:val="13"/>
        </w:numPr>
        <w:spacing w:before="0" w:line="240" w:lineRule="auto"/>
        <w:ind w:left="2127" w:hanging="426"/>
        <w:jc w:val="both"/>
        <w:rPr>
          <w:rFonts w:ascii="Calibri" w:hAnsi="Calibri"/>
        </w:rPr>
      </w:pPr>
      <w:r w:rsidRPr="0043072E">
        <w:rPr>
          <w:rFonts w:ascii="Calibri" w:hAnsi="Calibri"/>
        </w:rPr>
        <w:t>Afbouw regulatoir saldo inzake exogene kosten m.b.t. transmissie</w:t>
      </w:r>
    </w:p>
    <w:p w14:paraId="757D6463" w14:textId="15A89694" w:rsidR="00E12E42" w:rsidRPr="0043072E" w:rsidRDefault="00E12E42" w:rsidP="00E12E42">
      <w:pPr>
        <w:numPr>
          <w:ilvl w:val="1"/>
          <w:numId w:val="13"/>
        </w:numPr>
        <w:spacing w:before="0" w:line="240" w:lineRule="auto"/>
        <w:ind w:left="2694"/>
        <w:jc w:val="both"/>
        <w:rPr>
          <w:rFonts w:ascii="Calibri" w:hAnsi="Calibri"/>
        </w:rPr>
      </w:pPr>
      <w:r w:rsidRPr="0043072E">
        <w:rPr>
          <w:rFonts w:ascii="Calibri" w:hAnsi="Calibri"/>
        </w:rPr>
        <w:t xml:space="preserve">Op basis van de </w:t>
      </w:r>
      <w:r>
        <w:rPr>
          <w:rFonts w:ascii="Calibri" w:hAnsi="Calibri"/>
        </w:rPr>
        <w:t>automatisch berekende</w:t>
      </w:r>
      <w:r w:rsidRPr="0043072E">
        <w:rPr>
          <w:rFonts w:ascii="Calibri" w:hAnsi="Calibri"/>
        </w:rPr>
        <w:t xml:space="preserve"> waarden in ‘tabel 4C’ (cfr paragraaf </w:t>
      </w:r>
      <w:r w:rsidRPr="0043072E">
        <w:rPr>
          <w:rFonts w:ascii="Calibri" w:hAnsi="Calibri"/>
        </w:rPr>
        <w:fldChar w:fldCharType="begin"/>
      </w:r>
      <w:r w:rsidRPr="0043072E">
        <w:rPr>
          <w:rFonts w:ascii="Calibri" w:hAnsi="Calibri"/>
        </w:rPr>
        <w:instrText xml:space="preserve"> REF _Ref445451378 \r \h  \* MERGEFORMAT </w:instrText>
      </w:r>
      <w:r w:rsidRPr="0043072E">
        <w:rPr>
          <w:rFonts w:ascii="Calibri" w:hAnsi="Calibri"/>
        </w:rPr>
      </w:r>
      <w:r w:rsidRPr="0043072E">
        <w:rPr>
          <w:rFonts w:ascii="Calibri" w:hAnsi="Calibri"/>
        </w:rPr>
        <w:fldChar w:fldCharType="separate"/>
      </w:r>
      <w:r w:rsidR="00964FA9">
        <w:rPr>
          <w:rFonts w:ascii="Calibri" w:hAnsi="Calibri"/>
        </w:rPr>
        <w:t>1.1.1.7</w:t>
      </w:r>
      <w:r w:rsidRPr="0043072E">
        <w:rPr>
          <w:rFonts w:ascii="Calibri" w:hAnsi="Calibri"/>
        </w:rPr>
        <w:fldChar w:fldCharType="end"/>
      </w:r>
      <w:r w:rsidRPr="0043072E">
        <w:rPr>
          <w:rFonts w:ascii="Calibri" w:hAnsi="Calibri"/>
        </w:rPr>
        <w:t xml:space="preserve">) worden voor deze rubriek de waarden automatisch aangevuld per tariefcomponent. </w:t>
      </w:r>
    </w:p>
    <w:p w14:paraId="0A8AC570" w14:textId="357233C3" w:rsidR="00FB5984" w:rsidRPr="0043072E" w:rsidRDefault="00FB5984" w:rsidP="00FB5984">
      <w:pPr>
        <w:numPr>
          <w:ilvl w:val="0"/>
          <w:numId w:val="13"/>
        </w:numPr>
        <w:spacing w:before="0" w:line="240" w:lineRule="auto"/>
        <w:ind w:left="2127" w:hanging="426"/>
        <w:jc w:val="both"/>
        <w:rPr>
          <w:rFonts w:ascii="Calibri" w:hAnsi="Calibri"/>
        </w:rPr>
      </w:pPr>
      <w:r w:rsidRPr="0043072E">
        <w:rPr>
          <w:rFonts w:ascii="Calibri" w:hAnsi="Calibri"/>
        </w:rPr>
        <w:t>Kapitaalkostvergoeding voor het regulatoir saldo inzake exogene kosten m.b.t. transmissie</w:t>
      </w:r>
    </w:p>
    <w:p w14:paraId="077B56DF" w14:textId="2110571B" w:rsidR="000D47E5" w:rsidRDefault="000D47E5" w:rsidP="000D47E5">
      <w:pPr>
        <w:numPr>
          <w:ilvl w:val="0"/>
          <w:numId w:val="13"/>
        </w:numPr>
        <w:spacing w:before="0" w:line="240" w:lineRule="auto"/>
        <w:ind w:left="2127" w:hanging="426"/>
        <w:jc w:val="both"/>
        <w:rPr>
          <w:rFonts w:ascii="Calibri" w:hAnsi="Calibri"/>
        </w:rPr>
      </w:pPr>
      <w:r w:rsidRPr="0043072E">
        <w:rPr>
          <w:rFonts w:ascii="Calibri" w:hAnsi="Calibri"/>
        </w:rPr>
        <w:t xml:space="preserve">Kost m.b.t. de door Elia aan de distributienetbeheerder aangerekende vergoeding voor het gebruik van het transmissienet, </w:t>
      </w:r>
      <w:r w:rsidRPr="0043072E">
        <w:rPr>
          <w:rFonts w:ascii="Calibri" w:hAnsi="Calibri"/>
          <w:b/>
        </w:rPr>
        <w:t>exclusief</w:t>
      </w:r>
      <w:r w:rsidRPr="0043072E">
        <w:rPr>
          <w:rFonts w:ascii="Calibri" w:hAnsi="Calibri"/>
        </w:rPr>
        <w:t xml:space="preserve"> de kosten voor federale bijdrage elektriciteit</w:t>
      </w:r>
    </w:p>
    <w:p w14:paraId="3859452F" w14:textId="77777777" w:rsidR="007D7782" w:rsidRDefault="007D7782" w:rsidP="007D7782">
      <w:pPr>
        <w:numPr>
          <w:ilvl w:val="1"/>
          <w:numId w:val="13"/>
        </w:numPr>
        <w:spacing w:before="0" w:line="240" w:lineRule="auto"/>
        <w:ind w:left="2694"/>
        <w:jc w:val="both"/>
        <w:rPr>
          <w:rFonts w:ascii="Calibri" w:hAnsi="Calibri"/>
        </w:rPr>
      </w:pPr>
      <w:r w:rsidRPr="006347A8">
        <w:rPr>
          <w:rFonts w:ascii="Calibri" w:hAnsi="Calibri"/>
        </w:rPr>
        <w:t>De elektriciteitsdistributienetbeheerder dient hierbij per tariefcomponent voor transmissie een afzonderlijke waarde te rapporteren.</w:t>
      </w:r>
    </w:p>
    <w:p w14:paraId="53BFFA2F" w14:textId="748781E1" w:rsidR="007D7782" w:rsidRDefault="007D7782" w:rsidP="007D7782">
      <w:pPr>
        <w:numPr>
          <w:ilvl w:val="1"/>
          <w:numId w:val="13"/>
        </w:numPr>
        <w:spacing w:before="0" w:line="240" w:lineRule="auto"/>
        <w:ind w:left="2694"/>
        <w:jc w:val="both"/>
        <w:rPr>
          <w:rFonts w:ascii="Calibri" w:hAnsi="Calibri"/>
        </w:rPr>
      </w:pPr>
      <w:r>
        <w:rPr>
          <w:rFonts w:ascii="Calibri" w:hAnsi="Calibri"/>
        </w:rPr>
        <w:t>Voor het tarief inzake beheer en ontwikkeling netwerkinfrastructuur wordt een verder</w:t>
      </w:r>
      <w:r w:rsidR="00D257AB">
        <w:rPr>
          <w:rFonts w:ascii="Calibri" w:hAnsi="Calibri"/>
        </w:rPr>
        <w:t>e</w:t>
      </w:r>
      <w:r>
        <w:rPr>
          <w:rFonts w:ascii="Calibri" w:hAnsi="Calibri"/>
        </w:rPr>
        <w:t xml:space="preserve"> opsplitsing van de kosten gevraagd volgens: maandpiek voor afname, jaarpiek voor afname, ter beschikking gesteld vermogen voor afname en aansluitingstarieven. </w:t>
      </w:r>
    </w:p>
    <w:p w14:paraId="0AEA72DD" w14:textId="344AC690" w:rsidR="00671BF4" w:rsidRPr="0043072E" w:rsidRDefault="007D7782" w:rsidP="007D7782">
      <w:pPr>
        <w:numPr>
          <w:ilvl w:val="1"/>
          <w:numId w:val="13"/>
        </w:numPr>
        <w:spacing w:before="0" w:line="240" w:lineRule="auto"/>
        <w:ind w:left="2694"/>
        <w:jc w:val="both"/>
        <w:rPr>
          <w:rFonts w:ascii="Calibri" w:hAnsi="Calibri"/>
        </w:rPr>
      </w:pPr>
      <w:r>
        <w:rPr>
          <w:rFonts w:ascii="Calibri" w:hAnsi="Calibri"/>
        </w:rPr>
        <w:t xml:space="preserve">In het geval er onder een </w:t>
      </w:r>
      <w:r w:rsidR="003572DE">
        <w:rPr>
          <w:rFonts w:ascii="Calibri" w:hAnsi="Calibri"/>
        </w:rPr>
        <w:t xml:space="preserve">eventuele </w:t>
      </w:r>
      <w:r w:rsidR="006A48BA">
        <w:rPr>
          <w:rFonts w:ascii="Calibri" w:hAnsi="Calibri"/>
        </w:rPr>
        <w:t>toekomstige</w:t>
      </w:r>
      <w:r>
        <w:rPr>
          <w:rFonts w:ascii="Calibri" w:hAnsi="Calibri"/>
        </w:rPr>
        <w:t xml:space="preserve"> tariefstructuur voor Elia een bijkomende tariefcomponent zou geïntroduceerd worden, werd de tabel hier reeds op voorzien</w:t>
      </w:r>
      <w:r w:rsidR="006F7B71">
        <w:rPr>
          <w:rFonts w:ascii="Calibri" w:hAnsi="Calibri"/>
        </w:rPr>
        <w:t xml:space="preserve">. </w:t>
      </w:r>
    </w:p>
    <w:p w14:paraId="004DD3CA" w14:textId="44C28C74" w:rsidR="007B50AE" w:rsidRDefault="000D47E5" w:rsidP="000D47E5">
      <w:pPr>
        <w:numPr>
          <w:ilvl w:val="0"/>
          <w:numId w:val="13"/>
        </w:numPr>
        <w:spacing w:before="0" w:line="240" w:lineRule="auto"/>
        <w:ind w:left="2127" w:hanging="426"/>
        <w:jc w:val="both"/>
        <w:rPr>
          <w:rFonts w:ascii="Calibri" w:hAnsi="Calibri"/>
        </w:rPr>
      </w:pPr>
      <w:r w:rsidRPr="007B50AE">
        <w:rPr>
          <w:rFonts w:ascii="Calibri" w:hAnsi="Calibri"/>
        </w:rPr>
        <w:t xml:space="preserve">Kost m.b.t. de door een andere distributienetbeheerder (via doorvoer) aangerekende vergoeding voor het gebruik van het transmissienet, </w:t>
      </w:r>
      <w:r w:rsidRPr="007B50AE">
        <w:rPr>
          <w:rFonts w:ascii="Calibri" w:hAnsi="Calibri"/>
          <w:b/>
        </w:rPr>
        <w:t>exclusief</w:t>
      </w:r>
      <w:r w:rsidRPr="007B50AE">
        <w:rPr>
          <w:rFonts w:ascii="Calibri" w:hAnsi="Calibri"/>
        </w:rPr>
        <w:t xml:space="preserve"> de kosten voor federale bijdrage elektriciteit</w:t>
      </w:r>
      <w:r w:rsidR="007B50AE">
        <w:rPr>
          <w:rFonts w:ascii="Calibri" w:hAnsi="Calibri"/>
        </w:rPr>
        <w:t>.</w:t>
      </w:r>
    </w:p>
    <w:p w14:paraId="6ACE82E9" w14:textId="289F3F58" w:rsidR="000D47E5" w:rsidRPr="007B50AE" w:rsidRDefault="000D47E5" w:rsidP="000D47E5">
      <w:pPr>
        <w:numPr>
          <w:ilvl w:val="0"/>
          <w:numId w:val="13"/>
        </w:numPr>
        <w:spacing w:before="0" w:line="240" w:lineRule="auto"/>
        <w:ind w:left="2127" w:hanging="426"/>
        <w:jc w:val="both"/>
        <w:rPr>
          <w:rFonts w:ascii="Calibri" w:hAnsi="Calibri"/>
        </w:rPr>
      </w:pPr>
      <w:r w:rsidRPr="007B50AE">
        <w:rPr>
          <w:rFonts w:ascii="Calibri" w:hAnsi="Calibri"/>
        </w:rPr>
        <w:t xml:space="preserve">Opbrengst uit de aan een andere distributienetbeheerder (via doorvoer) aangerekende vergoeding voor het gebruik van het transmissienet, </w:t>
      </w:r>
      <w:r w:rsidRPr="007B50AE">
        <w:rPr>
          <w:rFonts w:ascii="Calibri" w:hAnsi="Calibri"/>
          <w:b/>
        </w:rPr>
        <w:t>exclusief</w:t>
      </w:r>
      <w:r w:rsidRPr="007B50AE">
        <w:rPr>
          <w:rFonts w:ascii="Calibri" w:hAnsi="Calibri"/>
        </w:rPr>
        <w:t xml:space="preserve"> de opbrengsten voor federale bijdrage elektriciteit:</w:t>
      </w:r>
    </w:p>
    <w:p w14:paraId="5459DF31" w14:textId="3247D73D" w:rsidR="00291207" w:rsidRDefault="000D47E5" w:rsidP="000D47E5">
      <w:pPr>
        <w:numPr>
          <w:ilvl w:val="1"/>
          <w:numId w:val="13"/>
        </w:numPr>
        <w:spacing w:before="0" w:line="240" w:lineRule="auto"/>
        <w:ind w:left="2694"/>
        <w:jc w:val="both"/>
        <w:rPr>
          <w:rFonts w:ascii="Calibri" w:hAnsi="Calibri"/>
        </w:rPr>
      </w:pPr>
      <w:r w:rsidRPr="0043072E">
        <w:rPr>
          <w:rFonts w:ascii="Calibri" w:hAnsi="Calibri"/>
        </w:rPr>
        <w:t xml:space="preserve">De VREG merkt op dat enkel op ex-ante basis voor deze rubriek een opbrengst in rekening kan worden gebracht. Op ex-post basis wordt deze rubriek namelijk steeds </w:t>
      </w:r>
      <w:r w:rsidR="009817C1" w:rsidRPr="0043072E">
        <w:rPr>
          <w:rFonts w:ascii="Calibri" w:hAnsi="Calibri"/>
        </w:rPr>
        <w:t>gelijkgesteld</w:t>
      </w:r>
      <w:r w:rsidRPr="0043072E">
        <w:rPr>
          <w:rFonts w:ascii="Calibri" w:hAnsi="Calibri"/>
        </w:rPr>
        <w:t xml:space="preserve"> aan 0 EUR aangezien deze opbrengst reeds vervat wordt in de werkelijke </w:t>
      </w:r>
      <w:r w:rsidR="004C5061">
        <w:rPr>
          <w:rFonts w:ascii="Calibri" w:hAnsi="Calibri"/>
        </w:rPr>
        <w:t>opbrengsten</w:t>
      </w:r>
      <w:r w:rsidRPr="0043072E">
        <w:rPr>
          <w:rFonts w:ascii="Calibri" w:hAnsi="Calibri"/>
        </w:rPr>
        <w:t xml:space="preserve"> uit periodieke </w:t>
      </w:r>
      <w:r w:rsidR="00B80DF6">
        <w:rPr>
          <w:rFonts w:ascii="Calibri" w:hAnsi="Calibri"/>
        </w:rPr>
        <w:t>distributie</w:t>
      </w:r>
      <w:r w:rsidRPr="0043072E">
        <w:rPr>
          <w:rFonts w:ascii="Calibri" w:hAnsi="Calibri"/>
        </w:rPr>
        <w:t xml:space="preserve">nettarieven voor exogene kosten m.b.t. </w:t>
      </w:r>
      <w:r w:rsidR="00291207">
        <w:rPr>
          <w:rFonts w:ascii="Calibri" w:hAnsi="Calibri"/>
        </w:rPr>
        <w:lastRenderedPageBreak/>
        <w:t>transmissiekosten</w:t>
      </w:r>
      <w:r w:rsidRPr="0043072E">
        <w:rPr>
          <w:rFonts w:ascii="Calibri" w:hAnsi="Calibri"/>
        </w:rPr>
        <w:t xml:space="preserve"> en dit onderaan de ‘tabel 3’, dewelke op haar beurt wordt afgeleid uit ‘tabel 5C’.</w:t>
      </w:r>
    </w:p>
    <w:p w14:paraId="6B75A806" w14:textId="302BF3FE" w:rsidR="0030418E" w:rsidRPr="0043072E" w:rsidRDefault="00433F5B" w:rsidP="0030418E">
      <w:pPr>
        <w:rPr>
          <w:rFonts w:ascii="Calibri" w:hAnsi="Calibri"/>
        </w:rPr>
      </w:pPr>
      <w:r>
        <w:rPr>
          <w:rFonts w:ascii="Calibri" w:hAnsi="Calibri"/>
        </w:rPr>
        <w:t>Voor de ex-ante rapportering</w:t>
      </w:r>
      <w:r w:rsidR="000D47E5" w:rsidRPr="0043072E">
        <w:rPr>
          <w:rFonts w:ascii="Calibri" w:hAnsi="Calibri"/>
        </w:rPr>
        <w:t xml:space="preserve"> rapporteert de distributienetbeheerder aldus zijn budget voor elk van de betreffende kostenrubrieken voor boekjaar 20</w:t>
      </w:r>
      <w:r>
        <w:rPr>
          <w:rFonts w:ascii="Calibri" w:hAnsi="Calibri"/>
        </w:rPr>
        <w:t>21</w:t>
      </w:r>
      <w:r w:rsidR="000D47E5" w:rsidRPr="0043072E">
        <w:rPr>
          <w:rFonts w:ascii="Calibri" w:hAnsi="Calibri"/>
        </w:rPr>
        <w:t xml:space="preserve">. </w:t>
      </w:r>
      <w:r w:rsidR="0030418E" w:rsidRPr="0043072E">
        <w:rPr>
          <w:rFonts w:ascii="Calibri" w:hAnsi="Calibri"/>
        </w:rPr>
        <w:t>Hier</w:t>
      </w:r>
      <w:r w:rsidR="0030418E">
        <w:rPr>
          <w:rFonts w:ascii="Calibri" w:hAnsi="Calibri"/>
        </w:rPr>
        <w:t>bij</w:t>
      </w:r>
      <w:r w:rsidR="0030418E" w:rsidRPr="0043072E">
        <w:rPr>
          <w:rFonts w:ascii="Calibri" w:hAnsi="Calibri"/>
        </w:rPr>
        <w:t xml:space="preserve"> wordt in ‘kolom </w:t>
      </w:r>
      <w:r w:rsidR="0030418E">
        <w:rPr>
          <w:rFonts w:ascii="Calibri" w:hAnsi="Calibri"/>
        </w:rPr>
        <w:t>H</w:t>
      </w:r>
      <w:r w:rsidR="0030418E" w:rsidRPr="0043072E">
        <w:rPr>
          <w:rFonts w:ascii="Calibri" w:hAnsi="Calibri"/>
        </w:rPr>
        <w:t xml:space="preserve">’ ook aangemerkt voor welke kostenrubrieken de distributienetbeheerder in een afzonderlijke nota een gedetailleerde onderbouwing voor het budget dient op te geven. Dit geeft de VREG de mogelijkheid om een inzicht te krijgen in de opbouw van de hier, door de distributienetbeheerder, gerapporteerde </w:t>
      </w:r>
      <w:r w:rsidR="00204B0A">
        <w:rPr>
          <w:rFonts w:ascii="Calibri" w:hAnsi="Calibri"/>
        </w:rPr>
        <w:t>budget</w:t>
      </w:r>
      <w:r w:rsidR="0030418E" w:rsidRPr="0043072E">
        <w:rPr>
          <w:rFonts w:ascii="Calibri" w:hAnsi="Calibri"/>
        </w:rPr>
        <w:t xml:space="preserve">waarden. </w:t>
      </w:r>
    </w:p>
    <w:p w14:paraId="7652E571" w14:textId="4E49A59A" w:rsidR="00882765" w:rsidRPr="0043072E" w:rsidRDefault="00882765" w:rsidP="00882765">
      <w:pPr>
        <w:rPr>
          <w:rFonts w:ascii="Calibri" w:hAnsi="Calibri"/>
        </w:rPr>
      </w:pPr>
      <w:r>
        <w:rPr>
          <w:rFonts w:ascii="Calibri" w:hAnsi="Calibri"/>
        </w:rPr>
        <w:t>Teneinde uit de ex-post rapportering</w:t>
      </w:r>
      <w:r w:rsidRPr="0043072E">
        <w:rPr>
          <w:rFonts w:ascii="Calibri" w:hAnsi="Calibri"/>
        </w:rPr>
        <w:t xml:space="preserve"> het regulatoir saldo inzake exogene kosten </w:t>
      </w:r>
      <w:r w:rsidR="00FE050A">
        <w:rPr>
          <w:rFonts w:ascii="Calibri" w:hAnsi="Calibri"/>
        </w:rPr>
        <w:t xml:space="preserve">te kunnen afleiden, worden </w:t>
      </w:r>
      <w:r w:rsidRPr="0043072E">
        <w:rPr>
          <w:rFonts w:ascii="Calibri" w:hAnsi="Calibri"/>
        </w:rPr>
        <w:t xml:space="preserve">in deze tabel per tariefcomponent ook de werkelijke </w:t>
      </w:r>
      <w:r w:rsidR="004C5061">
        <w:rPr>
          <w:rFonts w:ascii="Calibri" w:hAnsi="Calibri"/>
        </w:rPr>
        <w:t>opbrengsten</w:t>
      </w:r>
      <w:r w:rsidRPr="0043072E">
        <w:rPr>
          <w:rFonts w:ascii="Calibri" w:hAnsi="Calibri"/>
        </w:rPr>
        <w:t xml:space="preserve"> m.b.t. exogene kosten</w:t>
      </w:r>
      <w:r w:rsidR="00651E13">
        <w:rPr>
          <w:rFonts w:ascii="Calibri" w:hAnsi="Calibri"/>
        </w:rPr>
        <w:t xml:space="preserve"> uit periodieke distributienettarieven</w:t>
      </w:r>
      <w:r w:rsidRPr="0043072E">
        <w:rPr>
          <w:rFonts w:ascii="Calibri" w:hAnsi="Calibri"/>
        </w:rPr>
        <w:t xml:space="preserve"> voor het betreffende boekjaar opgenomen. De werkelijke </w:t>
      </w:r>
      <w:r w:rsidR="004C5061">
        <w:rPr>
          <w:rFonts w:ascii="Calibri" w:hAnsi="Calibri"/>
        </w:rPr>
        <w:t>opbrengsten</w:t>
      </w:r>
      <w:r w:rsidRPr="0043072E">
        <w:rPr>
          <w:rFonts w:ascii="Calibri" w:hAnsi="Calibri"/>
        </w:rPr>
        <w:t xml:space="preserve"> uit de periodieke distributienettarieven voor exogene kosten kunnen eenduidig worden afgeleid uit ‘tabel 5C’ (elektriciteit-afname), ‘tabel 5D’ (elektriciteit-injectie)</w:t>
      </w:r>
      <w:r w:rsidR="00ED1657">
        <w:rPr>
          <w:rFonts w:ascii="Calibri" w:hAnsi="Calibri"/>
        </w:rPr>
        <w:t>,</w:t>
      </w:r>
      <w:r w:rsidRPr="0043072E">
        <w:rPr>
          <w:rFonts w:ascii="Calibri" w:hAnsi="Calibri"/>
        </w:rPr>
        <w:t xml:space="preserve"> ‘tabel 5E’ (gas-afname)</w:t>
      </w:r>
      <w:r w:rsidR="00ED1657">
        <w:rPr>
          <w:rFonts w:ascii="Calibri" w:hAnsi="Calibri"/>
        </w:rPr>
        <w:t xml:space="preserve"> en ‘tabel 5F’ (gas-injectie)</w:t>
      </w:r>
      <w:r w:rsidR="00A26286">
        <w:rPr>
          <w:rFonts w:ascii="Calibri" w:hAnsi="Calibri"/>
        </w:rPr>
        <w:t xml:space="preserve">. </w:t>
      </w:r>
      <w:r w:rsidRPr="0043072E">
        <w:rPr>
          <w:rFonts w:ascii="Calibri" w:hAnsi="Calibri"/>
        </w:rPr>
        <w:t xml:space="preserve">In elk van deze tabellen wordt namelijk zowel het aandeel van de werkelijke </w:t>
      </w:r>
      <w:r w:rsidR="004C5061">
        <w:rPr>
          <w:rFonts w:ascii="Calibri" w:hAnsi="Calibri"/>
        </w:rPr>
        <w:t>opbrengsten</w:t>
      </w:r>
      <w:r w:rsidRPr="0043072E">
        <w:rPr>
          <w:rFonts w:ascii="Calibri" w:hAnsi="Calibri"/>
        </w:rPr>
        <w:t xml:space="preserve"> m.b.t. endogene kosten als het aandeel van de werkelijke </w:t>
      </w:r>
      <w:r w:rsidR="004C5061">
        <w:rPr>
          <w:rFonts w:ascii="Calibri" w:hAnsi="Calibri"/>
        </w:rPr>
        <w:t>opbrengsten</w:t>
      </w:r>
      <w:r w:rsidRPr="0043072E">
        <w:rPr>
          <w:rFonts w:ascii="Calibri" w:hAnsi="Calibri"/>
        </w:rPr>
        <w:t xml:space="preserve"> m.b.t. exogene kosten uit de totale werkelijke </w:t>
      </w:r>
      <w:r w:rsidR="004C5061">
        <w:rPr>
          <w:rFonts w:ascii="Calibri" w:hAnsi="Calibri"/>
        </w:rPr>
        <w:t>opbrengsten</w:t>
      </w:r>
      <w:r w:rsidRPr="0043072E">
        <w:rPr>
          <w:rFonts w:ascii="Calibri" w:hAnsi="Calibri"/>
        </w:rPr>
        <w:t xml:space="preserve"> afgeleid. Voor een meer gedetailleerde bespreking verwijzen we respectievelijk naar paragraaf </w:t>
      </w:r>
      <w:r w:rsidRPr="0043072E">
        <w:rPr>
          <w:rFonts w:ascii="Calibri" w:hAnsi="Calibri"/>
        </w:rPr>
        <w:fldChar w:fldCharType="begin"/>
      </w:r>
      <w:r w:rsidRPr="0043072E">
        <w:rPr>
          <w:rFonts w:ascii="Calibri" w:hAnsi="Calibri"/>
        </w:rPr>
        <w:instrText xml:space="preserve"> REF _Ref449506535 \r \h  \* MERGEFORMAT </w:instrText>
      </w:r>
      <w:r w:rsidRPr="0043072E">
        <w:rPr>
          <w:rFonts w:ascii="Calibri" w:hAnsi="Calibri"/>
        </w:rPr>
      </w:r>
      <w:r w:rsidRPr="0043072E">
        <w:rPr>
          <w:rFonts w:ascii="Calibri" w:hAnsi="Calibri"/>
        </w:rPr>
        <w:fldChar w:fldCharType="separate"/>
      </w:r>
      <w:r w:rsidR="00964FA9">
        <w:rPr>
          <w:rFonts w:ascii="Calibri" w:hAnsi="Calibri"/>
        </w:rPr>
        <w:t>1.1.1.10</w:t>
      </w:r>
      <w:r w:rsidRPr="0043072E">
        <w:rPr>
          <w:rFonts w:ascii="Calibri" w:hAnsi="Calibri"/>
        </w:rPr>
        <w:fldChar w:fldCharType="end"/>
      </w:r>
      <w:r w:rsidRPr="0043072E">
        <w:rPr>
          <w:rFonts w:ascii="Calibri" w:hAnsi="Calibri"/>
        </w:rPr>
        <w:t xml:space="preserve">, paragraaf </w:t>
      </w:r>
      <w:r w:rsidRPr="0043072E">
        <w:rPr>
          <w:rFonts w:ascii="Calibri" w:hAnsi="Calibri"/>
        </w:rPr>
        <w:fldChar w:fldCharType="begin"/>
      </w:r>
      <w:r w:rsidRPr="0043072E">
        <w:rPr>
          <w:rFonts w:ascii="Calibri" w:hAnsi="Calibri"/>
        </w:rPr>
        <w:instrText xml:space="preserve"> REF _Ref392064627 \r \h  \* MERGEFORMAT </w:instrText>
      </w:r>
      <w:r w:rsidRPr="0043072E">
        <w:rPr>
          <w:rFonts w:ascii="Calibri" w:hAnsi="Calibri"/>
        </w:rPr>
      </w:r>
      <w:r w:rsidRPr="0043072E">
        <w:rPr>
          <w:rFonts w:ascii="Calibri" w:hAnsi="Calibri"/>
        </w:rPr>
        <w:fldChar w:fldCharType="separate"/>
      </w:r>
      <w:r w:rsidR="00964FA9">
        <w:rPr>
          <w:rFonts w:ascii="Calibri" w:hAnsi="Calibri"/>
        </w:rPr>
        <w:t>1.1.1.11</w:t>
      </w:r>
      <w:r w:rsidRPr="0043072E">
        <w:rPr>
          <w:rFonts w:ascii="Calibri" w:hAnsi="Calibri"/>
        </w:rPr>
        <w:fldChar w:fldCharType="end"/>
      </w:r>
      <w:r w:rsidR="00ED1657">
        <w:rPr>
          <w:rFonts w:ascii="Calibri" w:hAnsi="Calibri"/>
        </w:rPr>
        <w:t>,</w:t>
      </w:r>
      <w:r w:rsidRPr="0043072E">
        <w:rPr>
          <w:rFonts w:ascii="Calibri" w:hAnsi="Calibri"/>
        </w:rPr>
        <w:t xml:space="preserve"> paragraaf </w:t>
      </w:r>
      <w:r w:rsidRPr="0043072E">
        <w:rPr>
          <w:rFonts w:ascii="Calibri" w:hAnsi="Calibri"/>
        </w:rPr>
        <w:fldChar w:fldCharType="begin"/>
      </w:r>
      <w:r w:rsidRPr="0043072E">
        <w:rPr>
          <w:rFonts w:ascii="Calibri" w:hAnsi="Calibri"/>
        </w:rPr>
        <w:instrText xml:space="preserve"> REF _Ref392064635 \r \h  \* MERGEFORMAT </w:instrText>
      </w:r>
      <w:r w:rsidRPr="0043072E">
        <w:rPr>
          <w:rFonts w:ascii="Calibri" w:hAnsi="Calibri"/>
        </w:rPr>
      </w:r>
      <w:r w:rsidRPr="0043072E">
        <w:rPr>
          <w:rFonts w:ascii="Calibri" w:hAnsi="Calibri"/>
        </w:rPr>
        <w:fldChar w:fldCharType="separate"/>
      </w:r>
      <w:r w:rsidR="00964FA9">
        <w:rPr>
          <w:rFonts w:ascii="Calibri" w:hAnsi="Calibri"/>
        </w:rPr>
        <w:t>1.1.1.12</w:t>
      </w:r>
      <w:r w:rsidRPr="0043072E">
        <w:rPr>
          <w:rFonts w:ascii="Calibri" w:hAnsi="Calibri"/>
        </w:rPr>
        <w:fldChar w:fldCharType="end"/>
      </w:r>
      <w:r w:rsidR="00ED1657">
        <w:rPr>
          <w:rFonts w:ascii="Calibri" w:hAnsi="Calibri"/>
        </w:rPr>
        <w:t xml:space="preserve"> en paragraaf </w:t>
      </w:r>
      <w:r w:rsidR="00ED1657">
        <w:rPr>
          <w:rFonts w:ascii="Calibri" w:hAnsi="Calibri"/>
        </w:rPr>
        <w:fldChar w:fldCharType="begin"/>
      </w:r>
      <w:r w:rsidR="00ED1657">
        <w:rPr>
          <w:rFonts w:ascii="Calibri" w:hAnsi="Calibri"/>
        </w:rPr>
        <w:instrText xml:space="preserve"> REF _Ref38377854 \r \h </w:instrText>
      </w:r>
      <w:r w:rsidR="00ED1657">
        <w:rPr>
          <w:rFonts w:ascii="Calibri" w:hAnsi="Calibri"/>
        </w:rPr>
      </w:r>
      <w:r w:rsidR="00ED1657">
        <w:rPr>
          <w:rFonts w:ascii="Calibri" w:hAnsi="Calibri"/>
        </w:rPr>
        <w:fldChar w:fldCharType="separate"/>
      </w:r>
      <w:r w:rsidR="00964FA9">
        <w:rPr>
          <w:rFonts w:ascii="Calibri" w:hAnsi="Calibri"/>
        </w:rPr>
        <w:t>1.1.1.13</w:t>
      </w:r>
      <w:r w:rsidR="00ED1657">
        <w:rPr>
          <w:rFonts w:ascii="Calibri" w:hAnsi="Calibri"/>
        </w:rPr>
        <w:fldChar w:fldCharType="end"/>
      </w:r>
      <w:r w:rsidRPr="0043072E">
        <w:rPr>
          <w:rFonts w:ascii="Calibri" w:hAnsi="Calibri"/>
        </w:rPr>
        <w:t xml:space="preserve">. </w:t>
      </w:r>
    </w:p>
    <w:p w14:paraId="5B13647F" w14:textId="77777777" w:rsidR="00F434EC" w:rsidRDefault="00882765" w:rsidP="00F434EC">
      <w:pPr>
        <w:rPr>
          <w:rFonts w:ascii="Calibri" w:hAnsi="Calibri"/>
        </w:rPr>
      </w:pPr>
      <w:r w:rsidRPr="0043072E">
        <w:rPr>
          <w:rFonts w:ascii="Calibri" w:hAnsi="Calibri"/>
        </w:rPr>
        <w:t xml:space="preserve">Rekening houdende met de ex-ante gebudgetteerde kosten, de ex-post werkelijke kosten en de ex-post werkelijke </w:t>
      </w:r>
      <w:r w:rsidR="004C5061">
        <w:rPr>
          <w:rFonts w:ascii="Calibri" w:hAnsi="Calibri"/>
        </w:rPr>
        <w:t>opbrengsten</w:t>
      </w:r>
      <w:r w:rsidRPr="0043072E">
        <w:rPr>
          <w:rFonts w:ascii="Calibri" w:hAnsi="Calibri"/>
        </w:rPr>
        <w:t xml:space="preserve"> voor boekjaar 20</w:t>
      </w:r>
      <w:r w:rsidR="004E3DAB">
        <w:rPr>
          <w:rFonts w:ascii="Calibri" w:hAnsi="Calibri"/>
        </w:rPr>
        <w:t>21</w:t>
      </w:r>
      <w:r w:rsidRPr="0043072E">
        <w:rPr>
          <w:rFonts w:ascii="Calibri" w:hAnsi="Calibri"/>
        </w:rPr>
        <w:t xml:space="preserve">, </w:t>
      </w:r>
      <w:r w:rsidR="009F6E88">
        <w:rPr>
          <w:rFonts w:ascii="Calibri" w:hAnsi="Calibri"/>
        </w:rPr>
        <w:t>kan</w:t>
      </w:r>
      <w:r w:rsidRPr="0043072E">
        <w:rPr>
          <w:rFonts w:ascii="Calibri" w:hAnsi="Calibri"/>
        </w:rPr>
        <w:t xml:space="preserve"> het regulatoir saldo inzake exogene kosten </w:t>
      </w:r>
      <w:r>
        <w:rPr>
          <w:rFonts w:ascii="Calibri" w:hAnsi="Calibri"/>
        </w:rPr>
        <w:t>voor boekjaar 20</w:t>
      </w:r>
      <w:r w:rsidR="00804D17">
        <w:rPr>
          <w:rFonts w:ascii="Calibri" w:hAnsi="Calibri"/>
        </w:rPr>
        <w:t>21</w:t>
      </w:r>
      <w:r>
        <w:rPr>
          <w:rFonts w:ascii="Calibri" w:hAnsi="Calibri"/>
        </w:rPr>
        <w:t xml:space="preserve"> </w:t>
      </w:r>
      <w:r w:rsidR="000844A7">
        <w:rPr>
          <w:rFonts w:ascii="Calibri" w:hAnsi="Calibri"/>
        </w:rPr>
        <w:t>worden bepaald</w:t>
      </w:r>
      <w:r>
        <w:rPr>
          <w:rFonts w:ascii="Calibri" w:hAnsi="Calibri"/>
        </w:rPr>
        <w:t xml:space="preserve">. </w:t>
      </w:r>
      <w:r w:rsidR="00F255B6">
        <w:rPr>
          <w:rFonts w:ascii="Calibri" w:hAnsi="Calibri"/>
        </w:rPr>
        <w:t>Merk hierbij op dat in de berekening van het regulatoir saldo per tariefcomponent</w:t>
      </w:r>
      <w:r w:rsidR="00C5444A">
        <w:rPr>
          <w:rFonts w:ascii="Calibri" w:hAnsi="Calibri"/>
        </w:rPr>
        <w:t xml:space="preserve"> onderaan deze tabel</w:t>
      </w:r>
      <w:r w:rsidR="00F255B6">
        <w:rPr>
          <w:rFonts w:ascii="Calibri" w:hAnsi="Calibri"/>
        </w:rPr>
        <w:t xml:space="preserve"> </w:t>
      </w:r>
      <w:r w:rsidR="00F434EC" w:rsidRPr="00EC107B">
        <w:rPr>
          <w:rFonts w:ascii="Calibri" w:hAnsi="Calibri"/>
        </w:rPr>
        <w:t xml:space="preserve">ook rekening wordt gehouden met </w:t>
      </w:r>
      <w:r w:rsidR="00F434EC">
        <w:rPr>
          <w:rFonts w:ascii="Calibri" w:hAnsi="Calibri"/>
        </w:rPr>
        <w:t xml:space="preserve">volgende </w:t>
      </w:r>
      <w:r w:rsidR="00F434EC" w:rsidRPr="00EC107B">
        <w:rPr>
          <w:rFonts w:ascii="Calibri" w:hAnsi="Calibri"/>
        </w:rPr>
        <w:t>methodologische bepaling</w:t>
      </w:r>
      <w:r w:rsidR="00F434EC">
        <w:rPr>
          <w:rFonts w:ascii="Calibri" w:hAnsi="Calibri"/>
        </w:rPr>
        <w:t>en:</w:t>
      </w:r>
    </w:p>
    <w:p w14:paraId="0CDE032B" w14:textId="60C989C4" w:rsidR="00F434EC" w:rsidRDefault="00F434EC" w:rsidP="00F434EC">
      <w:pPr>
        <w:pStyle w:val="Lijstalinea"/>
        <w:numPr>
          <w:ilvl w:val="0"/>
          <w:numId w:val="25"/>
        </w:numPr>
        <w:rPr>
          <w:rFonts w:ascii="Calibri" w:hAnsi="Calibri"/>
        </w:rPr>
      </w:pPr>
      <w:r w:rsidRPr="00DF30EC">
        <w:rPr>
          <w:rFonts w:ascii="Calibri" w:hAnsi="Calibri"/>
        </w:rPr>
        <w:t xml:space="preserve">het regulatoir saldo op de tariefcomponent voor aanrekening van reactieve energie wordt </w:t>
      </w:r>
      <w:r w:rsidR="003D1037">
        <w:rPr>
          <w:rFonts w:ascii="Calibri" w:hAnsi="Calibri"/>
        </w:rPr>
        <w:t xml:space="preserve">vanaf 2021 </w:t>
      </w:r>
      <w:r w:rsidRPr="00DF30EC">
        <w:rPr>
          <w:rFonts w:ascii="Calibri" w:hAnsi="Calibri"/>
        </w:rPr>
        <w:t>afgebouwd via de tariefcomponent voor basistarief gebruik van het net</w:t>
      </w:r>
      <w:r>
        <w:rPr>
          <w:rFonts w:ascii="Calibri" w:hAnsi="Calibri"/>
        </w:rPr>
        <w:t>.</w:t>
      </w:r>
      <w:r w:rsidRPr="00DF30EC">
        <w:rPr>
          <w:rFonts w:ascii="Calibri" w:hAnsi="Calibri"/>
        </w:rPr>
        <w:t xml:space="preserve"> Bijgevolg houdt het regulatoir saldo inzake het </w:t>
      </w:r>
      <w:r w:rsidR="00765E8D">
        <w:rPr>
          <w:rFonts w:ascii="Calibri" w:hAnsi="Calibri"/>
        </w:rPr>
        <w:t xml:space="preserve">basistarief voor het gebruik van het net </w:t>
      </w:r>
      <w:r w:rsidRPr="00DF30EC">
        <w:rPr>
          <w:rFonts w:ascii="Calibri" w:hAnsi="Calibri"/>
        </w:rPr>
        <w:t>voor boekjaar 20</w:t>
      </w:r>
      <w:r w:rsidR="00765E8D">
        <w:rPr>
          <w:rFonts w:ascii="Calibri" w:hAnsi="Calibri"/>
        </w:rPr>
        <w:t>21</w:t>
      </w:r>
      <w:r w:rsidRPr="00DF30EC">
        <w:rPr>
          <w:rFonts w:ascii="Calibri" w:hAnsi="Calibri"/>
        </w:rPr>
        <w:t xml:space="preserve"> ook meteen rekening met het regulatoir saldo inzake het tarief voor reactieve energie</w:t>
      </w:r>
      <w:r>
        <w:rPr>
          <w:rFonts w:ascii="Calibri" w:hAnsi="Calibri"/>
        </w:rPr>
        <w:t>;</w:t>
      </w:r>
    </w:p>
    <w:p w14:paraId="65391443" w14:textId="41F1C437" w:rsidR="00882765" w:rsidRPr="00155216" w:rsidRDefault="00F434EC" w:rsidP="00882765">
      <w:pPr>
        <w:pStyle w:val="Lijstalinea"/>
        <w:numPr>
          <w:ilvl w:val="0"/>
          <w:numId w:val="25"/>
        </w:numPr>
        <w:rPr>
          <w:rFonts w:ascii="Calibri" w:hAnsi="Calibri"/>
        </w:rPr>
      </w:pPr>
      <w:r w:rsidRPr="00155216">
        <w:rPr>
          <w:rFonts w:ascii="Calibri" w:hAnsi="Calibri"/>
        </w:rPr>
        <w:t>het regulatoir saldo op de tariefcomponent inzake databeheer wordt vanaf 2021 afgebouwd via de tariefcomponent voor basistarief gebruik van het net.</w:t>
      </w:r>
      <w:r w:rsidR="00155216" w:rsidRPr="00155216">
        <w:rPr>
          <w:rFonts w:ascii="Calibri" w:hAnsi="Calibri"/>
        </w:rPr>
        <w:t xml:space="preserve"> Bijgevolg houdt het regulatoir saldo inzake het basistarief voor het gebruik van het net voor boekjaar 2021 ook meteen rekening met het regulatoir saldo inzake het tarief databeheer.</w:t>
      </w:r>
    </w:p>
    <w:p w14:paraId="30001FF7" w14:textId="39680C08" w:rsidR="000D47E5" w:rsidRPr="009F04B9" w:rsidRDefault="000D47E5" w:rsidP="000D47E5">
      <w:pPr>
        <w:pStyle w:val="Kop4"/>
      </w:pPr>
      <w:bookmarkStart w:id="21" w:name="_Ref389574923"/>
      <w:bookmarkStart w:id="22" w:name="_Ref445451355"/>
      <w:bookmarkStart w:id="23" w:name="_Toc81512435"/>
      <w:r w:rsidRPr="0043072E">
        <w:t>TABEL 4A: Opvolging regulatoir saldo inzake exogene kosten</w:t>
      </w:r>
      <w:bookmarkEnd w:id="21"/>
      <w:r w:rsidRPr="0043072E">
        <w:t xml:space="preserve"> m.b.t. distributie</w:t>
      </w:r>
      <w:bookmarkEnd w:id="22"/>
      <w:bookmarkEnd w:id="23"/>
    </w:p>
    <w:p w14:paraId="0FD722AC" w14:textId="41651006" w:rsidR="000D47E5" w:rsidRPr="0043072E" w:rsidRDefault="000D47E5" w:rsidP="00836F3C">
      <w:pPr>
        <w:rPr>
          <w:rFonts w:ascii="Calibri" w:hAnsi="Calibri"/>
        </w:rPr>
      </w:pPr>
      <w:r w:rsidRPr="0043072E">
        <w:rPr>
          <w:rFonts w:ascii="Calibri" w:hAnsi="Calibri"/>
        </w:rPr>
        <w:t xml:space="preserve">Zoals reeds in paragraaf </w:t>
      </w:r>
      <w:r w:rsidR="00CF4AA0">
        <w:rPr>
          <w:rFonts w:ascii="Calibri" w:hAnsi="Calibri"/>
        </w:rPr>
        <w:fldChar w:fldCharType="begin"/>
      </w:r>
      <w:r w:rsidR="00CF4AA0">
        <w:rPr>
          <w:rFonts w:ascii="Calibri" w:hAnsi="Calibri"/>
        </w:rPr>
        <w:instrText xml:space="preserve"> REF _Ref38032440 \r \h </w:instrText>
      </w:r>
      <w:r w:rsidR="00CF4AA0">
        <w:rPr>
          <w:rFonts w:ascii="Calibri" w:hAnsi="Calibri"/>
        </w:rPr>
      </w:r>
      <w:r w:rsidR="00CF4AA0">
        <w:rPr>
          <w:rFonts w:ascii="Calibri" w:hAnsi="Calibri"/>
        </w:rPr>
        <w:fldChar w:fldCharType="separate"/>
      </w:r>
      <w:r w:rsidR="00964FA9">
        <w:rPr>
          <w:rFonts w:ascii="Calibri" w:hAnsi="Calibri"/>
        </w:rPr>
        <w:t>1.1.1.4</w:t>
      </w:r>
      <w:r w:rsidR="00CF4AA0">
        <w:rPr>
          <w:rFonts w:ascii="Calibri" w:hAnsi="Calibri"/>
        </w:rPr>
        <w:fldChar w:fldCharType="end"/>
      </w:r>
      <w:r w:rsidRPr="0043072E">
        <w:rPr>
          <w:rFonts w:ascii="Calibri" w:hAnsi="Calibri"/>
        </w:rPr>
        <w:t xml:space="preserve"> aangegeven, volgt er een regulatoir saldo inzake exogene kosten m.b.t. distributie uit het verschil tussen de werkelijke exogene kosten m.b.t. distributie en de </w:t>
      </w:r>
      <w:r w:rsidR="00FA5569" w:rsidRPr="0043072E">
        <w:rPr>
          <w:rFonts w:ascii="Calibri" w:hAnsi="Calibri"/>
        </w:rPr>
        <w:t xml:space="preserve">werkelijke </w:t>
      </w:r>
      <w:r w:rsidR="00FA5569">
        <w:rPr>
          <w:rFonts w:ascii="Calibri" w:hAnsi="Calibri"/>
        </w:rPr>
        <w:t>opbrengsten</w:t>
      </w:r>
      <w:r w:rsidR="00FA5569" w:rsidRPr="0043072E">
        <w:rPr>
          <w:rFonts w:ascii="Calibri" w:hAnsi="Calibri"/>
        </w:rPr>
        <w:t xml:space="preserve"> uit periodieke distributienettarieven voor de exogene kosten</w:t>
      </w:r>
      <w:r w:rsidR="00FA5569">
        <w:rPr>
          <w:rFonts w:ascii="Calibri" w:hAnsi="Calibri"/>
        </w:rPr>
        <w:t xml:space="preserve"> m.b.t. distributie</w:t>
      </w:r>
      <w:r w:rsidR="00C72617">
        <w:rPr>
          <w:rFonts w:ascii="Calibri" w:hAnsi="Calibri"/>
        </w:rPr>
        <w:t xml:space="preserve"> </w:t>
      </w:r>
      <w:r w:rsidRPr="0043072E">
        <w:rPr>
          <w:rFonts w:ascii="Calibri" w:hAnsi="Calibri"/>
        </w:rPr>
        <w:t xml:space="preserve">(gerapporteerd op ex-post basis en jaarlijks af te leiden uit ‘tabel 3’) en dit </w:t>
      </w:r>
      <w:r w:rsidR="00495F10">
        <w:rPr>
          <w:rFonts w:ascii="Calibri" w:hAnsi="Calibri"/>
        </w:rPr>
        <w:t>aangezien</w:t>
      </w:r>
      <w:r w:rsidRPr="0043072E">
        <w:rPr>
          <w:rFonts w:ascii="Calibri" w:hAnsi="Calibri"/>
        </w:rPr>
        <w:t xml:space="preserve"> de periodieke distributienettarieven voor exogene kosten voor het respectievelijke boekjaar worden bepaald op basis van </w:t>
      </w:r>
      <w:r w:rsidR="00CB5975">
        <w:rPr>
          <w:rFonts w:ascii="Calibri" w:hAnsi="Calibri"/>
        </w:rPr>
        <w:t>budget</w:t>
      </w:r>
      <w:r w:rsidRPr="0043072E">
        <w:rPr>
          <w:rFonts w:ascii="Calibri" w:hAnsi="Calibri"/>
        </w:rPr>
        <w:t>waarden. Deze ‘tabel 4A’ laat een jaarlijkse opvolging van dit regulatoir saldo inzake exogene kosten m.b.t. distributie toe. Deze tabel toont enerzijds de saldi inzake exogene kosten m.b.t. distributie die door de VREG werden goedgekeurd (bovenaan) en anderzijds de saldi die door de distributienetbeheerder werden ingeboekt.</w:t>
      </w:r>
    </w:p>
    <w:p w14:paraId="6D49FAC3" w14:textId="592599F5" w:rsidR="00334954" w:rsidRDefault="00334954" w:rsidP="00334954">
      <w:pPr>
        <w:rPr>
          <w:rFonts w:ascii="Calibri" w:hAnsi="Calibri"/>
        </w:rPr>
      </w:pPr>
      <w:r>
        <w:rPr>
          <w:rFonts w:ascii="Calibri" w:hAnsi="Calibri"/>
        </w:rPr>
        <w:lastRenderedPageBreak/>
        <w:t>Op ex-post basis kan de distributienetbeheerder d</w:t>
      </w:r>
      <w:r w:rsidRPr="000C7213">
        <w:rPr>
          <w:rFonts w:ascii="Calibri" w:hAnsi="Calibri"/>
        </w:rPr>
        <w:t>it saldo voor boekjaar 20</w:t>
      </w:r>
      <w:r>
        <w:rPr>
          <w:rFonts w:ascii="Calibri" w:hAnsi="Calibri"/>
        </w:rPr>
        <w:t>XX dus</w:t>
      </w:r>
      <w:r w:rsidRPr="000C7213">
        <w:rPr>
          <w:rFonts w:ascii="Calibri" w:hAnsi="Calibri"/>
        </w:rPr>
        <w:t xml:space="preserve"> eenduidig uit ‘tabel </w:t>
      </w:r>
      <w:r>
        <w:rPr>
          <w:rFonts w:ascii="Calibri" w:hAnsi="Calibri"/>
        </w:rPr>
        <w:t>3</w:t>
      </w:r>
      <w:r w:rsidRPr="000C7213">
        <w:rPr>
          <w:rFonts w:ascii="Calibri" w:hAnsi="Calibri"/>
        </w:rPr>
        <w:t>’ van het betreffende rapporteringsmodel</w:t>
      </w:r>
      <w:r>
        <w:rPr>
          <w:rFonts w:ascii="Calibri" w:hAnsi="Calibri"/>
        </w:rPr>
        <w:t xml:space="preserve"> afleiden</w:t>
      </w:r>
      <w:r w:rsidRPr="000C7213">
        <w:rPr>
          <w:rFonts w:ascii="Calibri" w:hAnsi="Calibri"/>
        </w:rPr>
        <w:t xml:space="preserve">. </w:t>
      </w:r>
      <w:r>
        <w:rPr>
          <w:rFonts w:ascii="Calibri" w:hAnsi="Calibri"/>
        </w:rPr>
        <w:t xml:space="preserve">Ook voor de voorgaande boekjaren rapporteert de distributienetbeheerder de betreffende regulatoire saldi. </w:t>
      </w:r>
    </w:p>
    <w:p w14:paraId="4A25F4DD" w14:textId="77777777" w:rsidR="00334954" w:rsidRPr="0043072E" w:rsidRDefault="00334954" w:rsidP="00334954">
      <w:pPr>
        <w:rPr>
          <w:rFonts w:ascii="Calibri" w:hAnsi="Calibri"/>
        </w:rPr>
      </w:pPr>
      <w:r>
        <w:rPr>
          <w:rFonts w:ascii="Calibri" w:hAnsi="Calibri"/>
        </w:rPr>
        <w:t xml:space="preserve">Op ex-ante basis dient de distributienetbeheerder het regulatoir saldo voor de voorgaande boekjaren te rapporteren. </w:t>
      </w:r>
    </w:p>
    <w:p w14:paraId="61E83239" w14:textId="43D1CD7C" w:rsidR="000D47E5" w:rsidRPr="0043072E" w:rsidRDefault="000D47E5" w:rsidP="00836F3C">
      <w:pPr>
        <w:rPr>
          <w:rFonts w:ascii="Calibri" w:hAnsi="Calibri"/>
        </w:rPr>
      </w:pPr>
      <w:r w:rsidRPr="0043072E">
        <w:rPr>
          <w:rFonts w:ascii="Calibri" w:hAnsi="Calibri"/>
        </w:rPr>
        <w:t xml:space="preserve">Hierbij toont de eerste tabel onder de rubriek ‘Invloed op het resultaat’ het saldo van het boekjaar dat </w:t>
      </w:r>
      <w:r w:rsidR="00EB7216">
        <w:rPr>
          <w:rFonts w:ascii="Calibri" w:hAnsi="Calibri"/>
        </w:rPr>
        <w:t>door de distributienetbeheerder werd</w:t>
      </w:r>
      <w:r w:rsidRPr="0043072E">
        <w:rPr>
          <w:rFonts w:ascii="Calibri" w:hAnsi="Calibri"/>
        </w:rPr>
        <w:t xml:space="preserve"> overgeboekt van de resultatenrekening naar de overlopende rekeningen. Eventuele correcties op dit saldo kunnen nog door de VREG in de daaropvolgende boekja(a)r(en) worden beslist. De volgende tabel onder deze rubriek toont de terugname of afbouw van deze saldi vanuit de overlopende rekeningen op de balans naar de resultatenrekening, </w:t>
      </w:r>
      <w:r w:rsidR="00916E0C" w:rsidRPr="00D66CC2">
        <w:rPr>
          <w:rFonts w:ascii="Calibri" w:hAnsi="Calibri"/>
        </w:rPr>
        <w:t xml:space="preserve">conform de bepalingen in </w:t>
      </w:r>
      <w:r w:rsidR="00916E0C">
        <w:rPr>
          <w:rFonts w:ascii="Calibri" w:hAnsi="Calibri"/>
        </w:rPr>
        <w:t>de huidige en vorige tariefmethodologieën</w:t>
      </w:r>
      <w:r w:rsidRPr="0043072E">
        <w:rPr>
          <w:rFonts w:ascii="Calibri" w:hAnsi="Calibri"/>
        </w:rPr>
        <w:t xml:space="preserve">. </w:t>
      </w:r>
    </w:p>
    <w:p w14:paraId="3C6ADAD4" w14:textId="5C2765E2" w:rsidR="000D47E5" w:rsidRPr="0043072E" w:rsidRDefault="000D47E5" w:rsidP="00836F3C">
      <w:pPr>
        <w:rPr>
          <w:rFonts w:ascii="Calibri" w:hAnsi="Calibri"/>
        </w:rPr>
      </w:pPr>
      <w:r w:rsidRPr="0043072E">
        <w:rPr>
          <w:rFonts w:ascii="Calibri" w:hAnsi="Calibri"/>
        </w:rPr>
        <w:t>De laatste tabel toont de evolutie van de overlopende rekeningen voor een specifiek boekjaar op basis van de boeking en terugname van de sald</w:t>
      </w:r>
      <w:r w:rsidR="009F04B9">
        <w:rPr>
          <w:rFonts w:ascii="Calibri" w:hAnsi="Calibri"/>
        </w:rPr>
        <w:t xml:space="preserve">i in de loop van het boekjaar. </w:t>
      </w:r>
    </w:p>
    <w:p w14:paraId="12BC9296" w14:textId="5504ADDF" w:rsidR="000D47E5" w:rsidRPr="0043072E" w:rsidRDefault="000D47E5" w:rsidP="00836F3C">
      <w:pPr>
        <w:rPr>
          <w:rFonts w:ascii="Calibri" w:hAnsi="Calibri"/>
        </w:rPr>
      </w:pPr>
      <w:r w:rsidRPr="0043072E">
        <w:rPr>
          <w:rFonts w:ascii="Calibri" w:hAnsi="Calibri"/>
        </w:rPr>
        <w:t>Het saldo inzake exogene kosten m.b.t. distributie zal voor boekjaar 20</w:t>
      </w:r>
      <w:r w:rsidR="00C46D61">
        <w:rPr>
          <w:rFonts w:ascii="Calibri" w:hAnsi="Calibri"/>
        </w:rPr>
        <w:t>21</w:t>
      </w:r>
      <w:r w:rsidRPr="0043072E">
        <w:rPr>
          <w:rFonts w:ascii="Calibri" w:hAnsi="Calibri"/>
        </w:rPr>
        <w:t xml:space="preserve"> een negatieve waarde aannemen indien de werkelijke exogene kosten m.b.t. distributie voor boekjaar 20</w:t>
      </w:r>
      <w:r w:rsidR="00C46D61">
        <w:rPr>
          <w:rFonts w:ascii="Calibri" w:hAnsi="Calibri"/>
        </w:rPr>
        <w:t>21</w:t>
      </w:r>
      <w:r w:rsidRPr="0043072E">
        <w:rPr>
          <w:rFonts w:ascii="Calibri" w:hAnsi="Calibri"/>
        </w:rPr>
        <w:t xml:space="preserve"> lager waren dan de werkelijke </w:t>
      </w:r>
      <w:r w:rsidR="004C5061">
        <w:rPr>
          <w:rFonts w:ascii="Calibri" w:hAnsi="Calibri"/>
        </w:rPr>
        <w:t>opbrengsten</w:t>
      </w:r>
      <w:r w:rsidRPr="0043072E">
        <w:rPr>
          <w:rFonts w:ascii="Calibri" w:hAnsi="Calibri"/>
        </w:rPr>
        <w:t xml:space="preserve"> uit periodieke distributienettarieven voor de exogene kosten</w:t>
      </w:r>
      <w:r w:rsidR="00C46D61">
        <w:rPr>
          <w:rFonts w:ascii="Calibri" w:hAnsi="Calibri"/>
        </w:rPr>
        <w:t xml:space="preserve"> m.b.t. distributie</w:t>
      </w:r>
      <w:r w:rsidRPr="0043072E">
        <w:rPr>
          <w:rFonts w:ascii="Calibri" w:hAnsi="Calibri"/>
        </w:rPr>
        <w:t xml:space="preserve"> voor boekjaar 20</w:t>
      </w:r>
      <w:r w:rsidR="00C46D61">
        <w:rPr>
          <w:rFonts w:ascii="Calibri" w:hAnsi="Calibri"/>
        </w:rPr>
        <w:t>21</w:t>
      </w:r>
      <w:r w:rsidRPr="0043072E">
        <w:rPr>
          <w:rFonts w:ascii="Calibri" w:hAnsi="Calibri"/>
        </w:rPr>
        <w:t xml:space="preserve">. In dat geval zullen deze werkelijke </w:t>
      </w:r>
      <w:r w:rsidR="004C5061">
        <w:rPr>
          <w:rFonts w:ascii="Calibri" w:hAnsi="Calibri"/>
        </w:rPr>
        <w:t>opbrengsten</w:t>
      </w:r>
      <w:r w:rsidRPr="0043072E">
        <w:rPr>
          <w:rFonts w:ascii="Calibri" w:hAnsi="Calibri"/>
        </w:rPr>
        <w:t xml:space="preserve"> worden afgeroomd ten bedrage van dit saldo en worden overgeboekt naar de overlopende rekening op het passief. De terugname van dit saldo zal bijgevolg een teruggave van een overschot betekenen en dus ook een verlaging van de toekomstige periodieke distributienettarieven inhouden.</w:t>
      </w:r>
    </w:p>
    <w:p w14:paraId="0E17F8E5" w14:textId="69EFEAF1" w:rsidR="000D47E5" w:rsidRPr="00836F3C" w:rsidRDefault="000D47E5" w:rsidP="00836F3C">
      <w:pPr>
        <w:pStyle w:val="Kop4"/>
      </w:pPr>
      <w:bookmarkStart w:id="24" w:name="_Ref445451467"/>
      <w:bookmarkStart w:id="25" w:name="_Ref421109097"/>
      <w:bookmarkStart w:id="26" w:name="_Ref421175619"/>
      <w:bookmarkStart w:id="27" w:name="_Ref389574952"/>
      <w:r w:rsidRPr="0043072E">
        <w:t xml:space="preserve"> </w:t>
      </w:r>
      <w:bookmarkStart w:id="28" w:name="_Toc81512436"/>
      <w:r w:rsidRPr="0043072E">
        <w:t>TABEL 4B: Overzicht regulatoir saldo inzake exogene kosten m.b.t. distributi</w:t>
      </w:r>
      <w:r w:rsidR="00FD71E7">
        <w:t>e</w:t>
      </w:r>
      <w:r w:rsidRPr="0043072E">
        <w:t xml:space="preserve"> per </w:t>
      </w:r>
      <w:r w:rsidRPr="00D66CC2">
        <w:t>tariefcomponent</w:t>
      </w:r>
      <w:bookmarkEnd w:id="24"/>
      <w:bookmarkEnd w:id="28"/>
    </w:p>
    <w:p w14:paraId="41BC7248" w14:textId="6251B5DD" w:rsidR="000D47E5" w:rsidRPr="00D66CC2" w:rsidRDefault="000D47E5" w:rsidP="00836F3C">
      <w:pPr>
        <w:rPr>
          <w:rFonts w:ascii="Calibri" w:hAnsi="Calibri"/>
        </w:rPr>
      </w:pPr>
      <w:r w:rsidRPr="00D66CC2">
        <w:rPr>
          <w:rFonts w:ascii="Calibri" w:hAnsi="Calibri"/>
        </w:rPr>
        <w:t>Op basis van ‘tabel 3’ kan het regulatoir saldo inzake exogene kosten m.b.t. distributie voor het boekjaar 20</w:t>
      </w:r>
      <w:r w:rsidR="00FD71E7">
        <w:rPr>
          <w:rFonts w:ascii="Calibri" w:hAnsi="Calibri"/>
        </w:rPr>
        <w:t>21</w:t>
      </w:r>
      <w:r w:rsidRPr="00D66CC2">
        <w:rPr>
          <w:rFonts w:ascii="Calibri" w:hAnsi="Calibri"/>
        </w:rPr>
        <w:t xml:space="preserve"> ook worden geïdentificeerd per tariefcomponent. Daarom dient de distributienetbeheerder in deze tabel vooreerst per tariefcomponent een overzicht te geven van de jaarlijks geboekte regulatoire saldi inzake exogene kosten m.b.t. distributie. Het totaalsaldo dient hierbij overeen te komen met de gerapporteerde waarden in ‘tabel 4A’. Vervolgens wordt in de tabel per tariefcomponent automatisch berekend welk gedeelte van het saldo reeds werd afgebouwd op het einde van elk boekjaar </w:t>
      </w:r>
      <w:r w:rsidR="00D961A4">
        <w:rPr>
          <w:rFonts w:ascii="Calibri" w:hAnsi="Calibri"/>
        </w:rPr>
        <w:t>over de periode 2015-202</w:t>
      </w:r>
      <w:r w:rsidR="007D43CD">
        <w:rPr>
          <w:rFonts w:ascii="Calibri" w:hAnsi="Calibri"/>
        </w:rPr>
        <w:t>1</w:t>
      </w:r>
      <w:r w:rsidRPr="00D66CC2">
        <w:rPr>
          <w:rFonts w:ascii="Calibri" w:hAnsi="Calibri"/>
        </w:rPr>
        <w:t xml:space="preserve">. De afbouw van deze saldi gebeurt hierbij conform de bepalingen </w:t>
      </w:r>
      <w:r w:rsidR="006C4CAC">
        <w:rPr>
          <w:rFonts w:ascii="Calibri" w:hAnsi="Calibri"/>
        </w:rPr>
        <w:t>in de huidige en vorige tariefmethodologieën</w:t>
      </w:r>
      <w:r w:rsidRPr="00D66CC2">
        <w:rPr>
          <w:rFonts w:ascii="Calibri" w:hAnsi="Calibri"/>
        </w:rPr>
        <w:t>. Uiteindelijk kunnen op basis van deze waarden de nog af te bouwen saldi per tariefcomponent worden geïdentificeerd waarbij opnieuw een aansluiting wordt gemaakt van het totaal nog af te bouwen saldo met de gerappo</w:t>
      </w:r>
      <w:r w:rsidR="00836F3C">
        <w:rPr>
          <w:rFonts w:ascii="Calibri" w:hAnsi="Calibri"/>
        </w:rPr>
        <w:t xml:space="preserve">rteerde waarden in ‘tabel 4A’. </w:t>
      </w:r>
    </w:p>
    <w:p w14:paraId="30A3F129" w14:textId="0F64979C" w:rsidR="00AA09CB" w:rsidRDefault="00AA09CB" w:rsidP="00AA09CB">
      <w:pPr>
        <w:rPr>
          <w:rFonts w:ascii="Calibri" w:hAnsi="Calibri"/>
        </w:rPr>
      </w:pPr>
      <w:r>
        <w:rPr>
          <w:rFonts w:ascii="Calibri" w:hAnsi="Calibri"/>
        </w:rPr>
        <w:t>Op ex-post basis kan de distributienetbeheerder d</w:t>
      </w:r>
      <w:r w:rsidRPr="000C7213">
        <w:rPr>
          <w:rFonts w:ascii="Calibri" w:hAnsi="Calibri"/>
        </w:rPr>
        <w:t>it saldo voor boekjaar 20</w:t>
      </w:r>
      <w:r>
        <w:rPr>
          <w:rFonts w:ascii="Calibri" w:hAnsi="Calibri"/>
        </w:rPr>
        <w:t>XX dus</w:t>
      </w:r>
      <w:r w:rsidRPr="000C7213">
        <w:rPr>
          <w:rFonts w:ascii="Calibri" w:hAnsi="Calibri"/>
        </w:rPr>
        <w:t xml:space="preserve"> </w:t>
      </w:r>
      <w:r w:rsidR="00210CA1">
        <w:rPr>
          <w:rFonts w:ascii="Calibri" w:hAnsi="Calibri"/>
        </w:rPr>
        <w:t xml:space="preserve">per tariefcomponent </w:t>
      </w:r>
      <w:r w:rsidRPr="000C7213">
        <w:rPr>
          <w:rFonts w:ascii="Calibri" w:hAnsi="Calibri"/>
        </w:rPr>
        <w:t xml:space="preserve">eenduidig uit ‘tabel </w:t>
      </w:r>
      <w:r>
        <w:rPr>
          <w:rFonts w:ascii="Calibri" w:hAnsi="Calibri"/>
        </w:rPr>
        <w:t>3</w:t>
      </w:r>
      <w:r w:rsidRPr="000C7213">
        <w:rPr>
          <w:rFonts w:ascii="Calibri" w:hAnsi="Calibri"/>
        </w:rPr>
        <w:t>’ van het betreffende rapporteringsmodel</w:t>
      </w:r>
      <w:r>
        <w:rPr>
          <w:rFonts w:ascii="Calibri" w:hAnsi="Calibri"/>
        </w:rPr>
        <w:t xml:space="preserve"> afleiden</w:t>
      </w:r>
      <w:r w:rsidRPr="000C7213">
        <w:rPr>
          <w:rFonts w:ascii="Calibri" w:hAnsi="Calibri"/>
        </w:rPr>
        <w:t xml:space="preserve">. </w:t>
      </w:r>
      <w:r>
        <w:rPr>
          <w:rFonts w:ascii="Calibri" w:hAnsi="Calibri"/>
        </w:rPr>
        <w:t>Ook voor de voorgaande boekjaren rapporteert de distributienetbeheerder de betreffende regulatoire saldi</w:t>
      </w:r>
      <w:r w:rsidR="00A528ED">
        <w:rPr>
          <w:rFonts w:ascii="Calibri" w:hAnsi="Calibri"/>
        </w:rPr>
        <w:t xml:space="preserve"> per tariefcomponent</w:t>
      </w:r>
      <w:r>
        <w:rPr>
          <w:rFonts w:ascii="Calibri" w:hAnsi="Calibri"/>
        </w:rPr>
        <w:t>.</w:t>
      </w:r>
      <w:r w:rsidR="00A528ED">
        <w:rPr>
          <w:rFonts w:ascii="Calibri" w:hAnsi="Calibri"/>
        </w:rPr>
        <w:t xml:space="preserve"> </w:t>
      </w:r>
      <w:r>
        <w:rPr>
          <w:rFonts w:ascii="Calibri" w:hAnsi="Calibri"/>
        </w:rPr>
        <w:t xml:space="preserve"> </w:t>
      </w:r>
    </w:p>
    <w:p w14:paraId="567A65E5" w14:textId="1E61BEEA" w:rsidR="00AA09CB" w:rsidRPr="00D66CC2" w:rsidRDefault="00AA09CB" w:rsidP="00AA09CB">
      <w:pPr>
        <w:rPr>
          <w:rFonts w:ascii="Calibri" w:hAnsi="Calibri"/>
        </w:rPr>
      </w:pPr>
      <w:r>
        <w:rPr>
          <w:rFonts w:ascii="Calibri" w:hAnsi="Calibri"/>
        </w:rPr>
        <w:t xml:space="preserve">Op ex-ante basis dient de distributienetbeheerder het regulatoir saldo </w:t>
      </w:r>
      <w:r w:rsidR="00A528ED">
        <w:rPr>
          <w:rFonts w:ascii="Calibri" w:hAnsi="Calibri"/>
        </w:rPr>
        <w:t xml:space="preserve">per tariefcomponent </w:t>
      </w:r>
      <w:r>
        <w:rPr>
          <w:rFonts w:ascii="Calibri" w:hAnsi="Calibri"/>
        </w:rPr>
        <w:t>voor de voorgaande boekjaren te rapporteren.</w:t>
      </w:r>
    </w:p>
    <w:p w14:paraId="429044FD" w14:textId="3BCEE64B" w:rsidR="000D47E5" w:rsidRDefault="000D47E5" w:rsidP="00F90F31">
      <w:pPr>
        <w:rPr>
          <w:rFonts w:ascii="Calibri" w:hAnsi="Calibri"/>
        </w:rPr>
      </w:pPr>
      <w:r w:rsidRPr="00D66CC2">
        <w:rPr>
          <w:rFonts w:ascii="Calibri" w:hAnsi="Calibri"/>
        </w:rPr>
        <w:t>Ten laatste wordt per tariefcomponent</w:t>
      </w:r>
      <w:r w:rsidR="007E133C">
        <w:rPr>
          <w:rFonts w:ascii="Calibri" w:hAnsi="Calibri"/>
        </w:rPr>
        <w:t xml:space="preserve"> </w:t>
      </w:r>
      <w:r w:rsidR="009F3F9A">
        <w:rPr>
          <w:rFonts w:ascii="Calibri" w:hAnsi="Calibri"/>
        </w:rPr>
        <w:t>bepaald welke gedeelte van de regulatoire saldi</w:t>
      </w:r>
      <w:r w:rsidR="000C6EE3">
        <w:rPr>
          <w:rFonts w:ascii="Calibri" w:hAnsi="Calibri"/>
        </w:rPr>
        <w:t xml:space="preserve"> inzake exogene kosten m.b.t. distributie</w:t>
      </w:r>
      <w:r w:rsidR="009F3F9A">
        <w:rPr>
          <w:rFonts w:ascii="Calibri" w:hAnsi="Calibri"/>
        </w:rPr>
        <w:t xml:space="preserve"> in het toegelaten inkomen van het betreffende boekjaar word</w:t>
      </w:r>
      <w:r w:rsidR="00F90F31">
        <w:rPr>
          <w:rFonts w:ascii="Calibri" w:hAnsi="Calibri"/>
        </w:rPr>
        <w:t xml:space="preserve">t </w:t>
      </w:r>
      <w:r w:rsidR="00F90F31">
        <w:rPr>
          <w:rFonts w:ascii="Calibri" w:hAnsi="Calibri"/>
        </w:rPr>
        <w:lastRenderedPageBreak/>
        <w:t xml:space="preserve">afgebouwd. </w:t>
      </w:r>
      <w:r w:rsidRPr="00D66CC2">
        <w:rPr>
          <w:rFonts w:ascii="Calibri" w:hAnsi="Calibri"/>
        </w:rPr>
        <w:t xml:space="preserve">Op basis van deze waarden wordt </w:t>
      </w:r>
      <w:r w:rsidR="00B732D1">
        <w:rPr>
          <w:rFonts w:ascii="Calibri" w:hAnsi="Calibri"/>
        </w:rPr>
        <w:t xml:space="preserve">per tariefcomponent </w:t>
      </w:r>
      <w:r w:rsidRPr="00D66CC2">
        <w:rPr>
          <w:rFonts w:ascii="Calibri" w:hAnsi="Calibri"/>
        </w:rPr>
        <w:t xml:space="preserve">de betreffende rubriek in ‘tabel 3’ automatisch aangevuld. </w:t>
      </w:r>
    </w:p>
    <w:p w14:paraId="01B09959" w14:textId="77777777" w:rsidR="005C4D79" w:rsidRDefault="00C5444A" w:rsidP="005C4D79">
      <w:pPr>
        <w:rPr>
          <w:rFonts w:ascii="Calibri" w:hAnsi="Calibri"/>
        </w:rPr>
      </w:pPr>
      <w:r>
        <w:rPr>
          <w:rFonts w:ascii="Calibri" w:hAnsi="Calibri"/>
        </w:rPr>
        <w:t>Merk hierbij op dat in de berekening van</w:t>
      </w:r>
      <w:r w:rsidR="0012305C">
        <w:rPr>
          <w:rFonts w:ascii="Calibri" w:hAnsi="Calibri"/>
        </w:rPr>
        <w:t xml:space="preserve"> de afbouw van</w:t>
      </w:r>
      <w:r>
        <w:rPr>
          <w:rFonts w:ascii="Calibri" w:hAnsi="Calibri"/>
        </w:rPr>
        <w:t xml:space="preserve"> het regulatoir saldo per tariefcomponent </w:t>
      </w:r>
      <w:r w:rsidR="005C4D79" w:rsidRPr="00EC107B">
        <w:rPr>
          <w:rFonts w:ascii="Calibri" w:hAnsi="Calibri"/>
        </w:rPr>
        <w:t xml:space="preserve">ook rekening wordt gehouden met </w:t>
      </w:r>
      <w:r w:rsidR="005C4D79">
        <w:rPr>
          <w:rFonts w:ascii="Calibri" w:hAnsi="Calibri"/>
        </w:rPr>
        <w:t xml:space="preserve">volgende </w:t>
      </w:r>
      <w:r w:rsidR="005C4D79" w:rsidRPr="00EC107B">
        <w:rPr>
          <w:rFonts w:ascii="Calibri" w:hAnsi="Calibri"/>
        </w:rPr>
        <w:t>methodologische bepaling</w:t>
      </w:r>
      <w:r w:rsidR="005C4D79">
        <w:rPr>
          <w:rFonts w:ascii="Calibri" w:hAnsi="Calibri"/>
        </w:rPr>
        <w:t>en:</w:t>
      </w:r>
    </w:p>
    <w:p w14:paraId="0490A618" w14:textId="2FF60785" w:rsidR="004D4B3E" w:rsidRDefault="005C4D79" w:rsidP="005C4D79">
      <w:pPr>
        <w:pStyle w:val="Lijstalinea"/>
        <w:numPr>
          <w:ilvl w:val="0"/>
          <w:numId w:val="25"/>
        </w:numPr>
        <w:rPr>
          <w:rFonts w:ascii="Calibri" w:hAnsi="Calibri"/>
        </w:rPr>
      </w:pPr>
      <w:r w:rsidRPr="00DF30EC">
        <w:rPr>
          <w:rFonts w:ascii="Calibri" w:hAnsi="Calibri"/>
        </w:rPr>
        <w:t xml:space="preserve">het regulatoir saldo op de tariefcomponent voor aanrekening van reactieve energie wordt </w:t>
      </w:r>
      <w:r w:rsidR="003D1037">
        <w:rPr>
          <w:rFonts w:ascii="Calibri" w:hAnsi="Calibri"/>
        </w:rPr>
        <w:t xml:space="preserve">vanaf 2021 </w:t>
      </w:r>
      <w:r w:rsidRPr="00DF30EC">
        <w:rPr>
          <w:rFonts w:ascii="Calibri" w:hAnsi="Calibri"/>
        </w:rPr>
        <w:t>afgebouwd via de tariefcomponent voor basistarief gebruik van het net</w:t>
      </w:r>
      <w:r>
        <w:rPr>
          <w:rFonts w:ascii="Calibri" w:hAnsi="Calibri"/>
        </w:rPr>
        <w:t>.</w:t>
      </w:r>
      <w:r w:rsidRPr="00DF30EC">
        <w:rPr>
          <w:rFonts w:ascii="Calibri" w:hAnsi="Calibri"/>
        </w:rPr>
        <w:t xml:space="preserve"> Bijgevolg houdt het regulatoir saldo inzake het </w:t>
      </w:r>
      <w:r>
        <w:rPr>
          <w:rFonts w:ascii="Calibri" w:hAnsi="Calibri"/>
        </w:rPr>
        <w:t xml:space="preserve">basistarief voor het gebruik van het net </w:t>
      </w:r>
      <w:r w:rsidRPr="00DF30EC">
        <w:rPr>
          <w:rFonts w:ascii="Calibri" w:hAnsi="Calibri"/>
        </w:rPr>
        <w:t>voor boekjaar 20</w:t>
      </w:r>
      <w:r>
        <w:rPr>
          <w:rFonts w:ascii="Calibri" w:hAnsi="Calibri"/>
        </w:rPr>
        <w:t>21</w:t>
      </w:r>
      <w:r w:rsidRPr="00DF30EC">
        <w:rPr>
          <w:rFonts w:ascii="Calibri" w:hAnsi="Calibri"/>
        </w:rPr>
        <w:t xml:space="preserve"> ook meteen rekening met het regulatoir saldo inzake het tarief voor reactieve energie</w:t>
      </w:r>
      <w:r>
        <w:rPr>
          <w:rFonts w:ascii="Calibri" w:hAnsi="Calibri"/>
        </w:rPr>
        <w:t>;</w:t>
      </w:r>
    </w:p>
    <w:p w14:paraId="29438C55" w14:textId="29F7053C" w:rsidR="00C5444A" w:rsidRPr="004D4B3E" w:rsidRDefault="005C4D79" w:rsidP="005C4D79">
      <w:pPr>
        <w:pStyle w:val="Lijstalinea"/>
        <w:numPr>
          <w:ilvl w:val="0"/>
          <w:numId w:val="25"/>
        </w:numPr>
        <w:rPr>
          <w:rFonts w:ascii="Calibri" w:hAnsi="Calibri"/>
        </w:rPr>
      </w:pPr>
      <w:r w:rsidRPr="004D4B3E">
        <w:rPr>
          <w:rFonts w:ascii="Calibri" w:hAnsi="Calibri"/>
        </w:rPr>
        <w:t>het regulatoir saldo op de tariefcomponent inzake databeheer wordt vanaf 2021 afgebouwd via de tariefcomponent voor basistarief gebruik van het net. Bijgevolg houdt het regulatoir saldo inzake het basistarief voor het gebruik van het net voor boekjaar 2021 ook meteen rekening met het regulatoir saldo inzake het tarief databeheer.</w:t>
      </w:r>
      <w:r w:rsidR="000A5A59" w:rsidRPr="004D4B3E">
        <w:rPr>
          <w:rFonts w:ascii="Calibri" w:hAnsi="Calibri"/>
        </w:rPr>
        <w:t xml:space="preserve"> </w:t>
      </w:r>
    </w:p>
    <w:p w14:paraId="03F235DC" w14:textId="49C7CA06" w:rsidR="000D47E5" w:rsidRPr="00836F3C" w:rsidRDefault="000D47E5" w:rsidP="00836F3C">
      <w:pPr>
        <w:pStyle w:val="Kop4"/>
      </w:pPr>
      <w:bookmarkStart w:id="29" w:name="_Ref445451378"/>
      <w:bookmarkStart w:id="30" w:name="_Toc81512437"/>
      <w:r w:rsidRPr="0043072E">
        <w:t xml:space="preserve">TABEL </w:t>
      </w:r>
      <w:bookmarkEnd w:id="25"/>
      <w:r w:rsidRPr="0043072E">
        <w:t>4C: Opvolging regulatoir saldo inzake exogene</w:t>
      </w:r>
      <w:r>
        <w:t xml:space="preserve"> kosten</w:t>
      </w:r>
      <w:bookmarkEnd w:id="26"/>
      <w:r w:rsidRPr="0043072E">
        <w:t xml:space="preserve"> </w:t>
      </w:r>
      <w:r w:rsidR="004D69FB">
        <w:t xml:space="preserve">m.b.t. transmissie </w:t>
      </w:r>
      <w:r w:rsidRPr="0043072E">
        <w:t>(exclusief federale bijdrage elektriciteit)</w:t>
      </w:r>
      <w:bookmarkEnd w:id="29"/>
      <w:bookmarkEnd w:id="30"/>
    </w:p>
    <w:p w14:paraId="39CEBACB" w14:textId="5DF82A06" w:rsidR="000D47E5" w:rsidRPr="0043072E" w:rsidRDefault="000D47E5" w:rsidP="00836F3C">
      <w:pPr>
        <w:rPr>
          <w:rFonts w:ascii="Calibri" w:hAnsi="Calibri"/>
        </w:rPr>
      </w:pPr>
      <w:r w:rsidRPr="0043072E">
        <w:rPr>
          <w:rFonts w:ascii="Calibri" w:hAnsi="Calibri"/>
        </w:rPr>
        <w:t xml:space="preserve">Zoals reeds in </w:t>
      </w:r>
      <w:r w:rsidR="00946AD2" w:rsidRPr="0043072E">
        <w:rPr>
          <w:rFonts w:ascii="Calibri" w:hAnsi="Calibri"/>
        </w:rPr>
        <w:t xml:space="preserve">paragraaf </w:t>
      </w:r>
      <w:r w:rsidR="00352344">
        <w:rPr>
          <w:rFonts w:ascii="Calibri" w:hAnsi="Calibri"/>
        </w:rPr>
        <w:fldChar w:fldCharType="begin"/>
      </w:r>
      <w:r w:rsidR="00352344">
        <w:rPr>
          <w:rFonts w:ascii="Calibri" w:hAnsi="Calibri"/>
        </w:rPr>
        <w:instrText xml:space="preserve"> REF _Ref38032440 \r \h </w:instrText>
      </w:r>
      <w:r w:rsidR="00352344">
        <w:rPr>
          <w:rFonts w:ascii="Calibri" w:hAnsi="Calibri"/>
        </w:rPr>
      </w:r>
      <w:r w:rsidR="00352344">
        <w:rPr>
          <w:rFonts w:ascii="Calibri" w:hAnsi="Calibri"/>
        </w:rPr>
        <w:fldChar w:fldCharType="separate"/>
      </w:r>
      <w:r w:rsidR="00964FA9">
        <w:rPr>
          <w:rFonts w:ascii="Calibri" w:hAnsi="Calibri"/>
        </w:rPr>
        <w:t>1.1.1.4</w:t>
      </w:r>
      <w:r w:rsidR="00352344">
        <w:rPr>
          <w:rFonts w:ascii="Calibri" w:hAnsi="Calibri"/>
        </w:rPr>
        <w:fldChar w:fldCharType="end"/>
      </w:r>
      <w:r w:rsidR="00352344">
        <w:rPr>
          <w:rFonts w:ascii="Calibri" w:hAnsi="Calibri"/>
        </w:rPr>
        <w:t xml:space="preserve"> </w:t>
      </w:r>
      <w:r w:rsidRPr="0043072E">
        <w:rPr>
          <w:rFonts w:ascii="Calibri" w:hAnsi="Calibri"/>
        </w:rPr>
        <w:t xml:space="preserve">werd aangegeven, volgt er een regulatoir saldo inzake exogene kosten m.b.t. transmissie uit het verschil tussen de werkelijke exogene kosten m.b.t. transmissie en de werkelijke </w:t>
      </w:r>
      <w:r w:rsidR="004C5061">
        <w:rPr>
          <w:rFonts w:ascii="Calibri" w:hAnsi="Calibri"/>
        </w:rPr>
        <w:t>opbrengsten</w:t>
      </w:r>
      <w:r w:rsidRPr="0043072E">
        <w:rPr>
          <w:rFonts w:ascii="Calibri" w:hAnsi="Calibri"/>
        </w:rPr>
        <w:t xml:space="preserve"> m.b.t. </w:t>
      </w:r>
      <w:r w:rsidR="006D56E5">
        <w:rPr>
          <w:rFonts w:ascii="Calibri" w:hAnsi="Calibri"/>
        </w:rPr>
        <w:t>transmissie</w:t>
      </w:r>
      <w:r w:rsidRPr="0043072E">
        <w:rPr>
          <w:rFonts w:ascii="Calibri" w:hAnsi="Calibri"/>
        </w:rPr>
        <w:t xml:space="preserve">, beide exclusief federale bijdrage elektriciteit (gerapporteerd op ex-post basis en jaarlijks af te leiden uit ‘tabel 3’). Uiteraard </w:t>
      </w:r>
      <w:r w:rsidR="006D56E5">
        <w:rPr>
          <w:rFonts w:ascii="Calibri" w:hAnsi="Calibri"/>
        </w:rPr>
        <w:t>is deze tabel enkel van toepassing voor de</w:t>
      </w:r>
      <w:r w:rsidRPr="0043072E">
        <w:rPr>
          <w:rFonts w:ascii="Calibri" w:hAnsi="Calibri"/>
        </w:rPr>
        <w:t xml:space="preserve"> elektriciteitsdistributienetbeheerder. De tabel laat een jaarlijkse opvolging van dit regulatoir saldo toe. </w:t>
      </w:r>
      <w:r w:rsidR="00337FC0" w:rsidRPr="0043072E">
        <w:rPr>
          <w:rFonts w:ascii="Calibri" w:hAnsi="Calibri"/>
        </w:rPr>
        <w:t xml:space="preserve">Deze tabel toont enerzijds de saldi inzake exogene kosten m.b.t. </w:t>
      </w:r>
      <w:r w:rsidR="00755218">
        <w:rPr>
          <w:rFonts w:ascii="Calibri" w:hAnsi="Calibri"/>
        </w:rPr>
        <w:t>transmissie</w:t>
      </w:r>
      <w:r w:rsidR="00337FC0" w:rsidRPr="0043072E">
        <w:rPr>
          <w:rFonts w:ascii="Calibri" w:hAnsi="Calibri"/>
        </w:rPr>
        <w:t xml:space="preserve"> die door de VREG werden goedgekeurd (bovenaan) en anderzijds de saldi die door de distributienetbeheerder werden ingeboekt</w:t>
      </w:r>
      <w:r w:rsidR="00836F3C">
        <w:rPr>
          <w:rFonts w:ascii="Calibri" w:hAnsi="Calibri"/>
        </w:rPr>
        <w:t>.</w:t>
      </w:r>
    </w:p>
    <w:p w14:paraId="30121F80" w14:textId="784C1C12" w:rsidR="00DA1866" w:rsidRDefault="00DA1866" w:rsidP="00DA1866">
      <w:pPr>
        <w:rPr>
          <w:rFonts w:ascii="Calibri" w:hAnsi="Calibri"/>
        </w:rPr>
      </w:pPr>
      <w:r w:rsidRPr="0043072E">
        <w:rPr>
          <w:rFonts w:ascii="Calibri" w:hAnsi="Calibri"/>
        </w:rPr>
        <w:t xml:space="preserve">Hierbij toont de eerste tabel onder de rubriek ‘Invloed op het resultaat’ het saldo van het boekjaar dat </w:t>
      </w:r>
      <w:r>
        <w:rPr>
          <w:rFonts w:ascii="Calibri" w:hAnsi="Calibri"/>
        </w:rPr>
        <w:t>door de distributienetbeheerder werd</w:t>
      </w:r>
      <w:r w:rsidRPr="0043072E">
        <w:rPr>
          <w:rFonts w:ascii="Calibri" w:hAnsi="Calibri"/>
        </w:rPr>
        <w:t xml:space="preserve"> overgeboekt van de resultatenrekening naar de overlopende rekeningen. Eventuele correcties op dit saldo kunnen nog door de VREG in de daaropvolgende boekja(a)r(en) worden beslist. De volgende tabel onder deze rubriek toont de terugname of afbouw van deze saldi vanuit de overlopende rekeningen op de balans naar de resultatenrekening, </w:t>
      </w:r>
      <w:r w:rsidR="00916E0C" w:rsidRPr="00D66CC2">
        <w:rPr>
          <w:rFonts w:ascii="Calibri" w:hAnsi="Calibri"/>
        </w:rPr>
        <w:t xml:space="preserve">conform de bepalingen in </w:t>
      </w:r>
      <w:r w:rsidR="00916E0C">
        <w:rPr>
          <w:rFonts w:ascii="Calibri" w:hAnsi="Calibri"/>
        </w:rPr>
        <w:t>de huidige en vorige tariefmethodologieën</w:t>
      </w:r>
      <w:r w:rsidRPr="0043072E">
        <w:rPr>
          <w:rFonts w:ascii="Calibri" w:hAnsi="Calibri"/>
        </w:rPr>
        <w:t>.</w:t>
      </w:r>
      <w:r w:rsidR="006A1258">
        <w:rPr>
          <w:rFonts w:ascii="Calibri" w:hAnsi="Calibri"/>
        </w:rPr>
        <w:t xml:space="preserve"> Vervolgens wordt</w:t>
      </w:r>
      <w:r w:rsidR="006A1258" w:rsidRPr="0043072E">
        <w:rPr>
          <w:rFonts w:ascii="Calibri" w:hAnsi="Calibri"/>
        </w:rPr>
        <w:t xml:space="preserve"> de evolutie van de overlopende rekeningen voor een specifiek boekjaar op basis van de boeking en terugname van de saldi in de loop van het boekjaar</w:t>
      </w:r>
      <w:r w:rsidR="006A1258">
        <w:rPr>
          <w:rFonts w:ascii="Calibri" w:hAnsi="Calibri"/>
        </w:rPr>
        <w:t xml:space="preserve"> getoond</w:t>
      </w:r>
      <w:r w:rsidR="006A1258" w:rsidRPr="0043072E">
        <w:rPr>
          <w:rFonts w:ascii="Calibri" w:hAnsi="Calibri"/>
        </w:rPr>
        <w:t>.</w:t>
      </w:r>
    </w:p>
    <w:p w14:paraId="14810F55" w14:textId="58F8CC96" w:rsidR="00F95908" w:rsidRPr="0043072E" w:rsidRDefault="00F95908" w:rsidP="00F95908">
      <w:pPr>
        <w:rPr>
          <w:rFonts w:ascii="Calibri" w:hAnsi="Calibri"/>
        </w:rPr>
      </w:pPr>
      <w:r>
        <w:rPr>
          <w:rFonts w:ascii="Calibri" w:hAnsi="Calibri"/>
        </w:rPr>
        <w:t>In de detailberekening inzake de bepaling van het af te bouwen regulatoir saldo wordt onderaan deze tabel eveneens bepaald welk gedeelte van het saldo in het toegelaten inkomen voor het desbetreffende boekjaar in rekening wordt genomen. Op basis van deze waarden, wordt de betreffende rubriek in ‘tabel 3’ automatisch aangevuld.</w:t>
      </w:r>
    </w:p>
    <w:p w14:paraId="114DF799" w14:textId="1D92263C" w:rsidR="000D47E5" w:rsidRDefault="00C46D61" w:rsidP="00836F3C">
      <w:pPr>
        <w:rPr>
          <w:rFonts w:ascii="Calibri" w:hAnsi="Calibri"/>
        </w:rPr>
      </w:pPr>
      <w:r w:rsidRPr="0043072E">
        <w:rPr>
          <w:rFonts w:ascii="Calibri" w:hAnsi="Calibri"/>
        </w:rPr>
        <w:t xml:space="preserve">Het saldo inzake exogene kosten m.b.t. </w:t>
      </w:r>
      <w:r>
        <w:rPr>
          <w:rFonts w:ascii="Calibri" w:hAnsi="Calibri"/>
        </w:rPr>
        <w:t xml:space="preserve">transmissie </w:t>
      </w:r>
      <w:r w:rsidRPr="0043072E">
        <w:rPr>
          <w:rFonts w:ascii="Calibri" w:hAnsi="Calibri"/>
        </w:rPr>
        <w:t>zal voor boekjaar 20</w:t>
      </w:r>
      <w:r>
        <w:rPr>
          <w:rFonts w:ascii="Calibri" w:hAnsi="Calibri"/>
        </w:rPr>
        <w:t>21</w:t>
      </w:r>
      <w:r w:rsidRPr="0043072E">
        <w:rPr>
          <w:rFonts w:ascii="Calibri" w:hAnsi="Calibri"/>
        </w:rPr>
        <w:t xml:space="preserve"> een negatieve waarde aannemen indien de werkelijke exogene kosten m.b.t. </w:t>
      </w:r>
      <w:r w:rsidR="00957425">
        <w:rPr>
          <w:rFonts w:ascii="Calibri" w:hAnsi="Calibri"/>
        </w:rPr>
        <w:t xml:space="preserve">transmissie </w:t>
      </w:r>
      <w:r w:rsidRPr="0043072E">
        <w:rPr>
          <w:rFonts w:ascii="Calibri" w:hAnsi="Calibri"/>
        </w:rPr>
        <w:t>voor boekjaar 20</w:t>
      </w:r>
      <w:r>
        <w:rPr>
          <w:rFonts w:ascii="Calibri" w:hAnsi="Calibri"/>
        </w:rPr>
        <w:t>21</w:t>
      </w:r>
      <w:r w:rsidRPr="0043072E">
        <w:rPr>
          <w:rFonts w:ascii="Calibri" w:hAnsi="Calibri"/>
        </w:rPr>
        <w:t xml:space="preserve"> lager waren dan de werkelijke </w:t>
      </w:r>
      <w:r w:rsidR="004C5061">
        <w:rPr>
          <w:rFonts w:ascii="Calibri" w:hAnsi="Calibri"/>
        </w:rPr>
        <w:t>opbrengsten</w:t>
      </w:r>
      <w:r w:rsidRPr="0043072E">
        <w:rPr>
          <w:rFonts w:ascii="Calibri" w:hAnsi="Calibri"/>
        </w:rPr>
        <w:t xml:space="preserve"> uit </w:t>
      </w:r>
      <w:r w:rsidR="002E1F61">
        <w:rPr>
          <w:rFonts w:ascii="Calibri" w:hAnsi="Calibri"/>
        </w:rPr>
        <w:t>transmissie</w:t>
      </w:r>
      <w:r w:rsidRPr="0043072E">
        <w:rPr>
          <w:rFonts w:ascii="Calibri" w:hAnsi="Calibri"/>
        </w:rPr>
        <w:t xml:space="preserve"> voor boekjaar 20</w:t>
      </w:r>
      <w:r>
        <w:rPr>
          <w:rFonts w:ascii="Calibri" w:hAnsi="Calibri"/>
        </w:rPr>
        <w:t>21</w:t>
      </w:r>
      <w:r w:rsidRPr="0043072E">
        <w:rPr>
          <w:rFonts w:ascii="Calibri" w:hAnsi="Calibri"/>
        </w:rPr>
        <w:t xml:space="preserve">. In dat geval zullen deze werkelijke </w:t>
      </w:r>
      <w:r w:rsidR="004C5061">
        <w:rPr>
          <w:rFonts w:ascii="Calibri" w:hAnsi="Calibri"/>
        </w:rPr>
        <w:t>opbrengsten</w:t>
      </w:r>
      <w:r w:rsidRPr="0043072E">
        <w:rPr>
          <w:rFonts w:ascii="Calibri" w:hAnsi="Calibri"/>
        </w:rPr>
        <w:t xml:space="preserve"> worden afgeroomd ten bedrage van dit saldo en worden overgeboekt naar de overlopende rekening op het passief. De terugname van dit saldo zal bijgevolg een teruggave van een overschot betekenen en dus ook een verlaging van de toekomstige periodieke distributienettarieven inhouden.</w:t>
      </w:r>
    </w:p>
    <w:p w14:paraId="64DFC5BE" w14:textId="47BBA4A0" w:rsidR="004C75DB" w:rsidRDefault="004C75DB" w:rsidP="00836F3C">
      <w:pPr>
        <w:rPr>
          <w:rFonts w:ascii="Calibri" w:hAnsi="Calibri"/>
        </w:rPr>
      </w:pPr>
      <w:r>
        <w:rPr>
          <w:rFonts w:ascii="Calibri" w:hAnsi="Calibri"/>
        </w:rPr>
        <w:lastRenderedPageBreak/>
        <w:t xml:space="preserve">Gegeven de nieuwe tariefstructuur die vanaf </w:t>
      </w:r>
      <w:r w:rsidR="00B83C02">
        <w:rPr>
          <w:rFonts w:ascii="Calibri" w:hAnsi="Calibri"/>
        </w:rPr>
        <w:t>01/01/202</w:t>
      </w:r>
      <w:r w:rsidR="00810064">
        <w:rPr>
          <w:rFonts w:ascii="Calibri" w:hAnsi="Calibri"/>
        </w:rPr>
        <w:t>2</w:t>
      </w:r>
      <w:r>
        <w:rPr>
          <w:rFonts w:ascii="Calibri" w:hAnsi="Calibri"/>
        </w:rPr>
        <w:t xml:space="preserve"> </w:t>
      </w:r>
      <w:r w:rsidR="00562245">
        <w:rPr>
          <w:rFonts w:ascii="Calibri" w:hAnsi="Calibri"/>
        </w:rPr>
        <w:t xml:space="preserve">in voege treedt, wordt </w:t>
      </w:r>
      <w:r w:rsidR="00ED4524">
        <w:rPr>
          <w:rFonts w:ascii="Calibri" w:hAnsi="Calibri"/>
        </w:rPr>
        <w:t xml:space="preserve">het per 31/12/2021 </w:t>
      </w:r>
      <w:r w:rsidR="00501101">
        <w:rPr>
          <w:rFonts w:ascii="Calibri" w:hAnsi="Calibri"/>
        </w:rPr>
        <w:t>nog af te bouwen</w:t>
      </w:r>
      <w:r w:rsidR="00ED4524">
        <w:rPr>
          <w:rFonts w:ascii="Calibri" w:hAnsi="Calibri"/>
        </w:rPr>
        <w:t xml:space="preserve"> regulatoir saldo integraal aan de tariefcomponent ‘netgebruik’ toegewezen. </w:t>
      </w:r>
      <w:r w:rsidR="004E3F3C">
        <w:rPr>
          <w:rFonts w:ascii="Calibri" w:hAnsi="Calibri"/>
        </w:rPr>
        <w:t>Vanaf het boekjaar 2022 is</w:t>
      </w:r>
      <w:r w:rsidR="008B4767">
        <w:rPr>
          <w:rFonts w:ascii="Calibri" w:hAnsi="Calibri"/>
        </w:rPr>
        <w:t>, gegeven de nieuwe tariefstructuur,</w:t>
      </w:r>
      <w:r w:rsidR="004E3F3C">
        <w:rPr>
          <w:rFonts w:ascii="Calibri" w:hAnsi="Calibri"/>
        </w:rPr>
        <w:t xml:space="preserve"> </w:t>
      </w:r>
      <w:r w:rsidR="00415858">
        <w:rPr>
          <w:rFonts w:ascii="Calibri" w:hAnsi="Calibri"/>
        </w:rPr>
        <w:t>een verschillend regulatoir saldo inzake exogene kosten m.b.t. distributie enerzijds en</w:t>
      </w:r>
      <w:r w:rsidR="008C3566">
        <w:rPr>
          <w:rFonts w:ascii="Calibri" w:hAnsi="Calibri"/>
        </w:rPr>
        <w:t xml:space="preserve"> m.b.t.</w:t>
      </w:r>
      <w:r w:rsidR="00415858">
        <w:rPr>
          <w:rFonts w:ascii="Calibri" w:hAnsi="Calibri"/>
        </w:rPr>
        <w:t xml:space="preserve"> transmissie anderzijds </w:t>
      </w:r>
      <w:r w:rsidR="00845195">
        <w:rPr>
          <w:rFonts w:ascii="Calibri" w:hAnsi="Calibri"/>
        </w:rPr>
        <w:t>niet langer pertinent</w:t>
      </w:r>
      <w:r w:rsidR="00415858">
        <w:rPr>
          <w:rFonts w:ascii="Calibri" w:hAnsi="Calibri"/>
        </w:rPr>
        <w:t xml:space="preserve">. </w:t>
      </w:r>
    </w:p>
    <w:p w14:paraId="0188F972" w14:textId="77777777" w:rsidR="00D64EF5" w:rsidRPr="0043072E" w:rsidRDefault="00D64EF5" w:rsidP="00836F3C">
      <w:pPr>
        <w:rPr>
          <w:rFonts w:ascii="Calibri" w:hAnsi="Calibri"/>
        </w:rPr>
      </w:pPr>
    </w:p>
    <w:p w14:paraId="30E58CB3" w14:textId="57CB8ED9" w:rsidR="000D47E5" w:rsidRPr="00836F3C" w:rsidRDefault="000D47E5" w:rsidP="000D47E5">
      <w:pPr>
        <w:pStyle w:val="Kop4"/>
      </w:pPr>
      <w:bookmarkStart w:id="31" w:name="_Toc81512438"/>
      <w:r w:rsidRPr="0043072E">
        <w:t xml:space="preserve">TABEL 5A: Opvolging regulatoir saldo inzake </w:t>
      </w:r>
      <w:bookmarkEnd w:id="27"/>
      <w:r w:rsidR="00C73391">
        <w:t>volumerisico endogeen budget</w:t>
      </w:r>
      <w:bookmarkEnd w:id="31"/>
    </w:p>
    <w:p w14:paraId="28F66984" w14:textId="2C9BF4F1" w:rsidR="000D47E5" w:rsidRDefault="000D47E5" w:rsidP="00836F3C">
      <w:pPr>
        <w:rPr>
          <w:rFonts w:ascii="Calibri" w:hAnsi="Calibri"/>
        </w:rPr>
      </w:pPr>
      <w:r w:rsidRPr="0043072E">
        <w:rPr>
          <w:rFonts w:ascii="Calibri" w:hAnsi="Calibri"/>
        </w:rPr>
        <w:t>Deze tabel laat een jaarlijkse opvolging toe van de saldi inzake volumeverschillen m.b.t. endogene kosten. De tabel toont finaal enerzijds de saldi voor de volumeverschillen zoals ze door de VREG werden goedgekeurd en anderzijds de saldi die door de distributienetbeheerder werden ingeboekt</w:t>
      </w:r>
      <w:r w:rsidR="00836F3C">
        <w:rPr>
          <w:rFonts w:ascii="Calibri" w:hAnsi="Calibri"/>
        </w:rPr>
        <w:t>.</w:t>
      </w:r>
      <w:r w:rsidR="00543103">
        <w:rPr>
          <w:rFonts w:ascii="Calibri" w:hAnsi="Calibri"/>
        </w:rPr>
        <w:t xml:space="preserve"> </w:t>
      </w:r>
    </w:p>
    <w:p w14:paraId="1EF53D55" w14:textId="77777777" w:rsidR="00D64EF5" w:rsidRDefault="0012305C" w:rsidP="00D64EF5">
      <w:pPr>
        <w:rPr>
          <w:rFonts w:ascii="Calibri" w:hAnsi="Calibri"/>
        </w:rPr>
      </w:pPr>
      <w:r>
        <w:rPr>
          <w:rFonts w:ascii="Calibri" w:hAnsi="Calibri"/>
        </w:rPr>
        <w:t xml:space="preserve">Merk hierbij op dat in de berekening van het regulatoir saldo per tariefcomponent </w:t>
      </w:r>
      <w:r w:rsidR="00D64EF5" w:rsidRPr="00EC107B">
        <w:rPr>
          <w:rFonts w:ascii="Calibri" w:hAnsi="Calibri"/>
        </w:rPr>
        <w:t xml:space="preserve">ook rekening wordt gehouden met </w:t>
      </w:r>
      <w:r w:rsidR="00D64EF5">
        <w:rPr>
          <w:rFonts w:ascii="Calibri" w:hAnsi="Calibri"/>
        </w:rPr>
        <w:t xml:space="preserve">volgende </w:t>
      </w:r>
      <w:r w:rsidR="00D64EF5" w:rsidRPr="00EC107B">
        <w:rPr>
          <w:rFonts w:ascii="Calibri" w:hAnsi="Calibri"/>
        </w:rPr>
        <w:t>methodologische bepaling</w:t>
      </w:r>
      <w:r w:rsidR="00D64EF5">
        <w:rPr>
          <w:rFonts w:ascii="Calibri" w:hAnsi="Calibri"/>
        </w:rPr>
        <w:t>en:</w:t>
      </w:r>
    </w:p>
    <w:p w14:paraId="3C4537EB" w14:textId="221F5586" w:rsidR="00D64EF5" w:rsidRDefault="00D64EF5" w:rsidP="00D64EF5">
      <w:pPr>
        <w:pStyle w:val="Lijstalinea"/>
        <w:numPr>
          <w:ilvl w:val="0"/>
          <w:numId w:val="25"/>
        </w:numPr>
        <w:rPr>
          <w:rFonts w:ascii="Calibri" w:hAnsi="Calibri"/>
        </w:rPr>
      </w:pPr>
      <w:r w:rsidRPr="00DF30EC">
        <w:rPr>
          <w:rFonts w:ascii="Calibri" w:hAnsi="Calibri"/>
        </w:rPr>
        <w:t>het regulatoir saldo op de tariefcomponent voor aanrekening van reactieve energie wordt</w:t>
      </w:r>
      <w:r w:rsidR="003D1037">
        <w:rPr>
          <w:rFonts w:ascii="Calibri" w:hAnsi="Calibri"/>
        </w:rPr>
        <w:t xml:space="preserve"> vanaf 2021</w:t>
      </w:r>
      <w:r w:rsidRPr="00DF30EC">
        <w:rPr>
          <w:rFonts w:ascii="Calibri" w:hAnsi="Calibri"/>
        </w:rPr>
        <w:t xml:space="preserve"> afgebouwd via de tariefcomponent voor basistarief gebruik van het net</w:t>
      </w:r>
      <w:r>
        <w:rPr>
          <w:rFonts w:ascii="Calibri" w:hAnsi="Calibri"/>
        </w:rPr>
        <w:t>.</w:t>
      </w:r>
      <w:r w:rsidRPr="00DF30EC">
        <w:rPr>
          <w:rFonts w:ascii="Calibri" w:hAnsi="Calibri"/>
        </w:rPr>
        <w:t xml:space="preserve"> Bijgevolg houdt het regulatoir saldo inzake het </w:t>
      </w:r>
      <w:r>
        <w:rPr>
          <w:rFonts w:ascii="Calibri" w:hAnsi="Calibri"/>
        </w:rPr>
        <w:t xml:space="preserve">basistarief voor het gebruik van het net </w:t>
      </w:r>
      <w:r w:rsidRPr="00DF30EC">
        <w:rPr>
          <w:rFonts w:ascii="Calibri" w:hAnsi="Calibri"/>
        </w:rPr>
        <w:t>voor boekjaar 20</w:t>
      </w:r>
      <w:r>
        <w:rPr>
          <w:rFonts w:ascii="Calibri" w:hAnsi="Calibri"/>
        </w:rPr>
        <w:t>21</w:t>
      </w:r>
      <w:r w:rsidRPr="00DF30EC">
        <w:rPr>
          <w:rFonts w:ascii="Calibri" w:hAnsi="Calibri"/>
        </w:rPr>
        <w:t xml:space="preserve"> ook meteen rekening met het regulatoir saldo inzake het tarief voor reactieve energie</w:t>
      </w:r>
      <w:r>
        <w:rPr>
          <w:rFonts w:ascii="Calibri" w:hAnsi="Calibri"/>
        </w:rPr>
        <w:t>;</w:t>
      </w:r>
    </w:p>
    <w:p w14:paraId="7D7D79F6" w14:textId="1CE31E25" w:rsidR="000C0289" w:rsidRPr="00D64EF5" w:rsidRDefault="00D64EF5" w:rsidP="00D64EF5">
      <w:pPr>
        <w:pStyle w:val="Lijstalinea"/>
        <w:numPr>
          <w:ilvl w:val="0"/>
          <w:numId w:val="25"/>
        </w:numPr>
        <w:rPr>
          <w:rFonts w:ascii="Calibri" w:hAnsi="Calibri"/>
        </w:rPr>
      </w:pPr>
      <w:r w:rsidRPr="00D64EF5">
        <w:rPr>
          <w:rFonts w:ascii="Calibri" w:hAnsi="Calibri"/>
        </w:rPr>
        <w:t>het regulatoir saldo op de tariefcomponent inzake databeheer wordt vanaf 2021 afgebouwd via de tariefcomponent voor basistarief gebruik van het net. Bijgevolg houdt het regulatoir saldo inzake het basistarief voor het gebruik van het net voor boekjaar 2021 ook meteen rekening met het regulatoir saldo inzake het tarief databeheer.</w:t>
      </w:r>
      <w:r w:rsidR="0094196F" w:rsidRPr="0094196F">
        <w:rPr>
          <w:rFonts w:ascii="Calibri" w:hAnsi="Calibri"/>
        </w:rPr>
        <w:t xml:space="preserve"> </w:t>
      </w:r>
      <w:r w:rsidR="0094196F">
        <w:rPr>
          <w:rFonts w:ascii="Calibri" w:hAnsi="Calibri"/>
        </w:rPr>
        <w:t>Merk eveneens op dat vanaf de tariefmethodologie 2021-2024 een dekking van het volumerisico voor het tarief inzake databeheer wordt voorzien, waar dit in de vorige tariefmethodologieën</w:t>
      </w:r>
      <w:r w:rsidR="0094196F">
        <w:rPr>
          <w:rStyle w:val="Voetnootmarkering"/>
          <w:rFonts w:ascii="Calibri" w:hAnsi="Calibri"/>
        </w:rPr>
        <w:footnoteReference w:id="5"/>
      </w:r>
      <w:r w:rsidR="0094196F">
        <w:rPr>
          <w:rFonts w:ascii="Calibri" w:hAnsi="Calibri"/>
        </w:rPr>
        <w:t xml:space="preserve"> niet het geval was.</w:t>
      </w:r>
    </w:p>
    <w:p w14:paraId="3925B436" w14:textId="7B4D2FAF" w:rsidR="000D47E5" w:rsidRPr="0043072E" w:rsidRDefault="000D47E5" w:rsidP="00836F3C">
      <w:pPr>
        <w:rPr>
          <w:rFonts w:ascii="Calibri" w:hAnsi="Calibri"/>
        </w:rPr>
      </w:pPr>
      <w:r w:rsidRPr="0043072E">
        <w:rPr>
          <w:rFonts w:ascii="Calibri" w:hAnsi="Calibri"/>
        </w:rPr>
        <w:t>Teneinde dit saldo op een correcte manier te bepalen, dient de distributienetbeheerder vooreerst op ex-post basis per tariefcomponent het budget endogene kosten</w:t>
      </w:r>
      <w:r w:rsidR="007C45CE">
        <w:rPr>
          <w:rFonts w:ascii="Calibri" w:hAnsi="Calibri"/>
        </w:rPr>
        <w:t xml:space="preserve"> voor het betreffende boekjaar en de voorgaande boekjaren</w:t>
      </w:r>
      <w:r w:rsidRPr="0043072E">
        <w:rPr>
          <w:rFonts w:ascii="Calibri" w:hAnsi="Calibri"/>
        </w:rPr>
        <w:t xml:space="preserve"> te rapporteren. Met het budget endogene kosten wordt het toegelaten inkomen inzake endogene kosten bedoeld zoals dit in ‘tabel 3’ (voor de gereguleerde activiteit ‘elektriciteit’) of ‘tabel 10’ (voor de gereguleerde activiteit ‘gas’) van het tariefvoorstel </w:t>
      </w:r>
      <w:r w:rsidR="00E95BE3">
        <w:rPr>
          <w:rFonts w:ascii="Calibri" w:hAnsi="Calibri"/>
        </w:rPr>
        <w:t xml:space="preserve">voor het betreffende boekjaar </w:t>
      </w:r>
      <w:r w:rsidRPr="0043072E">
        <w:rPr>
          <w:rFonts w:ascii="Calibri" w:hAnsi="Calibri"/>
        </w:rPr>
        <w:t xml:space="preserve">aan elke tariefcomponent werd toegewezen. Een distributienetbeheerder is immers in de mogelijkheid in zijn tariefvoorstel een </w:t>
      </w:r>
      <w:r w:rsidR="00616704">
        <w:rPr>
          <w:rFonts w:ascii="Calibri" w:hAnsi="Calibri"/>
        </w:rPr>
        <w:t xml:space="preserve">endogeen </w:t>
      </w:r>
      <w:r w:rsidRPr="0043072E">
        <w:rPr>
          <w:rFonts w:ascii="Calibri" w:hAnsi="Calibri"/>
        </w:rPr>
        <w:t>budget op te nemen dat lager is dan zijn door de VREG toegelaten inkomen inzake endogene kosten. Indien er in de loop van het jaar meerdere tariefvoorstellen van toepassing zijn geweest, dient voor het budget endogene kosten per tariefcomponent de waarde in rekening worden genomen zoals opgenomen in het laatste tariefvoorstel dat v</w:t>
      </w:r>
      <w:r w:rsidR="00836F3C">
        <w:rPr>
          <w:rFonts w:ascii="Calibri" w:hAnsi="Calibri"/>
        </w:rPr>
        <w:t xml:space="preserve">oor </w:t>
      </w:r>
      <w:r w:rsidR="007E0BCB">
        <w:rPr>
          <w:rFonts w:ascii="Calibri" w:hAnsi="Calibri"/>
        </w:rPr>
        <w:t xml:space="preserve">het </w:t>
      </w:r>
      <w:r w:rsidR="00836F3C">
        <w:rPr>
          <w:rFonts w:ascii="Calibri" w:hAnsi="Calibri"/>
        </w:rPr>
        <w:t>boekjaar is opgemaakt.</w:t>
      </w:r>
    </w:p>
    <w:p w14:paraId="0FAD67C8" w14:textId="56DAD27B" w:rsidR="000D47E5" w:rsidRPr="0043072E" w:rsidRDefault="000D47E5" w:rsidP="00836F3C">
      <w:pPr>
        <w:rPr>
          <w:rFonts w:ascii="Calibri" w:hAnsi="Calibri"/>
        </w:rPr>
      </w:pPr>
      <w:r w:rsidRPr="0043072E">
        <w:rPr>
          <w:rFonts w:ascii="Calibri" w:hAnsi="Calibri"/>
        </w:rPr>
        <w:t xml:space="preserve">Hiernaast dient de distributienetbeheerder op ex-post basis per tariefcomponent de totale werkelijke </w:t>
      </w:r>
      <w:r w:rsidR="004C5061">
        <w:rPr>
          <w:rFonts w:ascii="Calibri" w:hAnsi="Calibri"/>
        </w:rPr>
        <w:t>opbrengsten</w:t>
      </w:r>
      <w:r w:rsidRPr="0043072E">
        <w:rPr>
          <w:rFonts w:ascii="Calibri" w:hAnsi="Calibri"/>
        </w:rPr>
        <w:t xml:space="preserve"> uit periodieke distributienettarieven m.b.t. de endogene kosten</w:t>
      </w:r>
      <w:r w:rsidR="0091523E">
        <w:rPr>
          <w:rFonts w:ascii="Calibri" w:hAnsi="Calibri"/>
        </w:rPr>
        <w:t xml:space="preserve"> voor het betreffende boekjaar</w:t>
      </w:r>
      <w:r w:rsidR="00223E57">
        <w:rPr>
          <w:rFonts w:ascii="Calibri" w:hAnsi="Calibri"/>
        </w:rPr>
        <w:t xml:space="preserve"> en de voorgaande boekjaren</w:t>
      </w:r>
      <w:r w:rsidRPr="0043072E">
        <w:rPr>
          <w:rFonts w:ascii="Calibri" w:hAnsi="Calibri"/>
        </w:rPr>
        <w:t xml:space="preserve"> te rapporteren. De in deze tabel gerapporteerde waarden dienen per tariefcomponent jaarlijks overeen te komen met de voor </w:t>
      </w:r>
      <w:r w:rsidR="0011540F">
        <w:rPr>
          <w:rFonts w:ascii="Calibri" w:hAnsi="Calibri"/>
        </w:rPr>
        <w:t>het betreffende boekjaar</w:t>
      </w:r>
      <w:r w:rsidRPr="0043072E">
        <w:rPr>
          <w:rFonts w:ascii="Calibri" w:hAnsi="Calibri"/>
        </w:rPr>
        <w:t xml:space="preserve"> gerapporteerde </w:t>
      </w:r>
      <w:r w:rsidR="004C5061">
        <w:rPr>
          <w:rFonts w:ascii="Calibri" w:hAnsi="Calibri"/>
        </w:rPr>
        <w:t>opbrengsten</w:t>
      </w:r>
      <w:r w:rsidRPr="0043072E">
        <w:rPr>
          <w:rFonts w:ascii="Calibri" w:hAnsi="Calibri"/>
        </w:rPr>
        <w:t xml:space="preserve"> voor endogene kosten in ‘tabel 5C’ </w:t>
      </w:r>
      <w:r w:rsidRPr="0043072E">
        <w:rPr>
          <w:rFonts w:ascii="Calibri" w:hAnsi="Calibri"/>
        </w:rPr>
        <w:lastRenderedPageBreak/>
        <w:t xml:space="preserve">(elektriciteit - afname) en ‘tabel 5D’ (elektriciteit - injectie) voor de gereguleerde activiteit ‘elektriciteit’ </w:t>
      </w:r>
      <w:r w:rsidR="00DC64E7">
        <w:rPr>
          <w:rFonts w:ascii="Calibri" w:hAnsi="Calibri"/>
        </w:rPr>
        <w:t xml:space="preserve">enerzijds </w:t>
      </w:r>
      <w:r w:rsidRPr="0043072E">
        <w:rPr>
          <w:rFonts w:ascii="Calibri" w:hAnsi="Calibri"/>
        </w:rPr>
        <w:t xml:space="preserve">en ‘tabel 5E’ </w:t>
      </w:r>
      <w:r w:rsidR="00DC64E7">
        <w:rPr>
          <w:rFonts w:ascii="Calibri" w:hAnsi="Calibri"/>
        </w:rPr>
        <w:t xml:space="preserve">(gas – afname) en ‘tabel 5F’ (gas – injectie) </w:t>
      </w:r>
      <w:r w:rsidRPr="0043072E">
        <w:rPr>
          <w:rFonts w:ascii="Calibri" w:hAnsi="Calibri"/>
        </w:rPr>
        <w:t>voor de gereguleerde activiteit ‘gas’</w:t>
      </w:r>
      <w:r w:rsidR="0011540F">
        <w:rPr>
          <w:rFonts w:ascii="Calibri" w:hAnsi="Calibri"/>
        </w:rPr>
        <w:t xml:space="preserve"> anderzijds</w:t>
      </w:r>
      <w:r w:rsidRPr="0043072E">
        <w:rPr>
          <w:rFonts w:ascii="Calibri" w:hAnsi="Calibri"/>
        </w:rPr>
        <w:t>.</w:t>
      </w:r>
      <w:r w:rsidR="00836F3C">
        <w:rPr>
          <w:rFonts w:ascii="Calibri" w:hAnsi="Calibri"/>
        </w:rPr>
        <w:t xml:space="preserve">  </w:t>
      </w:r>
    </w:p>
    <w:p w14:paraId="7B934D4C" w14:textId="51084D04" w:rsidR="000D47E5" w:rsidRDefault="000D47E5" w:rsidP="00836F3C">
      <w:pPr>
        <w:rPr>
          <w:rFonts w:ascii="Calibri" w:hAnsi="Calibri"/>
        </w:rPr>
      </w:pPr>
      <w:r w:rsidRPr="0043072E">
        <w:rPr>
          <w:rFonts w:ascii="Calibri" w:hAnsi="Calibri"/>
        </w:rPr>
        <w:t xml:space="preserve">Het regulatoir saldo dat voortvloeit uit de afwijking van het budget endogene kosten en de hiermee samenhangende werkelijke </w:t>
      </w:r>
      <w:r w:rsidR="004C5061">
        <w:rPr>
          <w:rFonts w:ascii="Calibri" w:hAnsi="Calibri"/>
        </w:rPr>
        <w:t>opbrengsten</w:t>
      </w:r>
      <w:r w:rsidRPr="0043072E">
        <w:rPr>
          <w:rFonts w:ascii="Calibri" w:hAnsi="Calibri"/>
        </w:rPr>
        <w:t xml:space="preserve">, wordt overgeboekt van de resultatenrekening naar de overlopende rekeningen, zoals weergegeven in de eerste tabel onder rubriek ‘Invloed op het resultaat’. Eventuele correcties op dit saldo kunnen nog door de VREG in de daaropvolgende boekja(a)r(en) worden beslist. </w:t>
      </w:r>
    </w:p>
    <w:p w14:paraId="467F81F2" w14:textId="4C606D22" w:rsidR="00E738D4" w:rsidRPr="0043072E" w:rsidRDefault="00E738D4" w:rsidP="00836F3C">
      <w:pPr>
        <w:rPr>
          <w:rFonts w:ascii="Calibri" w:hAnsi="Calibri"/>
        </w:rPr>
      </w:pPr>
      <w:r>
        <w:rPr>
          <w:rFonts w:ascii="Calibri" w:hAnsi="Calibri"/>
        </w:rPr>
        <w:t xml:space="preserve">Op ex-ante basis dient de distributienetbeheerder </w:t>
      </w:r>
      <w:r w:rsidR="0028640C">
        <w:rPr>
          <w:rFonts w:ascii="Calibri" w:hAnsi="Calibri"/>
        </w:rPr>
        <w:t xml:space="preserve">een waarde te rapporteren voor de boekjaren waarvoor door de VREG in de voorgaande jaren reeds een regulatoir saldo werd </w:t>
      </w:r>
      <w:r w:rsidR="00A878BE">
        <w:rPr>
          <w:rFonts w:ascii="Calibri" w:hAnsi="Calibri"/>
        </w:rPr>
        <w:t>beslist</w:t>
      </w:r>
      <w:r w:rsidR="0028640C">
        <w:rPr>
          <w:rFonts w:ascii="Calibri" w:hAnsi="Calibri"/>
        </w:rPr>
        <w:t xml:space="preserve">. </w:t>
      </w:r>
    </w:p>
    <w:p w14:paraId="4A71325D" w14:textId="7325E551" w:rsidR="000D47E5" w:rsidRPr="0043072E" w:rsidRDefault="000D47E5" w:rsidP="00836F3C">
      <w:pPr>
        <w:rPr>
          <w:rFonts w:ascii="Calibri" w:hAnsi="Calibri"/>
        </w:rPr>
      </w:pPr>
      <w:r w:rsidRPr="0043072E">
        <w:rPr>
          <w:rFonts w:ascii="Calibri" w:hAnsi="Calibri"/>
        </w:rPr>
        <w:t xml:space="preserve">De volgende tabel </w:t>
      </w:r>
      <w:r w:rsidR="006F077F">
        <w:rPr>
          <w:rFonts w:ascii="Calibri" w:hAnsi="Calibri"/>
        </w:rPr>
        <w:t xml:space="preserve">onder rubriek ‘Invloed op het resultaat’ </w:t>
      </w:r>
      <w:r w:rsidRPr="0043072E">
        <w:rPr>
          <w:rFonts w:ascii="Calibri" w:hAnsi="Calibri"/>
        </w:rPr>
        <w:t xml:space="preserve">toont de terugname of afbouw van deze saldi vanuit de overlopende rekeningen naar de resultatenrekening, </w:t>
      </w:r>
      <w:r w:rsidR="00916E0C" w:rsidRPr="00D66CC2">
        <w:rPr>
          <w:rFonts w:ascii="Calibri" w:hAnsi="Calibri"/>
        </w:rPr>
        <w:t xml:space="preserve">conform de bepalingen in </w:t>
      </w:r>
      <w:r w:rsidR="00916E0C">
        <w:rPr>
          <w:rFonts w:ascii="Calibri" w:hAnsi="Calibri"/>
        </w:rPr>
        <w:t>de huidige en vorige tariefmethodologieën</w:t>
      </w:r>
      <w:r w:rsidRPr="0043072E">
        <w:rPr>
          <w:rFonts w:ascii="Calibri" w:hAnsi="Calibri"/>
        </w:rPr>
        <w:t>.</w:t>
      </w:r>
      <w:r w:rsidR="00836F3C">
        <w:rPr>
          <w:rFonts w:ascii="Calibri" w:hAnsi="Calibri"/>
        </w:rPr>
        <w:t xml:space="preserve"> </w:t>
      </w:r>
    </w:p>
    <w:p w14:paraId="3EB7075C" w14:textId="3CE0B020" w:rsidR="000D47E5" w:rsidRPr="0043072E" w:rsidRDefault="000D47E5" w:rsidP="00836F3C">
      <w:pPr>
        <w:rPr>
          <w:rFonts w:ascii="Calibri" w:hAnsi="Calibri"/>
        </w:rPr>
      </w:pPr>
      <w:r w:rsidRPr="0043072E">
        <w:rPr>
          <w:rFonts w:ascii="Calibri" w:hAnsi="Calibri"/>
        </w:rPr>
        <w:t>De laatste, onderste tabel toont de evolutie van de overlopende rekeningen voor een specifiek boekjaar op basis van de boeking en terugname van de sal</w:t>
      </w:r>
      <w:r w:rsidR="00836F3C">
        <w:rPr>
          <w:rFonts w:ascii="Calibri" w:hAnsi="Calibri"/>
        </w:rPr>
        <w:t>di in de loop van het boekjaar.</w:t>
      </w:r>
    </w:p>
    <w:p w14:paraId="7F3D0D5A" w14:textId="6DFFCD5E" w:rsidR="000D47E5" w:rsidRPr="00836F3C" w:rsidRDefault="000D47E5" w:rsidP="00836F3C">
      <w:pPr>
        <w:rPr>
          <w:rFonts w:ascii="Calibri" w:hAnsi="Calibri"/>
        </w:rPr>
      </w:pPr>
      <w:r w:rsidRPr="0043072E">
        <w:rPr>
          <w:rFonts w:ascii="Calibri" w:hAnsi="Calibri"/>
        </w:rPr>
        <w:t>Het regulatoir saldo m.b.t. volumeverschillen voor endogene kosten</w:t>
      </w:r>
      <w:r w:rsidR="00AD5570">
        <w:rPr>
          <w:rFonts w:ascii="Calibri" w:hAnsi="Calibri"/>
        </w:rPr>
        <w:t xml:space="preserve"> </w:t>
      </w:r>
      <w:r w:rsidRPr="0043072E">
        <w:rPr>
          <w:rFonts w:ascii="Calibri" w:hAnsi="Calibri"/>
        </w:rPr>
        <w:t xml:space="preserve">zal een negatieve waarde aannemen indien het betreffende budget endogene kosten lager was dan de betreffende werkelijke </w:t>
      </w:r>
      <w:r w:rsidR="004C5061">
        <w:rPr>
          <w:rFonts w:ascii="Calibri" w:hAnsi="Calibri"/>
        </w:rPr>
        <w:t>opbrengsten</w:t>
      </w:r>
      <w:r w:rsidRPr="0043072E">
        <w:rPr>
          <w:rFonts w:ascii="Calibri" w:hAnsi="Calibri"/>
        </w:rPr>
        <w:t xml:space="preserve">. In dat geval zullen de werkelijke </w:t>
      </w:r>
      <w:r w:rsidR="004C5061">
        <w:rPr>
          <w:rFonts w:ascii="Calibri" w:hAnsi="Calibri"/>
        </w:rPr>
        <w:t>opbrengsten</w:t>
      </w:r>
      <w:r w:rsidRPr="0043072E">
        <w:rPr>
          <w:rFonts w:ascii="Calibri" w:hAnsi="Calibri"/>
        </w:rPr>
        <w:t xml:space="preserve"> worden afgeroomd ten bedrage van dit saldo en worden overgeboekt naar de overlopende rekening op het passief. De </w:t>
      </w:r>
      <w:r w:rsidRPr="00D66CC2">
        <w:rPr>
          <w:rFonts w:ascii="Calibri" w:hAnsi="Calibri"/>
        </w:rPr>
        <w:t>terugname van dit saldo zal bijgevolg een teruggave van een overschot betekenen en dus ook een verlaging van de toekomstige periodieke distributienet</w:t>
      </w:r>
      <w:r w:rsidR="00836F3C">
        <w:rPr>
          <w:rFonts w:ascii="Calibri" w:hAnsi="Calibri"/>
        </w:rPr>
        <w:t>tarieven inhouden.</w:t>
      </w:r>
    </w:p>
    <w:p w14:paraId="0F70C249" w14:textId="14E769E7" w:rsidR="000D47E5" w:rsidRPr="00836F3C" w:rsidRDefault="000D47E5" w:rsidP="00836F3C">
      <w:pPr>
        <w:pStyle w:val="Kop4"/>
      </w:pPr>
      <w:bookmarkStart w:id="32" w:name="_Ref445451556"/>
      <w:bookmarkStart w:id="33" w:name="_Toc81512439"/>
      <w:bookmarkStart w:id="34" w:name="_Ref389575081"/>
      <w:r w:rsidRPr="00D66CC2">
        <w:t xml:space="preserve">TABEL 5B: Overzicht regulatoir saldo </w:t>
      </w:r>
      <w:bookmarkEnd w:id="32"/>
      <w:r w:rsidR="00CD6882">
        <w:t>inzake volumerisico endogeen budget per tariefcomponent</w:t>
      </w:r>
      <w:bookmarkEnd w:id="33"/>
    </w:p>
    <w:p w14:paraId="73DA318C" w14:textId="15ECBA12" w:rsidR="000D47E5" w:rsidRPr="00D66CC2" w:rsidRDefault="000D47E5" w:rsidP="00836F3C">
      <w:pPr>
        <w:rPr>
          <w:rFonts w:ascii="Calibri" w:hAnsi="Calibri"/>
        </w:rPr>
      </w:pPr>
      <w:r w:rsidRPr="00D66CC2">
        <w:rPr>
          <w:rFonts w:ascii="Calibri" w:hAnsi="Calibri"/>
        </w:rPr>
        <w:t xml:space="preserve">Op basis van de gerapporteerde waarden per tariefcomponent in ‘tabel 5A’ kan het regulatoir saldo inzake volumeverschillen ook </w:t>
      </w:r>
      <w:r w:rsidR="00123CA8">
        <w:rPr>
          <w:rFonts w:ascii="Calibri" w:hAnsi="Calibri"/>
        </w:rPr>
        <w:t xml:space="preserve">per tariefcomponent </w:t>
      </w:r>
      <w:r w:rsidRPr="00D66CC2">
        <w:rPr>
          <w:rFonts w:ascii="Calibri" w:hAnsi="Calibri"/>
        </w:rPr>
        <w:t>worden geïdentificeerd. Daarom wordt in deze tabel vooreerst automatisch een overzicht gegeven van de jaarlijks geboekte regulatoire saldi</w:t>
      </w:r>
      <w:r w:rsidR="002E0576">
        <w:rPr>
          <w:rFonts w:ascii="Calibri" w:hAnsi="Calibri"/>
        </w:rPr>
        <w:t xml:space="preserve"> </w:t>
      </w:r>
      <w:r w:rsidR="002E0576" w:rsidRPr="00D66CC2">
        <w:rPr>
          <w:rFonts w:ascii="Calibri" w:hAnsi="Calibri"/>
        </w:rPr>
        <w:t>per tariefcomponent</w:t>
      </w:r>
      <w:r w:rsidRPr="00D66CC2">
        <w:rPr>
          <w:rFonts w:ascii="Calibri" w:hAnsi="Calibri"/>
        </w:rPr>
        <w:t xml:space="preserve">. </w:t>
      </w:r>
    </w:p>
    <w:p w14:paraId="1E4652A1" w14:textId="5DE10C59" w:rsidR="000D47E5" w:rsidRPr="00D66CC2" w:rsidRDefault="000D47E5" w:rsidP="00836F3C">
      <w:pPr>
        <w:rPr>
          <w:rFonts w:ascii="Calibri" w:hAnsi="Calibri"/>
        </w:rPr>
      </w:pPr>
      <w:r w:rsidRPr="00D66CC2">
        <w:rPr>
          <w:rFonts w:ascii="Calibri" w:hAnsi="Calibri"/>
        </w:rPr>
        <w:t xml:space="preserve">Vervolgens wordt in de tabel per tariefcomponent automatisch berekend welk gedeelte van het saldo reeds werd afgebouwd op het einde van elk boekjaar </w:t>
      </w:r>
      <w:r w:rsidR="00D740C7">
        <w:rPr>
          <w:rFonts w:ascii="Calibri" w:hAnsi="Calibri"/>
        </w:rPr>
        <w:t>over de periode 2015-202</w:t>
      </w:r>
      <w:r w:rsidR="007D43CD">
        <w:rPr>
          <w:rFonts w:ascii="Calibri" w:hAnsi="Calibri"/>
        </w:rPr>
        <w:t>1</w:t>
      </w:r>
      <w:r w:rsidRPr="00D66CC2">
        <w:rPr>
          <w:rFonts w:ascii="Calibri" w:hAnsi="Calibri"/>
        </w:rPr>
        <w:t xml:space="preserve">. De afbouw van deze saldi gebeurt hierbij conform de bepalingen in </w:t>
      </w:r>
      <w:r w:rsidR="00916E0C">
        <w:rPr>
          <w:rFonts w:ascii="Calibri" w:hAnsi="Calibri"/>
        </w:rPr>
        <w:t>de huidige en vorige tariefmethodologieën</w:t>
      </w:r>
      <w:r w:rsidRPr="00D66CC2">
        <w:rPr>
          <w:rFonts w:ascii="Calibri" w:hAnsi="Calibri"/>
        </w:rPr>
        <w:t>. Uiteindelijk kunnen op basis van deze waarden de nog af te bouwen saldi per tariefcomponent worden geïdentificeerd waarbij opnieuw een aansluiting wordt gemaakt van het totaal nog af te bouwen saldo met de gerapporteerde waarden in ‘t</w:t>
      </w:r>
      <w:r w:rsidR="00836F3C">
        <w:rPr>
          <w:rFonts w:ascii="Calibri" w:hAnsi="Calibri"/>
        </w:rPr>
        <w:t xml:space="preserve">abel 5A’. </w:t>
      </w:r>
    </w:p>
    <w:p w14:paraId="4F1A6214" w14:textId="0E7B470F" w:rsidR="000D47E5" w:rsidRPr="00D644C5" w:rsidRDefault="000D47E5" w:rsidP="00836F3C">
      <w:pPr>
        <w:rPr>
          <w:rFonts w:ascii="Calibri" w:hAnsi="Calibri"/>
        </w:rPr>
      </w:pPr>
      <w:r w:rsidRPr="00D66CC2">
        <w:rPr>
          <w:rFonts w:ascii="Calibri" w:hAnsi="Calibri"/>
        </w:rPr>
        <w:t xml:space="preserve">Ten laatste wordt per tariefcomponent </w:t>
      </w:r>
      <w:r w:rsidR="00403930">
        <w:rPr>
          <w:rFonts w:ascii="Calibri" w:hAnsi="Calibri"/>
        </w:rPr>
        <w:t xml:space="preserve">bepaald welk gedeelte van de regulatoire saldi inzake volumeverschillen endogeen budget in het toegelaten inkomen van het betreffende boekjaar </w:t>
      </w:r>
      <w:r w:rsidR="00403930" w:rsidRPr="00D644C5">
        <w:rPr>
          <w:rFonts w:ascii="Calibri" w:hAnsi="Calibri"/>
        </w:rPr>
        <w:t xml:space="preserve">wordt afgebouwd. </w:t>
      </w:r>
      <w:r w:rsidRPr="00D644C5">
        <w:rPr>
          <w:rFonts w:ascii="Calibri" w:hAnsi="Calibri"/>
        </w:rPr>
        <w:t xml:space="preserve">Op basis van deze waarden wordt </w:t>
      </w:r>
      <w:r w:rsidR="00A40D59">
        <w:rPr>
          <w:rFonts w:ascii="Calibri" w:hAnsi="Calibri"/>
        </w:rPr>
        <w:t xml:space="preserve">per tariefcomponent </w:t>
      </w:r>
      <w:r w:rsidRPr="00D644C5">
        <w:rPr>
          <w:rFonts w:ascii="Calibri" w:hAnsi="Calibri"/>
        </w:rPr>
        <w:t xml:space="preserve">de betreffende rubriek in ‘tabel 3’ automatisch aangevuld. </w:t>
      </w:r>
      <w:bookmarkStart w:id="35" w:name="_Ref392064614"/>
      <w:bookmarkStart w:id="36" w:name="_Ref389662375"/>
    </w:p>
    <w:p w14:paraId="7AE54047" w14:textId="37945011" w:rsidR="00DD5B7B" w:rsidRDefault="002E0576" w:rsidP="00DD5B7B">
      <w:pPr>
        <w:rPr>
          <w:rFonts w:ascii="Calibri" w:hAnsi="Calibri"/>
        </w:rPr>
      </w:pPr>
      <w:r w:rsidRPr="00D644C5">
        <w:rPr>
          <w:rFonts w:ascii="Calibri" w:hAnsi="Calibri"/>
        </w:rPr>
        <w:t xml:space="preserve">Merk </w:t>
      </w:r>
      <w:r w:rsidR="00B75906" w:rsidRPr="00D644C5">
        <w:rPr>
          <w:rFonts w:ascii="Calibri" w:hAnsi="Calibri"/>
        </w:rPr>
        <w:t xml:space="preserve">ook hier </w:t>
      </w:r>
      <w:r w:rsidRPr="00D644C5">
        <w:rPr>
          <w:rFonts w:ascii="Calibri" w:hAnsi="Calibri"/>
        </w:rPr>
        <w:t xml:space="preserve">op dat in de berekening van de afbouw van het regulatoir saldo per tariefcomponent </w:t>
      </w:r>
      <w:r w:rsidR="00DD5B7B">
        <w:rPr>
          <w:rFonts w:ascii="Calibri" w:hAnsi="Calibri"/>
        </w:rPr>
        <w:t>r</w:t>
      </w:r>
      <w:r w:rsidR="00DD5B7B" w:rsidRPr="00EC107B">
        <w:rPr>
          <w:rFonts w:ascii="Calibri" w:hAnsi="Calibri"/>
        </w:rPr>
        <w:t xml:space="preserve">ekening wordt gehouden met </w:t>
      </w:r>
      <w:r w:rsidR="00DD5B7B">
        <w:rPr>
          <w:rFonts w:ascii="Calibri" w:hAnsi="Calibri"/>
        </w:rPr>
        <w:t xml:space="preserve">volgende </w:t>
      </w:r>
      <w:r w:rsidR="00DD5B7B" w:rsidRPr="00EC107B">
        <w:rPr>
          <w:rFonts w:ascii="Calibri" w:hAnsi="Calibri"/>
        </w:rPr>
        <w:t>methodologische bepaling</w:t>
      </w:r>
      <w:r w:rsidR="00DD5B7B">
        <w:rPr>
          <w:rFonts w:ascii="Calibri" w:hAnsi="Calibri"/>
        </w:rPr>
        <w:t>en:</w:t>
      </w:r>
    </w:p>
    <w:p w14:paraId="4238A236" w14:textId="4BFA1984" w:rsidR="00DD5B7B" w:rsidRDefault="00DD5B7B" w:rsidP="00DD5B7B">
      <w:pPr>
        <w:pStyle w:val="Lijstalinea"/>
        <w:numPr>
          <w:ilvl w:val="0"/>
          <w:numId w:val="25"/>
        </w:numPr>
        <w:rPr>
          <w:rFonts w:ascii="Calibri" w:hAnsi="Calibri"/>
        </w:rPr>
      </w:pPr>
      <w:r w:rsidRPr="00DF30EC">
        <w:rPr>
          <w:rFonts w:ascii="Calibri" w:hAnsi="Calibri"/>
        </w:rPr>
        <w:lastRenderedPageBreak/>
        <w:t>het regulatoir saldo op de tariefcomponent voor aanrekening van reactieve energie wordt</w:t>
      </w:r>
      <w:r w:rsidR="00BB1796">
        <w:rPr>
          <w:rFonts w:ascii="Calibri" w:hAnsi="Calibri"/>
        </w:rPr>
        <w:t xml:space="preserve"> vanaf 2021</w:t>
      </w:r>
      <w:r w:rsidRPr="00DF30EC">
        <w:rPr>
          <w:rFonts w:ascii="Calibri" w:hAnsi="Calibri"/>
        </w:rPr>
        <w:t xml:space="preserve"> afgebouwd via de tariefcomponent voor basistarief gebruik van het net</w:t>
      </w:r>
      <w:r>
        <w:rPr>
          <w:rFonts w:ascii="Calibri" w:hAnsi="Calibri"/>
        </w:rPr>
        <w:t>.</w:t>
      </w:r>
      <w:r w:rsidRPr="00DF30EC">
        <w:rPr>
          <w:rFonts w:ascii="Calibri" w:hAnsi="Calibri"/>
        </w:rPr>
        <w:t xml:space="preserve"> Bijgevolg houdt het regulatoir saldo inzake het </w:t>
      </w:r>
      <w:r>
        <w:rPr>
          <w:rFonts w:ascii="Calibri" w:hAnsi="Calibri"/>
        </w:rPr>
        <w:t xml:space="preserve">basistarief voor het gebruik van het net </w:t>
      </w:r>
      <w:r w:rsidRPr="00DF30EC">
        <w:rPr>
          <w:rFonts w:ascii="Calibri" w:hAnsi="Calibri"/>
        </w:rPr>
        <w:t>voor boekjaar 20</w:t>
      </w:r>
      <w:r>
        <w:rPr>
          <w:rFonts w:ascii="Calibri" w:hAnsi="Calibri"/>
        </w:rPr>
        <w:t>21</w:t>
      </w:r>
      <w:r w:rsidRPr="00DF30EC">
        <w:rPr>
          <w:rFonts w:ascii="Calibri" w:hAnsi="Calibri"/>
        </w:rPr>
        <w:t xml:space="preserve"> ook meteen rekening met het regulatoir saldo inzake het tarief voor reactieve energie</w:t>
      </w:r>
      <w:r>
        <w:rPr>
          <w:rFonts w:ascii="Calibri" w:hAnsi="Calibri"/>
        </w:rPr>
        <w:t>;</w:t>
      </w:r>
    </w:p>
    <w:p w14:paraId="2C3CC8C0" w14:textId="5A3BC670" w:rsidR="002E0576" w:rsidRPr="00DD5B7B" w:rsidRDefault="00DD5B7B" w:rsidP="00DD5B7B">
      <w:pPr>
        <w:pStyle w:val="Lijstalinea"/>
        <w:numPr>
          <w:ilvl w:val="0"/>
          <w:numId w:val="25"/>
        </w:numPr>
        <w:rPr>
          <w:rFonts w:ascii="Calibri" w:hAnsi="Calibri"/>
        </w:rPr>
      </w:pPr>
      <w:r w:rsidRPr="00DD5B7B">
        <w:rPr>
          <w:rFonts w:ascii="Calibri" w:hAnsi="Calibri"/>
        </w:rPr>
        <w:t>het regulatoir saldo op de tariefcomponent inzake databeheer wordt vanaf 2021 afgebouwd via de tariefcomponent voor basistarief gebruik van het net. Bijgevolg houdt het regulatoir saldo inzake het basistarief voor het gebruik van het net voor boekjaar 2021 ook meteen rekening met het regulatoir saldo inzake het tarief databeheer.</w:t>
      </w:r>
    </w:p>
    <w:p w14:paraId="00C2E5D6" w14:textId="65143169" w:rsidR="000D47E5" w:rsidRPr="00836F3C" w:rsidRDefault="000D47E5" w:rsidP="000D47E5">
      <w:pPr>
        <w:pStyle w:val="Kop4"/>
      </w:pPr>
      <w:bookmarkStart w:id="37" w:name="_Ref449506535"/>
      <w:bookmarkStart w:id="38" w:name="_Toc81512440"/>
      <w:r w:rsidRPr="0043072E">
        <w:t xml:space="preserve">TABEL 5C: Werkelijke </w:t>
      </w:r>
      <w:r w:rsidR="0000516A">
        <w:t>opbrengsten</w:t>
      </w:r>
      <w:r w:rsidRPr="0043072E">
        <w:t xml:space="preserve"> uit periodieke </w:t>
      </w:r>
      <w:r w:rsidR="001E2CEB">
        <w:t>distributie</w:t>
      </w:r>
      <w:r w:rsidRPr="0043072E">
        <w:t>nettarieven in boekjaar 20</w:t>
      </w:r>
      <w:r w:rsidR="00A91C82">
        <w:t>21</w:t>
      </w:r>
      <w:r w:rsidRPr="0043072E">
        <w:t xml:space="preserve"> (elektriciteit – afname)</w:t>
      </w:r>
      <w:bookmarkEnd w:id="35"/>
      <w:bookmarkEnd w:id="37"/>
      <w:bookmarkEnd w:id="38"/>
    </w:p>
    <w:p w14:paraId="4FF7E429" w14:textId="031F9E02" w:rsidR="000D47E5" w:rsidRPr="0043072E" w:rsidRDefault="000D47E5" w:rsidP="00836F3C">
      <w:pPr>
        <w:rPr>
          <w:rFonts w:ascii="Calibri" w:hAnsi="Calibri"/>
        </w:rPr>
      </w:pPr>
      <w:r w:rsidRPr="0043072E">
        <w:rPr>
          <w:rFonts w:ascii="Calibri" w:hAnsi="Calibri"/>
        </w:rPr>
        <w:t xml:space="preserve">Teneinde de werkelijke </w:t>
      </w:r>
      <w:r w:rsidR="0000516A">
        <w:rPr>
          <w:rFonts w:ascii="Calibri" w:hAnsi="Calibri"/>
        </w:rPr>
        <w:t>opbrengsten</w:t>
      </w:r>
      <w:r w:rsidRPr="0043072E">
        <w:rPr>
          <w:rFonts w:ascii="Calibri" w:hAnsi="Calibri"/>
        </w:rPr>
        <w:t xml:space="preserve"> voor zowel de exogene als de endogene kosten voor boekjaar 20</w:t>
      </w:r>
      <w:r w:rsidR="00A91C82">
        <w:rPr>
          <w:rFonts w:ascii="Calibri" w:hAnsi="Calibri"/>
        </w:rPr>
        <w:t>21</w:t>
      </w:r>
      <w:r w:rsidRPr="0043072E">
        <w:rPr>
          <w:rFonts w:ascii="Calibri" w:hAnsi="Calibri"/>
        </w:rPr>
        <w:t xml:space="preserve"> correct te bepalen, worden in deze tabel de totale werkelijke </w:t>
      </w:r>
      <w:r w:rsidR="004C5061">
        <w:rPr>
          <w:rFonts w:ascii="Calibri" w:hAnsi="Calibri"/>
        </w:rPr>
        <w:t>opbrengsten</w:t>
      </w:r>
      <w:r w:rsidRPr="0043072E">
        <w:rPr>
          <w:rFonts w:ascii="Calibri" w:hAnsi="Calibri"/>
        </w:rPr>
        <w:t xml:space="preserve"> voor de gereguleerde activiteit elektriciteit (afname) opgevraagd en dit per tariefcomponent</w:t>
      </w:r>
      <w:r w:rsidR="00DD2AFE">
        <w:rPr>
          <w:rFonts w:ascii="Calibri" w:hAnsi="Calibri"/>
        </w:rPr>
        <w:t xml:space="preserve"> en per spanningsni</w:t>
      </w:r>
      <w:r w:rsidR="00E20CCC">
        <w:rPr>
          <w:rFonts w:ascii="Calibri" w:hAnsi="Calibri"/>
        </w:rPr>
        <w:t>v</w:t>
      </w:r>
      <w:r w:rsidR="00DD2AFE">
        <w:rPr>
          <w:rFonts w:ascii="Calibri" w:hAnsi="Calibri"/>
        </w:rPr>
        <w:t>eau</w:t>
      </w:r>
      <w:r w:rsidRPr="0043072E">
        <w:rPr>
          <w:rFonts w:ascii="Calibri" w:hAnsi="Calibri"/>
        </w:rPr>
        <w:t xml:space="preserve">. </w:t>
      </w:r>
      <w:r w:rsidR="00E20CCC">
        <w:rPr>
          <w:rFonts w:ascii="Calibri" w:hAnsi="Calibri"/>
        </w:rPr>
        <w:t>Merk</w:t>
      </w:r>
      <w:r w:rsidRPr="0043072E">
        <w:rPr>
          <w:rFonts w:ascii="Calibri" w:hAnsi="Calibri"/>
        </w:rPr>
        <w:t xml:space="preserve"> op dat de totale werkelijke </w:t>
      </w:r>
      <w:r w:rsidR="004C5061">
        <w:rPr>
          <w:rFonts w:ascii="Calibri" w:hAnsi="Calibri"/>
        </w:rPr>
        <w:t>opbrengsten</w:t>
      </w:r>
      <w:r w:rsidRPr="0043072E">
        <w:rPr>
          <w:rFonts w:ascii="Calibri" w:hAnsi="Calibri"/>
        </w:rPr>
        <w:t xml:space="preserve"> uit het ‘aanvullend capaciteitstarief voor prosumenten met terugdraaiende teller’ moeten gespreid worden over de overige tariefcomponenten waaruit dit tarief is samengesteld (d.w.z. uitgezonderd het tarief </w:t>
      </w:r>
      <w:r w:rsidR="00E20CCC">
        <w:rPr>
          <w:rFonts w:ascii="Calibri" w:hAnsi="Calibri"/>
        </w:rPr>
        <w:t>databeheer</w:t>
      </w:r>
      <w:r w:rsidR="00E0697E">
        <w:rPr>
          <w:rFonts w:ascii="Calibri" w:hAnsi="Calibri"/>
        </w:rPr>
        <w:t xml:space="preserve"> en het tarief voor de regeling van de spanning en het reactief vermogen</w:t>
      </w:r>
      <w:r w:rsidRPr="0043072E">
        <w:rPr>
          <w:rFonts w:ascii="Calibri" w:hAnsi="Calibri"/>
        </w:rPr>
        <w:t>). Deze methodiek wordt namelijk ook toegepast bij de verdeling van het toegelaten inkomen over de verschillende tariefcomponenten in ‘tabel 3’ van het rapporteringsmodel ‘tariefvoorstel’ (cfr paragraaf</w:t>
      </w:r>
      <w:r w:rsidR="0092013C">
        <w:rPr>
          <w:rFonts w:ascii="Calibri" w:hAnsi="Calibri"/>
        </w:rPr>
        <w:t xml:space="preserve"> </w:t>
      </w:r>
      <w:r w:rsidR="00CF4424">
        <w:rPr>
          <w:rFonts w:ascii="Calibri" w:hAnsi="Calibri"/>
        </w:rPr>
        <w:fldChar w:fldCharType="begin"/>
      </w:r>
      <w:r w:rsidR="00CF4424">
        <w:rPr>
          <w:rFonts w:ascii="Calibri" w:hAnsi="Calibri"/>
        </w:rPr>
        <w:instrText xml:space="preserve"> REF _Ref42867496 \r \h </w:instrText>
      </w:r>
      <w:r w:rsidR="00CF4424">
        <w:rPr>
          <w:rFonts w:ascii="Calibri" w:hAnsi="Calibri"/>
        </w:rPr>
      </w:r>
      <w:r w:rsidR="00CF4424">
        <w:rPr>
          <w:rFonts w:ascii="Calibri" w:hAnsi="Calibri"/>
        </w:rPr>
        <w:fldChar w:fldCharType="separate"/>
      </w:r>
      <w:r w:rsidR="00964FA9">
        <w:rPr>
          <w:rFonts w:ascii="Calibri" w:hAnsi="Calibri"/>
        </w:rPr>
        <w:t>2.1.1.4</w:t>
      </w:r>
      <w:r w:rsidR="00CF4424">
        <w:rPr>
          <w:rFonts w:ascii="Calibri" w:hAnsi="Calibri"/>
        </w:rPr>
        <w:fldChar w:fldCharType="end"/>
      </w:r>
      <w:r w:rsidRPr="0043072E">
        <w:rPr>
          <w:rFonts w:ascii="Calibri" w:hAnsi="Calibri"/>
        </w:rPr>
        <w:t xml:space="preserve">) </w:t>
      </w:r>
      <w:r w:rsidR="0050077C">
        <w:rPr>
          <w:rFonts w:ascii="Calibri" w:hAnsi="Calibri"/>
        </w:rPr>
        <w:t xml:space="preserve">voor het boekjaar 2021 </w:t>
      </w:r>
      <w:r w:rsidRPr="0043072E">
        <w:rPr>
          <w:rFonts w:ascii="Calibri" w:hAnsi="Calibri"/>
        </w:rPr>
        <w:t xml:space="preserve">waardoor op die manier het aandeel van de endogene kosten in de totale werkelijke </w:t>
      </w:r>
      <w:r w:rsidR="004C5061">
        <w:rPr>
          <w:rFonts w:ascii="Calibri" w:hAnsi="Calibri"/>
        </w:rPr>
        <w:t>opbrengsten</w:t>
      </w:r>
      <w:r w:rsidRPr="0043072E">
        <w:rPr>
          <w:rFonts w:ascii="Calibri" w:hAnsi="Calibri"/>
        </w:rPr>
        <w:t xml:space="preserve"> op een correcte wijze kan worden bepaald.</w:t>
      </w:r>
    </w:p>
    <w:p w14:paraId="2BCA92A9" w14:textId="0C26B4F9" w:rsidR="000D47E5" w:rsidRPr="0043072E" w:rsidRDefault="000D47E5" w:rsidP="00836F3C">
      <w:pPr>
        <w:rPr>
          <w:rFonts w:ascii="Calibri" w:hAnsi="Calibri"/>
        </w:rPr>
      </w:pPr>
      <w:r w:rsidRPr="0043072E">
        <w:rPr>
          <w:rFonts w:ascii="Calibri" w:hAnsi="Calibri"/>
        </w:rPr>
        <w:t>Vervolgens moet</w:t>
      </w:r>
      <w:r w:rsidR="000E12A1">
        <w:rPr>
          <w:rFonts w:ascii="Calibri" w:hAnsi="Calibri"/>
        </w:rPr>
        <w:t xml:space="preserve"> </w:t>
      </w:r>
      <w:r w:rsidRPr="0043072E">
        <w:rPr>
          <w:rFonts w:ascii="Calibri" w:hAnsi="Calibri"/>
        </w:rPr>
        <w:t xml:space="preserve">per tariefcomponent het relatief aandeel voor de endogene kosten in de totale werkelijke </w:t>
      </w:r>
      <w:r w:rsidR="004C5061">
        <w:rPr>
          <w:rFonts w:ascii="Calibri" w:hAnsi="Calibri"/>
        </w:rPr>
        <w:t>opbrengsten</w:t>
      </w:r>
      <w:r w:rsidRPr="0043072E">
        <w:rPr>
          <w:rFonts w:ascii="Calibri" w:hAnsi="Calibri"/>
        </w:rPr>
        <w:t xml:space="preserve"> voor de gereguleerde activiteit elektriciteit (afname) worden gerapporteerd (afgerond </w:t>
      </w:r>
      <w:r w:rsidR="0075749A">
        <w:rPr>
          <w:rFonts w:ascii="Calibri" w:hAnsi="Calibri"/>
        </w:rPr>
        <w:t>op 2 decimalen</w:t>
      </w:r>
      <w:r w:rsidRPr="0043072E">
        <w:rPr>
          <w:rFonts w:ascii="Calibri" w:hAnsi="Calibri"/>
        </w:rPr>
        <w:t>). Dit aandeel kan eenduidig worden afgeleid uit ‘tabel 3’ van het rapporteringsmodel ‘tariefvoorstel’</w:t>
      </w:r>
      <w:r w:rsidR="00AD29E0">
        <w:rPr>
          <w:rFonts w:ascii="Calibri" w:hAnsi="Calibri"/>
        </w:rPr>
        <w:t xml:space="preserve"> voor boekjaar 2021</w:t>
      </w:r>
      <w:r w:rsidRPr="0043072E">
        <w:rPr>
          <w:rFonts w:ascii="Calibri" w:hAnsi="Calibri"/>
        </w:rPr>
        <w:t xml:space="preserve"> (cfr </w:t>
      </w:r>
      <w:r w:rsidR="00CF4424" w:rsidRPr="0043072E">
        <w:rPr>
          <w:rFonts w:ascii="Calibri" w:hAnsi="Calibri"/>
        </w:rPr>
        <w:t>paragraaf</w:t>
      </w:r>
      <w:r w:rsidR="00CF4424">
        <w:rPr>
          <w:rFonts w:ascii="Calibri" w:hAnsi="Calibri"/>
        </w:rPr>
        <w:t xml:space="preserve"> </w:t>
      </w:r>
      <w:r w:rsidR="00CF4424">
        <w:rPr>
          <w:rFonts w:ascii="Calibri" w:hAnsi="Calibri"/>
        </w:rPr>
        <w:fldChar w:fldCharType="begin"/>
      </w:r>
      <w:r w:rsidR="00CF4424">
        <w:rPr>
          <w:rFonts w:ascii="Calibri" w:hAnsi="Calibri"/>
        </w:rPr>
        <w:instrText xml:space="preserve"> REF _Ref42867496 \r \h </w:instrText>
      </w:r>
      <w:r w:rsidR="00CF4424">
        <w:rPr>
          <w:rFonts w:ascii="Calibri" w:hAnsi="Calibri"/>
        </w:rPr>
      </w:r>
      <w:r w:rsidR="00CF4424">
        <w:rPr>
          <w:rFonts w:ascii="Calibri" w:hAnsi="Calibri"/>
        </w:rPr>
        <w:fldChar w:fldCharType="separate"/>
      </w:r>
      <w:r w:rsidR="00964FA9">
        <w:rPr>
          <w:rFonts w:ascii="Calibri" w:hAnsi="Calibri"/>
        </w:rPr>
        <w:t>2.1.1.4</w:t>
      </w:r>
      <w:r w:rsidR="00CF4424">
        <w:rPr>
          <w:rFonts w:ascii="Calibri" w:hAnsi="Calibri"/>
        </w:rPr>
        <w:fldChar w:fldCharType="end"/>
      </w:r>
      <w:r w:rsidRPr="0043072E">
        <w:rPr>
          <w:rFonts w:ascii="Calibri" w:hAnsi="Calibri"/>
        </w:rPr>
        <w:t>), dewelke dient te worden gerapporteerd vóór de ex-post rapportering m.b.t. de exogene kosten. Dit betekent dus dat het aandeel in deze tabel dient overeen te komen met het aandeel van de endogene kosten in iedere tariefcomponent, zoals dit in ‘tabel 3’ van het rapporteringsmodel ‘tariefvoorstel’ voor boekjaar 20</w:t>
      </w:r>
      <w:r w:rsidR="00B72953">
        <w:rPr>
          <w:rFonts w:ascii="Calibri" w:hAnsi="Calibri"/>
        </w:rPr>
        <w:t>21</w:t>
      </w:r>
      <w:r w:rsidRPr="0043072E">
        <w:rPr>
          <w:rFonts w:ascii="Calibri" w:hAnsi="Calibri"/>
        </w:rPr>
        <w:t xml:space="preserve"> kan teruggevonden worden. </w:t>
      </w:r>
    </w:p>
    <w:p w14:paraId="7B8243A1" w14:textId="579A5389" w:rsidR="000D47E5" w:rsidRPr="0043072E" w:rsidRDefault="00032FAA" w:rsidP="00836F3C">
      <w:pPr>
        <w:rPr>
          <w:rFonts w:ascii="Calibri" w:hAnsi="Calibri"/>
        </w:rPr>
      </w:pPr>
      <w:r w:rsidRPr="00032FAA">
        <w:rPr>
          <w:rFonts w:ascii="Calibri" w:hAnsi="Calibri"/>
        </w:rPr>
        <w:t>Indien in een boekjaar periodieke elektriciteitsdistributienettarieven (afname) van meer dan één tariefvoorstel worden toegepast, zal per tariefcomponent het relatief aandeel van de endogene kosten voor dat boekjaar worden bepaald op basis van het pro rata aandeel van de endogene kosten (afgerond op 2 decimalen), conform de methodiek zoals beschreven in paragraaf 5.6.6 van de hoofdtekst van de tariefmethodologie. Dit pro rata aandeel (afgerond op 2 decimalen) wordt aldus bepaald op basis van het aantal kalenderdagen dat de periodieke elektriciteitsdistributienettarieven (afname) volgens elk van de tariefvoorstellen van kracht waren. Hierbij dient de distributienetbeheerder in een afzonderlijk verklarende nota de detailberekening van het pro rata aandeel van de endogene kosten per tariefcomponent op te geven, d.w.z. dat uit de detailberekening voor elke tariefcomponent duidelijk dient te zijn wat het aandeel van de endogene kosten in elk van de toepasselijke tariefvoorstellen was en hoeveel kalenderdagen de tarieven uit elk van de tariefvoorstellen in het betreffende boekjaar van kracht waren.</w:t>
      </w:r>
    </w:p>
    <w:p w14:paraId="1913B63A" w14:textId="500FA4C6" w:rsidR="000D47E5" w:rsidRPr="0043072E" w:rsidRDefault="000D47E5" w:rsidP="00836F3C">
      <w:pPr>
        <w:rPr>
          <w:rFonts w:ascii="Calibri" w:hAnsi="Calibri"/>
        </w:rPr>
      </w:pPr>
      <w:r w:rsidRPr="0043072E">
        <w:rPr>
          <w:rFonts w:ascii="Calibri" w:hAnsi="Calibri"/>
        </w:rPr>
        <w:t xml:space="preserve">Vervolgens </w:t>
      </w:r>
      <w:r w:rsidR="00F3679B">
        <w:rPr>
          <w:rFonts w:ascii="Calibri" w:hAnsi="Calibri"/>
        </w:rPr>
        <w:t>worden uit deze informatie</w:t>
      </w:r>
      <w:r w:rsidRPr="0043072E">
        <w:rPr>
          <w:rFonts w:ascii="Calibri" w:hAnsi="Calibri"/>
        </w:rPr>
        <w:t xml:space="preserve"> de werkelijke </w:t>
      </w:r>
      <w:r w:rsidR="004C5061">
        <w:rPr>
          <w:rFonts w:ascii="Calibri" w:hAnsi="Calibri"/>
        </w:rPr>
        <w:t>opbrengsten</w:t>
      </w:r>
      <w:r w:rsidRPr="0043072E">
        <w:rPr>
          <w:rFonts w:ascii="Calibri" w:hAnsi="Calibri"/>
        </w:rPr>
        <w:t xml:space="preserve"> voor endogene kosten m.b.t. de gereguleerde activiteit elektriciteit (afname) </w:t>
      </w:r>
      <w:r w:rsidR="00F3679B">
        <w:rPr>
          <w:rFonts w:ascii="Calibri" w:hAnsi="Calibri"/>
        </w:rPr>
        <w:t xml:space="preserve">per tariefcomponent </w:t>
      </w:r>
      <w:r w:rsidRPr="0043072E">
        <w:rPr>
          <w:rFonts w:ascii="Calibri" w:hAnsi="Calibri"/>
        </w:rPr>
        <w:t>berekend</w:t>
      </w:r>
      <w:r w:rsidR="00F3679B">
        <w:rPr>
          <w:rFonts w:ascii="Calibri" w:hAnsi="Calibri"/>
        </w:rPr>
        <w:t xml:space="preserve">, </w:t>
      </w:r>
      <w:r w:rsidR="00BD6BC5">
        <w:rPr>
          <w:rFonts w:ascii="Calibri" w:hAnsi="Calibri"/>
        </w:rPr>
        <w:t xml:space="preserve">dewelke op hun </w:t>
      </w:r>
      <w:r w:rsidR="00BD6BC5">
        <w:rPr>
          <w:rFonts w:ascii="Calibri" w:hAnsi="Calibri"/>
        </w:rPr>
        <w:lastRenderedPageBreak/>
        <w:t>beurt voor het betreffende boekjaar</w:t>
      </w:r>
      <w:r w:rsidR="00420115">
        <w:rPr>
          <w:rFonts w:ascii="Calibri" w:hAnsi="Calibri"/>
        </w:rPr>
        <w:t xml:space="preserve">, samen met de endogene </w:t>
      </w:r>
      <w:r w:rsidR="004C5061">
        <w:rPr>
          <w:rFonts w:ascii="Calibri" w:hAnsi="Calibri"/>
        </w:rPr>
        <w:t>opbrengsten</w:t>
      </w:r>
      <w:r w:rsidR="00420115">
        <w:rPr>
          <w:rFonts w:ascii="Calibri" w:hAnsi="Calibri"/>
        </w:rPr>
        <w:t xml:space="preserve"> m.b.t. injectie</w:t>
      </w:r>
      <w:r w:rsidR="002244CC">
        <w:rPr>
          <w:rFonts w:ascii="Calibri" w:hAnsi="Calibri"/>
        </w:rPr>
        <w:t xml:space="preserve"> (cfr paragraaf </w:t>
      </w:r>
      <w:r w:rsidR="002244CC">
        <w:rPr>
          <w:rFonts w:ascii="Calibri" w:hAnsi="Calibri"/>
        </w:rPr>
        <w:fldChar w:fldCharType="begin"/>
      </w:r>
      <w:r w:rsidR="002244CC">
        <w:rPr>
          <w:rFonts w:ascii="Calibri" w:hAnsi="Calibri"/>
        </w:rPr>
        <w:instrText xml:space="preserve"> REF _Ref392064627 \r \h </w:instrText>
      </w:r>
      <w:r w:rsidR="002244CC">
        <w:rPr>
          <w:rFonts w:ascii="Calibri" w:hAnsi="Calibri"/>
        </w:rPr>
      </w:r>
      <w:r w:rsidR="002244CC">
        <w:rPr>
          <w:rFonts w:ascii="Calibri" w:hAnsi="Calibri"/>
        </w:rPr>
        <w:fldChar w:fldCharType="separate"/>
      </w:r>
      <w:r w:rsidR="00964FA9">
        <w:rPr>
          <w:rFonts w:ascii="Calibri" w:hAnsi="Calibri"/>
        </w:rPr>
        <w:t>1.1.1.11</w:t>
      </w:r>
      <w:r w:rsidR="002244CC">
        <w:rPr>
          <w:rFonts w:ascii="Calibri" w:hAnsi="Calibri"/>
        </w:rPr>
        <w:fldChar w:fldCharType="end"/>
      </w:r>
      <w:r w:rsidR="002244CC">
        <w:rPr>
          <w:rFonts w:ascii="Calibri" w:hAnsi="Calibri"/>
        </w:rPr>
        <w:t>)</w:t>
      </w:r>
      <w:r w:rsidR="00420115">
        <w:rPr>
          <w:rFonts w:ascii="Calibri" w:hAnsi="Calibri"/>
        </w:rPr>
        <w:t>,</w:t>
      </w:r>
      <w:r w:rsidR="00BD6BC5">
        <w:rPr>
          <w:rFonts w:ascii="Calibri" w:hAnsi="Calibri"/>
        </w:rPr>
        <w:t xml:space="preserve"> in ‘tabel 5A’ in rekening </w:t>
      </w:r>
      <w:r w:rsidR="00322295">
        <w:rPr>
          <w:rFonts w:ascii="Calibri" w:hAnsi="Calibri"/>
        </w:rPr>
        <w:t xml:space="preserve">moeten worden genomen (uiteraard enkel </w:t>
      </w:r>
      <w:r w:rsidRPr="0043072E">
        <w:rPr>
          <w:rFonts w:ascii="Calibri" w:hAnsi="Calibri"/>
        </w:rPr>
        <w:t>indien het de rapportering voor de gereguleerde activiteit ‘elektriciteit’ betreft</w:t>
      </w:r>
      <w:r w:rsidR="00322295">
        <w:rPr>
          <w:rFonts w:ascii="Calibri" w:hAnsi="Calibri"/>
        </w:rPr>
        <w:t>)</w:t>
      </w:r>
      <w:r w:rsidRPr="0043072E">
        <w:rPr>
          <w:rFonts w:ascii="Calibri" w:hAnsi="Calibri"/>
        </w:rPr>
        <w:t xml:space="preserve">. </w:t>
      </w:r>
    </w:p>
    <w:p w14:paraId="28D30CCC" w14:textId="0F9396C6" w:rsidR="000D47E5" w:rsidRPr="0043072E" w:rsidRDefault="003C2620" w:rsidP="00836F3C">
      <w:pPr>
        <w:rPr>
          <w:rFonts w:ascii="Calibri" w:hAnsi="Calibri"/>
        </w:rPr>
      </w:pPr>
      <w:r>
        <w:rPr>
          <w:rFonts w:ascii="Calibri" w:hAnsi="Calibri"/>
        </w:rPr>
        <w:t>Uiteraard kunnen uit deze</w:t>
      </w:r>
      <w:r w:rsidR="000D47E5" w:rsidRPr="0043072E">
        <w:rPr>
          <w:rFonts w:ascii="Calibri" w:hAnsi="Calibri"/>
        </w:rPr>
        <w:t xml:space="preserve"> </w:t>
      </w:r>
      <w:r w:rsidR="008D7E5E">
        <w:rPr>
          <w:rFonts w:ascii="Calibri" w:hAnsi="Calibri"/>
        </w:rPr>
        <w:t>tabel</w:t>
      </w:r>
      <w:r w:rsidR="000D47E5" w:rsidRPr="0043072E">
        <w:rPr>
          <w:rFonts w:ascii="Calibri" w:hAnsi="Calibri"/>
        </w:rPr>
        <w:t xml:space="preserve"> </w:t>
      </w:r>
      <w:r>
        <w:rPr>
          <w:rFonts w:ascii="Calibri" w:hAnsi="Calibri"/>
        </w:rPr>
        <w:t xml:space="preserve">dan </w:t>
      </w:r>
      <w:r w:rsidR="000D47E5" w:rsidRPr="0043072E">
        <w:rPr>
          <w:rFonts w:ascii="Calibri" w:hAnsi="Calibri"/>
        </w:rPr>
        <w:t xml:space="preserve">ook eenduidig de werkelijke </w:t>
      </w:r>
      <w:r w:rsidR="004C5061">
        <w:rPr>
          <w:rFonts w:ascii="Calibri" w:hAnsi="Calibri"/>
        </w:rPr>
        <w:t>opbrengsten</w:t>
      </w:r>
      <w:r w:rsidR="000D47E5" w:rsidRPr="0043072E">
        <w:rPr>
          <w:rFonts w:ascii="Calibri" w:hAnsi="Calibri"/>
        </w:rPr>
        <w:t xml:space="preserve"> m.b.t. de exogene kosten voor de gereguleerde activiteit </w:t>
      </w:r>
      <w:r w:rsidR="008D7E5E">
        <w:rPr>
          <w:rFonts w:ascii="Calibri" w:hAnsi="Calibri"/>
        </w:rPr>
        <w:t xml:space="preserve">elektriciteit (afname) </w:t>
      </w:r>
      <w:r w:rsidR="006C35A8">
        <w:rPr>
          <w:rFonts w:ascii="Calibri" w:hAnsi="Calibri"/>
        </w:rPr>
        <w:t>worden afgeleid</w:t>
      </w:r>
      <w:r w:rsidR="000D47E5" w:rsidRPr="0043072E">
        <w:rPr>
          <w:rFonts w:ascii="Calibri" w:hAnsi="Calibri"/>
        </w:rPr>
        <w:t xml:space="preserve">. Deze dienen als basis voor de bepaling van het </w:t>
      </w:r>
      <w:r w:rsidR="003510F5">
        <w:rPr>
          <w:rFonts w:ascii="Calibri" w:hAnsi="Calibri"/>
        </w:rPr>
        <w:t xml:space="preserve">regulatoir </w:t>
      </w:r>
      <w:r w:rsidR="000D47E5" w:rsidRPr="0043072E">
        <w:rPr>
          <w:rFonts w:ascii="Calibri" w:hAnsi="Calibri"/>
        </w:rPr>
        <w:t xml:space="preserve">saldo inzake exogene kosten en dit zowel m.b.t. distributie als transmissie in ‘tabel 3’ (cfr </w:t>
      </w:r>
      <w:r w:rsidR="00946AD2" w:rsidRPr="0043072E">
        <w:rPr>
          <w:rFonts w:ascii="Calibri" w:hAnsi="Calibri"/>
        </w:rPr>
        <w:t xml:space="preserve">paragraaf </w:t>
      </w:r>
      <w:r w:rsidR="006357DF">
        <w:rPr>
          <w:rFonts w:ascii="Calibri" w:hAnsi="Calibri"/>
        </w:rPr>
        <w:fldChar w:fldCharType="begin"/>
      </w:r>
      <w:r w:rsidR="006357DF">
        <w:rPr>
          <w:rFonts w:ascii="Calibri" w:hAnsi="Calibri"/>
        </w:rPr>
        <w:instrText xml:space="preserve"> REF _Ref38032440 \r \h </w:instrText>
      </w:r>
      <w:r w:rsidR="006357DF">
        <w:rPr>
          <w:rFonts w:ascii="Calibri" w:hAnsi="Calibri"/>
        </w:rPr>
      </w:r>
      <w:r w:rsidR="006357DF">
        <w:rPr>
          <w:rFonts w:ascii="Calibri" w:hAnsi="Calibri"/>
        </w:rPr>
        <w:fldChar w:fldCharType="separate"/>
      </w:r>
      <w:r w:rsidR="00964FA9">
        <w:rPr>
          <w:rFonts w:ascii="Calibri" w:hAnsi="Calibri"/>
        </w:rPr>
        <w:t>1.1.1.4</w:t>
      </w:r>
      <w:r w:rsidR="006357DF">
        <w:rPr>
          <w:rFonts w:ascii="Calibri" w:hAnsi="Calibri"/>
        </w:rPr>
        <w:fldChar w:fldCharType="end"/>
      </w:r>
      <w:r w:rsidR="000D47E5" w:rsidRPr="0043072E">
        <w:rPr>
          <w:rFonts w:ascii="Calibri" w:hAnsi="Calibri"/>
        </w:rPr>
        <w:t xml:space="preserve">), </w:t>
      </w:r>
      <w:r w:rsidR="00CD781D">
        <w:rPr>
          <w:rFonts w:ascii="Calibri" w:hAnsi="Calibri"/>
        </w:rPr>
        <w:t>dewelke</w:t>
      </w:r>
      <w:r w:rsidR="000D47E5" w:rsidRPr="0043072E">
        <w:rPr>
          <w:rFonts w:ascii="Calibri" w:hAnsi="Calibri"/>
        </w:rPr>
        <w:t xml:space="preserve"> automatisch in ‘tabel 3’ in rekening worden genomen indien het de </w:t>
      </w:r>
      <w:r w:rsidR="00D726AF">
        <w:rPr>
          <w:rFonts w:ascii="Calibri" w:hAnsi="Calibri"/>
        </w:rPr>
        <w:t xml:space="preserve">ex-post </w:t>
      </w:r>
      <w:r w:rsidR="000D47E5" w:rsidRPr="0043072E">
        <w:rPr>
          <w:rFonts w:ascii="Calibri" w:hAnsi="Calibri"/>
        </w:rPr>
        <w:t>rapportering over de gereguleerde activiteit ‘elektriciteit’ omvat</w:t>
      </w:r>
      <w:r w:rsidR="00836F3C">
        <w:rPr>
          <w:rFonts w:ascii="Calibri" w:hAnsi="Calibri"/>
        </w:rPr>
        <w:t>.</w:t>
      </w:r>
    </w:p>
    <w:p w14:paraId="3B2D80B0" w14:textId="7EE150ED" w:rsidR="000D47E5" w:rsidRPr="0043072E" w:rsidRDefault="000D47E5" w:rsidP="00836F3C">
      <w:pPr>
        <w:rPr>
          <w:rFonts w:ascii="Calibri" w:hAnsi="Calibri"/>
        </w:rPr>
      </w:pPr>
      <w:r w:rsidRPr="0043072E">
        <w:rPr>
          <w:rFonts w:ascii="Calibri" w:hAnsi="Calibri"/>
        </w:rPr>
        <w:t xml:space="preserve">Ten laatste merkt de VREG op dat voor de werkelijke </w:t>
      </w:r>
      <w:r w:rsidR="004C5061">
        <w:rPr>
          <w:rFonts w:ascii="Calibri" w:hAnsi="Calibri"/>
        </w:rPr>
        <w:t>opbrengsten</w:t>
      </w:r>
      <w:r w:rsidRPr="0043072E">
        <w:rPr>
          <w:rFonts w:ascii="Calibri" w:hAnsi="Calibri"/>
        </w:rPr>
        <w:t xml:space="preserve"> m.b.t. de </w:t>
      </w:r>
      <w:r>
        <w:rPr>
          <w:rFonts w:ascii="Calibri" w:hAnsi="Calibri"/>
        </w:rPr>
        <w:t xml:space="preserve">distributienettarieven </w:t>
      </w:r>
      <w:r w:rsidR="00B45FA8">
        <w:rPr>
          <w:rFonts w:ascii="Calibri" w:hAnsi="Calibri"/>
        </w:rPr>
        <w:t>ter dekking van de kosten m.b.t. het gebruik van het transmissienet</w:t>
      </w:r>
      <w:r w:rsidRPr="0043072E">
        <w:rPr>
          <w:rFonts w:ascii="Calibri" w:hAnsi="Calibri"/>
        </w:rPr>
        <w:t xml:space="preserve"> (exclusief federale bijdrage elektriciteit) ook de </w:t>
      </w:r>
      <w:r w:rsidR="004C5061">
        <w:rPr>
          <w:rFonts w:ascii="Calibri" w:hAnsi="Calibri"/>
        </w:rPr>
        <w:t>opbrengsten</w:t>
      </w:r>
      <w:r w:rsidRPr="0043072E">
        <w:rPr>
          <w:rFonts w:ascii="Calibri" w:hAnsi="Calibri"/>
        </w:rPr>
        <w:t xml:space="preserve"> m.b.t. de aan een andere distributienetbeheerder (via doorvoer) aangerekende vergoeding voor het gebruik van het transmissienet worden begrepen. </w:t>
      </w:r>
    </w:p>
    <w:p w14:paraId="5573A2FF" w14:textId="025D0BAB" w:rsidR="000D47E5" w:rsidRPr="00836F3C" w:rsidRDefault="000D47E5" w:rsidP="000D47E5">
      <w:pPr>
        <w:pStyle w:val="Kop4"/>
      </w:pPr>
      <w:bookmarkStart w:id="39" w:name="_Ref392064627"/>
      <w:bookmarkStart w:id="40" w:name="_Toc81512441"/>
      <w:r w:rsidRPr="0043072E">
        <w:t xml:space="preserve">TABEL 5D: Werkelijke </w:t>
      </w:r>
      <w:r w:rsidR="004C5061">
        <w:t>opbrengsten</w:t>
      </w:r>
      <w:r w:rsidRPr="0043072E">
        <w:t xml:space="preserve"> uit periodieke distributienettarieven in boekjaar 20</w:t>
      </w:r>
      <w:r w:rsidR="00520816">
        <w:t>21</w:t>
      </w:r>
      <w:r w:rsidRPr="0043072E">
        <w:t xml:space="preserve"> (elektriciteit – injectie)</w:t>
      </w:r>
      <w:bookmarkEnd w:id="39"/>
      <w:bookmarkEnd w:id="40"/>
    </w:p>
    <w:p w14:paraId="64DD8296" w14:textId="3F7CCAE3" w:rsidR="000D47E5" w:rsidRPr="0043072E" w:rsidRDefault="000D47E5" w:rsidP="00836F3C">
      <w:pPr>
        <w:rPr>
          <w:rFonts w:ascii="Calibri" w:hAnsi="Calibri"/>
        </w:rPr>
      </w:pPr>
      <w:r w:rsidRPr="0043072E">
        <w:rPr>
          <w:rFonts w:ascii="Calibri" w:hAnsi="Calibri"/>
        </w:rPr>
        <w:t xml:space="preserve">Teneinde de werkelijke </w:t>
      </w:r>
      <w:r w:rsidR="004C5061">
        <w:rPr>
          <w:rFonts w:ascii="Calibri" w:hAnsi="Calibri"/>
        </w:rPr>
        <w:t>opbrengsten</w:t>
      </w:r>
      <w:r w:rsidRPr="0043072E">
        <w:rPr>
          <w:rFonts w:ascii="Calibri" w:hAnsi="Calibri"/>
        </w:rPr>
        <w:t xml:space="preserve"> voor zowel de exogene als de endogene kosten voor boekjaar 20</w:t>
      </w:r>
      <w:r w:rsidR="00520816">
        <w:rPr>
          <w:rFonts w:ascii="Calibri" w:hAnsi="Calibri"/>
        </w:rPr>
        <w:t>21</w:t>
      </w:r>
      <w:r w:rsidRPr="0043072E">
        <w:rPr>
          <w:rFonts w:ascii="Calibri" w:hAnsi="Calibri"/>
        </w:rPr>
        <w:t xml:space="preserve"> correct te bepalen, worden in deze tabel de totale werkelijke </w:t>
      </w:r>
      <w:r w:rsidR="004C5061">
        <w:rPr>
          <w:rFonts w:ascii="Calibri" w:hAnsi="Calibri"/>
        </w:rPr>
        <w:t>opbrengsten</w:t>
      </w:r>
      <w:r w:rsidRPr="0043072E">
        <w:rPr>
          <w:rFonts w:ascii="Calibri" w:hAnsi="Calibri"/>
        </w:rPr>
        <w:t xml:space="preserve"> voor de gereguleerde activiteit elektriciteit (injectie) opgevraagd en dit per tariefcomponent</w:t>
      </w:r>
      <w:r w:rsidR="00BA6CC6">
        <w:rPr>
          <w:rFonts w:ascii="Calibri" w:hAnsi="Calibri"/>
        </w:rPr>
        <w:t xml:space="preserve"> en per spanningsniveau</w:t>
      </w:r>
      <w:r w:rsidRPr="0043072E">
        <w:rPr>
          <w:rFonts w:ascii="Calibri" w:hAnsi="Calibri"/>
        </w:rPr>
        <w:t xml:space="preserve">. </w:t>
      </w:r>
    </w:p>
    <w:p w14:paraId="70FB25A4" w14:textId="5F1FBD1C" w:rsidR="000D47E5" w:rsidRPr="0043072E" w:rsidRDefault="00BA6CC6" w:rsidP="00836F3C">
      <w:pPr>
        <w:rPr>
          <w:rFonts w:ascii="Calibri" w:hAnsi="Calibri"/>
        </w:rPr>
      </w:pPr>
      <w:r w:rsidRPr="00BA6CC6">
        <w:rPr>
          <w:rFonts w:ascii="Calibri" w:hAnsi="Calibri"/>
        </w:rPr>
        <w:t>Vervolgens moet per tariefcomponent het relatief aandeel voor de endogene kosten in de totale werkelijke opbrengsten voor de gereguleerde activiteit elektriciteit (</w:t>
      </w:r>
      <w:r>
        <w:rPr>
          <w:rFonts w:ascii="Calibri" w:hAnsi="Calibri"/>
        </w:rPr>
        <w:t>injectie</w:t>
      </w:r>
      <w:r w:rsidRPr="00BA6CC6">
        <w:rPr>
          <w:rFonts w:ascii="Calibri" w:hAnsi="Calibri"/>
        </w:rPr>
        <w:t xml:space="preserve">) worden gerapporteerd (afgerond op 2 decimalen). </w:t>
      </w:r>
      <w:r w:rsidR="000D47E5" w:rsidRPr="0043072E">
        <w:rPr>
          <w:rFonts w:ascii="Calibri" w:hAnsi="Calibri"/>
        </w:rPr>
        <w:t xml:space="preserve">Dit aandeel kan eenduidig worden afgeleid uit ‘tabel 3’ van het rapporteringsmodel ‘tariefvoorstel’ </w:t>
      </w:r>
      <w:r w:rsidR="00CF3070">
        <w:rPr>
          <w:rFonts w:ascii="Calibri" w:hAnsi="Calibri"/>
        </w:rPr>
        <w:t xml:space="preserve">voor boekjaar 2021 </w:t>
      </w:r>
      <w:r w:rsidR="000D47E5" w:rsidRPr="0043072E">
        <w:rPr>
          <w:rFonts w:ascii="Calibri" w:hAnsi="Calibri"/>
        </w:rPr>
        <w:t xml:space="preserve">(cfr </w:t>
      </w:r>
      <w:r w:rsidR="00CF4424" w:rsidRPr="0043072E">
        <w:rPr>
          <w:rFonts w:ascii="Calibri" w:hAnsi="Calibri"/>
        </w:rPr>
        <w:t>paragraaf</w:t>
      </w:r>
      <w:r w:rsidR="00CF4424">
        <w:rPr>
          <w:rFonts w:ascii="Calibri" w:hAnsi="Calibri"/>
        </w:rPr>
        <w:t xml:space="preserve"> </w:t>
      </w:r>
      <w:r w:rsidR="00CF4424">
        <w:rPr>
          <w:rFonts w:ascii="Calibri" w:hAnsi="Calibri"/>
        </w:rPr>
        <w:fldChar w:fldCharType="begin"/>
      </w:r>
      <w:r w:rsidR="00CF4424">
        <w:rPr>
          <w:rFonts w:ascii="Calibri" w:hAnsi="Calibri"/>
        </w:rPr>
        <w:instrText xml:space="preserve"> REF _Ref42867496 \r \h </w:instrText>
      </w:r>
      <w:r w:rsidR="00CF4424">
        <w:rPr>
          <w:rFonts w:ascii="Calibri" w:hAnsi="Calibri"/>
        </w:rPr>
      </w:r>
      <w:r w:rsidR="00CF4424">
        <w:rPr>
          <w:rFonts w:ascii="Calibri" w:hAnsi="Calibri"/>
        </w:rPr>
        <w:fldChar w:fldCharType="separate"/>
      </w:r>
      <w:r w:rsidR="00964FA9">
        <w:rPr>
          <w:rFonts w:ascii="Calibri" w:hAnsi="Calibri"/>
        </w:rPr>
        <w:t>2.1.1.4</w:t>
      </w:r>
      <w:r w:rsidR="00CF4424">
        <w:rPr>
          <w:rFonts w:ascii="Calibri" w:hAnsi="Calibri"/>
        </w:rPr>
        <w:fldChar w:fldCharType="end"/>
      </w:r>
      <w:r w:rsidR="000D47E5" w:rsidRPr="0043072E">
        <w:rPr>
          <w:rFonts w:ascii="Calibri" w:hAnsi="Calibri"/>
        </w:rPr>
        <w:t>), dewelke dient te worden gerapporteerd vóór de ex-post rapportering m.b.t. de exogene kosten. Dit betekent dus dat het aandeel in deze tabel dient overeen te komen met het aandeel van de endogene kosten in iedere tariefcomponent, zoals dit in ‘tabel 3’ van het rapporteringsmodel ‘tariefvoorstel’ voor boekjaar 20</w:t>
      </w:r>
      <w:r>
        <w:rPr>
          <w:rFonts w:ascii="Calibri" w:hAnsi="Calibri"/>
        </w:rPr>
        <w:t>21</w:t>
      </w:r>
      <w:r w:rsidR="000D47E5" w:rsidRPr="0043072E">
        <w:rPr>
          <w:rFonts w:ascii="Calibri" w:hAnsi="Calibri"/>
        </w:rPr>
        <w:t xml:space="preserve"> </w:t>
      </w:r>
      <w:r>
        <w:rPr>
          <w:rFonts w:ascii="Calibri" w:hAnsi="Calibri"/>
        </w:rPr>
        <w:t xml:space="preserve">m.b.t. injectie </w:t>
      </w:r>
      <w:r w:rsidR="000D47E5" w:rsidRPr="0043072E">
        <w:rPr>
          <w:rFonts w:ascii="Calibri" w:hAnsi="Calibri"/>
        </w:rPr>
        <w:t xml:space="preserve">kan teruggevonden worden. </w:t>
      </w:r>
    </w:p>
    <w:p w14:paraId="42334BB9" w14:textId="5B862393" w:rsidR="000D47E5" w:rsidRPr="0043072E" w:rsidRDefault="00130C9F" w:rsidP="00836F3C">
      <w:pPr>
        <w:rPr>
          <w:rFonts w:ascii="Calibri" w:hAnsi="Calibri"/>
        </w:rPr>
      </w:pPr>
      <w:r w:rsidRPr="00130C9F">
        <w:rPr>
          <w:rFonts w:ascii="Calibri" w:hAnsi="Calibri"/>
        </w:rPr>
        <w:t>Indien in een boekjaar periodieke elektriciteitsdistributienettarieven (injectie) van meer dan één tariefvoorstel worden toegepast, zal per tariefcomponent het relatief aandeel van de endogene kosten voor dat boekjaar worden bepaald op basis van het pro rata aandeel van de endogene kosten (afgerond op 2 decimalen), conform de methodiek zoals beschreven in paragraaf 5.6.6 van de hoofdtekst van de tariefmethodologie. Dit pro rata aandeel (afgerond op 2 decimalen) wordt aldus bepaald op basis van het aantal kalenderdagen dat de periodieke elektriciteitsdistributienettarieven (injectie) volgens elk van de tariefvoorstellen van kracht waren. Hierbij dient de distributienetbeheerder in een afzonderlijk verklarende nota de detailberekening van het pro rata aandeel van de endogene kosten per tariefcomponent op te geven, d.w.z. dat uit de detailberekening voor elke tariefcomponent duidelijk dient te zijn wat het aandeel van de endogene kosten in elk van de toepasselijke tariefvoorstellen was en hoeveel kalenderdagen de tarieven uit elk van de tariefvoorstellen in het betreffende boekjaar van kracht waren.</w:t>
      </w:r>
    </w:p>
    <w:p w14:paraId="7B90E88E" w14:textId="1A63DB4A" w:rsidR="002244CC" w:rsidRPr="0043072E" w:rsidRDefault="002244CC" w:rsidP="002244CC">
      <w:pPr>
        <w:rPr>
          <w:rFonts w:ascii="Calibri" w:hAnsi="Calibri"/>
        </w:rPr>
      </w:pPr>
      <w:r w:rsidRPr="0043072E">
        <w:rPr>
          <w:rFonts w:ascii="Calibri" w:hAnsi="Calibri"/>
        </w:rPr>
        <w:t xml:space="preserve">Vervolgens </w:t>
      </w:r>
      <w:r>
        <w:rPr>
          <w:rFonts w:ascii="Calibri" w:hAnsi="Calibri"/>
        </w:rPr>
        <w:t>worden uit deze informatie</w:t>
      </w:r>
      <w:r w:rsidRPr="0043072E">
        <w:rPr>
          <w:rFonts w:ascii="Calibri" w:hAnsi="Calibri"/>
        </w:rPr>
        <w:t xml:space="preserve"> de werkelijke </w:t>
      </w:r>
      <w:r>
        <w:rPr>
          <w:rFonts w:ascii="Calibri" w:hAnsi="Calibri"/>
        </w:rPr>
        <w:t>opbrengsten</w:t>
      </w:r>
      <w:r w:rsidRPr="0043072E">
        <w:rPr>
          <w:rFonts w:ascii="Calibri" w:hAnsi="Calibri"/>
        </w:rPr>
        <w:t xml:space="preserve"> voor endogene kosten m.b.t. de gereguleerde activiteit elektriciteit (</w:t>
      </w:r>
      <w:r>
        <w:rPr>
          <w:rFonts w:ascii="Calibri" w:hAnsi="Calibri"/>
        </w:rPr>
        <w:t>injectie</w:t>
      </w:r>
      <w:r w:rsidRPr="0043072E">
        <w:rPr>
          <w:rFonts w:ascii="Calibri" w:hAnsi="Calibri"/>
        </w:rPr>
        <w:t xml:space="preserve">) </w:t>
      </w:r>
      <w:r>
        <w:rPr>
          <w:rFonts w:ascii="Calibri" w:hAnsi="Calibri"/>
        </w:rPr>
        <w:t xml:space="preserve">per tariefcomponent </w:t>
      </w:r>
      <w:r w:rsidRPr="0043072E">
        <w:rPr>
          <w:rFonts w:ascii="Calibri" w:hAnsi="Calibri"/>
        </w:rPr>
        <w:t>berekend</w:t>
      </w:r>
      <w:r>
        <w:rPr>
          <w:rFonts w:ascii="Calibri" w:hAnsi="Calibri"/>
        </w:rPr>
        <w:t xml:space="preserve">, dewelke op hun beurt voor het betreffende boekjaar, samen met de endogene opbrengsten m.b.t. </w:t>
      </w:r>
      <w:r w:rsidR="00FA4EF8">
        <w:rPr>
          <w:rFonts w:ascii="Calibri" w:hAnsi="Calibri"/>
        </w:rPr>
        <w:t xml:space="preserve">afname (cfr paragraaf </w:t>
      </w:r>
      <w:r w:rsidR="00FA4EF8">
        <w:rPr>
          <w:rFonts w:ascii="Calibri" w:hAnsi="Calibri"/>
        </w:rPr>
        <w:fldChar w:fldCharType="begin"/>
      </w:r>
      <w:r w:rsidR="00FA4EF8">
        <w:rPr>
          <w:rFonts w:ascii="Calibri" w:hAnsi="Calibri"/>
        </w:rPr>
        <w:instrText xml:space="preserve"> REF _Ref449506535 \r \h </w:instrText>
      </w:r>
      <w:r w:rsidR="00FA4EF8">
        <w:rPr>
          <w:rFonts w:ascii="Calibri" w:hAnsi="Calibri"/>
        </w:rPr>
      </w:r>
      <w:r w:rsidR="00FA4EF8">
        <w:rPr>
          <w:rFonts w:ascii="Calibri" w:hAnsi="Calibri"/>
        </w:rPr>
        <w:fldChar w:fldCharType="separate"/>
      </w:r>
      <w:r w:rsidR="00964FA9">
        <w:rPr>
          <w:rFonts w:ascii="Calibri" w:hAnsi="Calibri"/>
        </w:rPr>
        <w:t>1.1.1.10</w:t>
      </w:r>
      <w:r w:rsidR="00FA4EF8">
        <w:rPr>
          <w:rFonts w:ascii="Calibri" w:hAnsi="Calibri"/>
        </w:rPr>
        <w:fldChar w:fldCharType="end"/>
      </w:r>
      <w:r w:rsidR="00FA4EF8">
        <w:rPr>
          <w:rFonts w:ascii="Calibri" w:hAnsi="Calibri"/>
        </w:rPr>
        <w:t>)</w:t>
      </w:r>
      <w:r>
        <w:rPr>
          <w:rFonts w:ascii="Calibri" w:hAnsi="Calibri"/>
        </w:rPr>
        <w:t xml:space="preserve">, in ‘tabel 5A’ in rekening moeten worden genomen (uiteraard enkel </w:t>
      </w:r>
      <w:r w:rsidRPr="0043072E">
        <w:rPr>
          <w:rFonts w:ascii="Calibri" w:hAnsi="Calibri"/>
        </w:rPr>
        <w:t>indien het de rapportering voor de gereguleerde activiteit ‘elektriciteit’ betreft</w:t>
      </w:r>
      <w:r>
        <w:rPr>
          <w:rFonts w:ascii="Calibri" w:hAnsi="Calibri"/>
        </w:rPr>
        <w:t>)</w:t>
      </w:r>
      <w:r w:rsidRPr="0043072E">
        <w:rPr>
          <w:rFonts w:ascii="Calibri" w:hAnsi="Calibri"/>
        </w:rPr>
        <w:t xml:space="preserve">. </w:t>
      </w:r>
    </w:p>
    <w:p w14:paraId="6049D634" w14:textId="52777D15" w:rsidR="000D47E5" w:rsidRPr="0043072E" w:rsidRDefault="002244CC" w:rsidP="002244CC">
      <w:pPr>
        <w:rPr>
          <w:rFonts w:ascii="Calibri" w:hAnsi="Calibri"/>
        </w:rPr>
      </w:pPr>
      <w:r>
        <w:rPr>
          <w:rFonts w:ascii="Calibri" w:hAnsi="Calibri"/>
        </w:rPr>
        <w:lastRenderedPageBreak/>
        <w:t>Uiteraard kunnen uit deze</w:t>
      </w:r>
      <w:r w:rsidRPr="0043072E">
        <w:rPr>
          <w:rFonts w:ascii="Calibri" w:hAnsi="Calibri"/>
        </w:rPr>
        <w:t xml:space="preserve"> </w:t>
      </w:r>
      <w:r>
        <w:rPr>
          <w:rFonts w:ascii="Calibri" w:hAnsi="Calibri"/>
        </w:rPr>
        <w:t>tabel</w:t>
      </w:r>
      <w:r w:rsidRPr="0043072E">
        <w:rPr>
          <w:rFonts w:ascii="Calibri" w:hAnsi="Calibri"/>
        </w:rPr>
        <w:t xml:space="preserve"> </w:t>
      </w:r>
      <w:r>
        <w:rPr>
          <w:rFonts w:ascii="Calibri" w:hAnsi="Calibri"/>
        </w:rPr>
        <w:t xml:space="preserve">dan </w:t>
      </w:r>
      <w:r w:rsidRPr="0043072E">
        <w:rPr>
          <w:rFonts w:ascii="Calibri" w:hAnsi="Calibri"/>
        </w:rPr>
        <w:t xml:space="preserve">ook eenduidig de werkelijke </w:t>
      </w:r>
      <w:r>
        <w:rPr>
          <w:rFonts w:ascii="Calibri" w:hAnsi="Calibri"/>
        </w:rPr>
        <w:t>opbrengsten</w:t>
      </w:r>
      <w:r w:rsidRPr="0043072E">
        <w:rPr>
          <w:rFonts w:ascii="Calibri" w:hAnsi="Calibri"/>
        </w:rPr>
        <w:t xml:space="preserve"> m.b.t. de exogene kosten voor de gereguleerde activiteit </w:t>
      </w:r>
      <w:r>
        <w:rPr>
          <w:rFonts w:ascii="Calibri" w:hAnsi="Calibri"/>
        </w:rPr>
        <w:t>elektriciteit (</w:t>
      </w:r>
      <w:r w:rsidR="001E6E76">
        <w:rPr>
          <w:rFonts w:ascii="Calibri" w:hAnsi="Calibri"/>
        </w:rPr>
        <w:t>injectie</w:t>
      </w:r>
      <w:r>
        <w:rPr>
          <w:rFonts w:ascii="Calibri" w:hAnsi="Calibri"/>
        </w:rPr>
        <w:t xml:space="preserve">) </w:t>
      </w:r>
      <w:r w:rsidR="006C35A8">
        <w:rPr>
          <w:rFonts w:ascii="Calibri" w:hAnsi="Calibri"/>
        </w:rPr>
        <w:t>worden afgeleid</w:t>
      </w:r>
      <w:r w:rsidRPr="0043072E">
        <w:rPr>
          <w:rFonts w:ascii="Calibri" w:hAnsi="Calibri"/>
        </w:rPr>
        <w:t xml:space="preserve">. Deze dienen als basis voor de bepaling van het </w:t>
      </w:r>
      <w:r>
        <w:rPr>
          <w:rFonts w:ascii="Calibri" w:hAnsi="Calibri"/>
        </w:rPr>
        <w:t xml:space="preserve">regulatoir </w:t>
      </w:r>
      <w:r w:rsidRPr="0043072E">
        <w:rPr>
          <w:rFonts w:ascii="Calibri" w:hAnsi="Calibri"/>
        </w:rPr>
        <w:t xml:space="preserve">saldo inzake exogene kosten in ‘tabel 3’ (cfr paragraaf </w:t>
      </w:r>
      <w:r w:rsidR="006357DF">
        <w:rPr>
          <w:rFonts w:ascii="Calibri" w:hAnsi="Calibri"/>
        </w:rPr>
        <w:fldChar w:fldCharType="begin"/>
      </w:r>
      <w:r w:rsidR="006357DF">
        <w:rPr>
          <w:rFonts w:ascii="Calibri" w:hAnsi="Calibri"/>
        </w:rPr>
        <w:instrText xml:space="preserve"> REF _Ref38032440 \r \h </w:instrText>
      </w:r>
      <w:r w:rsidR="006357DF">
        <w:rPr>
          <w:rFonts w:ascii="Calibri" w:hAnsi="Calibri"/>
        </w:rPr>
      </w:r>
      <w:r w:rsidR="006357DF">
        <w:rPr>
          <w:rFonts w:ascii="Calibri" w:hAnsi="Calibri"/>
        </w:rPr>
        <w:fldChar w:fldCharType="separate"/>
      </w:r>
      <w:r w:rsidR="00964FA9">
        <w:rPr>
          <w:rFonts w:ascii="Calibri" w:hAnsi="Calibri"/>
        </w:rPr>
        <w:t>1.1.1.4</w:t>
      </w:r>
      <w:r w:rsidR="006357DF">
        <w:rPr>
          <w:rFonts w:ascii="Calibri" w:hAnsi="Calibri"/>
        </w:rPr>
        <w:fldChar w:fldCharType="end"/>
      </w:r>
      <w:r w:rsidRPr="0043072E">
        <w:rPr>
          <w:rFonts w:ascii="Calibri" w:hAnsi="Calibri"/>
        </w:rPr>
        <w:t xml:space="preserve">), </w:t>
      </w:r>
      <w:r>
        <w:rPr>
          <w:rFonts w:ascii="Calibri" w:hAnsi="Calibri"/>
        </w:rPr>
        <w:t>dewelke</w:t>
      </w:r>
      <w:r w:rsidRPr="0043072E">
        <w:rPr>
          <w:rFonts w:ascii="Calibri" w:hAnsi="Calibri"/>
        </w:rPr>
        <w:t xml:space="preserve"> automatisch in ‘tabel 3’ in rekening worden genomen indien het de </w:t>
      </w:r>
      <w:r>
        <w:rPr>
          <w:rFonts w:ascii="Calibri" w:hAnsi="Calibri"/>
        </w:rPr>
        <w:t xml:space="preserve">ex-post </w:t>
      </w:r>
      <w:r w:rsidRPr="0043072E">
        <w:rPr>
          <w:rFonts w:ascii="Calibri" w:hAnsi="Calibri"/>
        </w:rPr>
        <w:t>rapportering over de gereguleerde activiteit ‘elektriciteit’ omvat</w:t>
      </w:r>
      <w:r>
        <w:rPr>
          <w:rFonts w:ascii="Calibri" w:hAnsi="Calibri"/>
        </w:rPr>
        <w:t>.</w:t>
      </w:r>
    </w:p>
    <w:p w14:paraId="48B274B6" w14:textId="0D9B3A37" w:rsidR="000D47E5" w:rsidRPr="00836F3C" w:rsidRDefault="000D47E5" w:rsidP="000D47E5">
      <w:pPr>
        <w:pStyle w:val="Kop4"/>
      </w:pPr>
      <w:bookmarkStart w:id="41" w:name="_Ref392064635"/>
      <w:bookmarkStart w:id="42" w:name="_Toc81512442"/>
      <w:r w:rsidRPr="0043072E">
        <w:t xml:space="preserve">TABEL 5E: Werkelijke </w:t>
      </w:r>
      <w:r w:rsidR="004C5061">
        <w:t>opbrengsten</w:t>
      </w:r>
      <w:r w:rsidRPr="0043072E">
        <w:t xml:space="preserve"> uit periodieke distributienettarieven </w:t>
      </w:r>
      <w:r w:rsidR="004D47A1">
        <w:t>i</w:t>
      </w:r>
      <w:r w:rsidRPr="0043072E">
        <w:t>n boekjaar 20</w:t>
      </w:r>
      <w:r w:rsidR="004D47A1">
        <w:t>21</w:t>
      </w:r>
      <w:r w:rsidRPr="0043072E">
        <w:t xml:space="preserve"> (gas - afname)</w:t>
      </w:r>
      <w:bookmarkEnd w:id="41"/>
      <w:bookmarkEnd w:id="42"/>
    </w:p>
    <w:p w14:paraId="01343354" w14:textId="4F7F9F7D" w:rsidR="000D47E5" w:rsidRPr="0043072E" w:rsidRDefault="000D47E5" w:rsidP="00836F3C">
      <w:pPr>
        <w:rPr>
          <w:rFonts w:ascii="Calibri" w:hAnsi="Calibri"/>
        </w:rPr>
      </w:pPr>
      <w:r w:rsidRPr="0043072E">
        <w:rPr>
          <w:rFonts w:ascii="Calibri" w:hAnsi="Calibri"/>
        </w:rPr>
        <w:t xml:space="preserve">Teneinde de werkelijke </w:t>
      </w:r>
      <w:r w:rsidR="004C5061">
        <w:rPr>
          <w:rFonts w:ascii="Calibri" w:hAnsi="Calibri"/>
        </w:rPr>
        <w:t>opbrengsten</w:t>
      </w:r>
      <w:r w:rsidRPr="0043072E">
        <w:rPr>
          <w:rFonts w:ascii="Calibri" w:hAnsi="Calibri"/>
        </w:rPr>
        <w:t xml:space="preserve"> voor zowel de exogene als de endogene kosten voor boekjaar 20</w:t>
      </w:r>
      <w:r w:rsidR="00740414">
        <w:rPr>
          <w:rFonts w:ascii="Calibri" w:hAnsi="Calibri"/>
        </w:rPr>
        <w:t>21</w:t>
      </w:r>
      <w:r w:rsidRPr="0043072E">
        <w:rPr>
          <w:rFonts w:ascii="Calibri" w:hAnsi="Calibri"/>
          <w:i/>
        </w:rPr>
        <w:t xml:space="preserve"> </w:t>
      </w:r>
      <w:r w:rsidRPr="0043072E">
        <w:rPr>
          <w:rFonts w:ascii="Calibri" w:hAnsi="Calibri"/>
        </w:rPr>
        <w:t xml:space="preserve">correct te bepalen, worden in deze tabel de totale werkelijke </w:t>
      </w:r>
      <w:r w:rsidR="004C5061">
        <w:rPr>
          <w:rFonts w:ascii="Calibri" w:hAnsi="Calibri"/>
        </w:rPr>
        <w:t>opbrengsten</w:t>
      </w:r>
      <w:r w:rsidRPr="0043072E">
        <w:rPr>
          <w:rFonts w:ascii="Calibri" w:hAnsi="Calibri"/>
        </w:rPr>
        <w:t xml:space="preserve"> voor de gereguleerde activiteit gas (afname) opgevraagd en dit per tariefcomponent</w:t>
      </w:r>
      <w:r w:rsidR="00740414">
        <w:rPr>
          <w:rFonts w:ascii="Calibri" w:hAnsi="Calibri"/>
        </w:rPr>
        <w:t xml:space="preserve"> en per k</w:t>
      </w:r>
      <w:r w:rsidR="005F0070">
        <w:rPr>
          <w:rFonts w:ascii="Calibri" w:hAnsi="Calibri"/>
        </w:rPr>
        <w:t>lantencategorie</w:t>
      </w:r>
      <w:r w:rsidRPr="0043072E">
        <w:rPr>
          <w:rFonts w:ascii="Calibri" w:hAnsi="Calibri"/>
        </w:rPr>
        <w:t xml:space="preserve">. </w:t>
      </w:r>
    </w:p>
    <w:p w14:paraId="39C4F583" w14:textId="0B04E835" w:rsidR="000D47E5" w:rsidRPr="0043072E" w:rsidRDefault="00740414" w:rsidP="00836F3C">
      <w:pPr>
        <w:rPr>
          <w:rFonts w:ascii="Calibri" w:hAnsi="Calibri"/>
        </w:rPr>
      </w:pPr>
      <w:r w:rsidRPr="00BA6CC6">
        <w:rPr>
          <w:rFonts w:ascii="Calibri" w:hAnsi="Calibri"/>
        </w:rPr>
        <w:t xml:space="preserve">Vervolgens moet per tariefcomponent het relatief aandeel voor de endogene kosten in de totale werkelijke opbrengsten voor de gereguleerde activiteit </w:t>
      </w:r>
      <w:r>
        <w:rPr>
          <w:rFonts w:ascii="Calibri" w:hAnsi="Calibri"/>
        </w:rPr>
        <w:t>aardgas</w:t>
      </w:r>
      <w:r w:rsidRPr="00BA6CC6">
        <w:rPr>
          <w:rFonts w:ascii="Calibri" w:hAnsi="Calibri"/>
        </w:rPr>
        <w:t xml:space="preserve"> (</w:t>
      </w:r>
      <w:r>
        <w:rPr>
          <w:rFonts w:ascii="Calibri" w:hAnsi="Calibri"/>
        </w:rPr>
        <w:t>afname</w:t>
      </w:r>
      <w:r w:rsidRPr="00BA6CC6">
        <w:rPr>
          <w:rFonts w:ascii="Calibri" w:hAnsi="Calibri"/>
        </w:rPr>
        <w:t xml:space="preserve">) worden gerapporteerd (afgerond op 2 decimalen). </w:t>
      </w:r>
      <w:r w:rsidR="000D47E5" w:rsidRPr="0043072E">
        <w:rPr>
          <w:rFonts w:ascii="Calibri" w:hAnsi="Calibri"/>
        </w:rPr>
        <w:t xml:space="preserve">Dit aandeel kan eenduidig worden afgeleid uit ‘tabel 10’ van het rapporteringsmodel ‘tariefvoorstel’ </w:t>
      </w:r>
      <w:r w:rsidR="00936D23">
        <w:rPr>
          <w:rFonts w:ascii="Calibri" w:hAnsi="Calibri"/>
        </w:rPr>
        <w:t xml:space="preserve">voor het boekjaar 2021 </w:t>
      </w:r>
      <w:r w:rsidR="000D47E5" w:rsidRPr="0043072E">
        <w:rPr>
          <w:rFonts w:ascii="Calibri" w:hAnsi="Calibri"/>
        </w:rPr>
        <w:t xml:space="preserve">(cfr paragraaf </w:t>
      </w:r>
      <w:r w:rsidR="00453F9F">
        <w:rPr>
          <w:rFonts w:ascii="Calibri" w:hAnsi="Calibri"/>
        </w:rPr>
        <w:fldChar w:fldCharType="begin"/>
      </w:r>
      <w:r w:rsidR="00453F9F">
        <w:rPr>
          <w:rFonts w:ascii="Calibri" w:hAnsi="Calibri"/>
        </w:rPr>
        <w:instrText xml:space="preserve"> REF _Ref42867509 \r \h </w:instrText>
      </w:r>
      <w:r w:rsidR="00453F9F">
        <w:rPr>
          <w:rFonts w:ascii="Calibri" w:hAnsi="Calibri"/>
        </w:rPr>
      </w:r>
      <w:r w:rsidR="00453F9F">
        <w:rPr>
          <w:rFonts w:ascii="Calibri" w:hAnsi="Calibri"/>
        </w:rPr>
        <w:fldChar w:fldCharType="separate"/>
      </w:r>
      <w:r w:rsidR="00964FA9">
        <w:rPr>
          <w:rFonts w:ascii="Calibri" w:hAnsi="Calibri"/>
        </w:rPr>
        <w:t>2.1.1.13</w:t>
      </w:r>
      <w:r w:rsidR="00453F9F">
        <w:rPr>
          <w:rFonts w:ascii="Calibri" w:hAnsi="Calibri"/>
        </w:rPr>
        <w:fldChar w:fldCharType="end"/>
      </w:r>
      <w:r w:rsidR="000D47E5" w:rsidRPr="0043072E">
        <w:rPr>
          <w:rFonts w:ascii="Calibri" w:hAnsi="Calibri"/>
        </w:rPr>
        <w:t>), dewelke dient te worden gerapporteerd vóór de ex-post rapportering m.b.t. de exogene kosten. Dit betekent dus dat het aandeel in deze tabel dient overeen te komen met het aandeel van de endogene kosten in iedere tariefcomponent, zoals dit in ‘tabel 10’ van het rapporteringsmodel ‘tariefvoorstel’ voor boekjaar 20</w:t>
      </w:r>
      <w:r w:rsidR="006A1285">
        <w:rPr>
          <w:rFonts w:ascii="Calibri" w:hAnsi="Calibri"/>
        </w:rPr>
        <w:t>21</w:t>
      </w:r>
      <w:r w:rsidR="000D47E5" w:rsidRPr="0043072E">
        <w:rPr>
          <w:rFonts w:ascii="Calibri" w:hAnsi="Calibri"/>
          <w:i/>
        </w:rPr>
        <w:t xml:space="preserve"> </w:t>
      </w:r>
      <w:r w:rsidR="000D47E5" w:rsidRPr="0043072E">
        <w:rPr>
          <w:rFonts w:ascii="Calibri" w:hAnsi="Calibri"/>
        </w:rPr>
        <w:t xml:space="preserve">kan teruggevonden worden. </w:t>
      </w:r>
    </w:p>
    <w:p w14:paraId="56B46503" w14:textId="7F8828BD" w:rsidR="000D47E5" w:rsidRPr="0043072E" w:rsidRDefault="0082056F" w:rsidP="00836F3C">
      <w:pPr>
        <w:rPr>
          <w:rFonts w:ascii="Calibri" w:hAnsi="Calibri"/>
        </w:rPr>
      </w:pPr>
      <w:r w:rsidRPr="0082056F">
        <w:rPr>
          <w:rFonts w:ascii="Calibri" w:hAnsi="Calibri"/>
        </w:rPr>
        <w:t>Indien in een boekjaar periodieke aardgasdistributienettarieven (afname) van meer dan één tariefvoorstel worden toegepast, zal per tariefcomponent het relatief aandeel van de endogene kosten voor dat boekjaar worden bepaald op basis van het pro rata aandeel van de endogene kosten (afgerond op 2 decimalen), conform de methodiek zoals beschreven in paragraaf 5.6.6 van de hoofdtekst van de tariefmethodologie. Dit pro rata aandeel (afgerond op 2 decimalen) wordt aldus bepaald op basis van het aantal kalenderdagen dat de periodieke aardgasdistributienettarieven (afname) volgens elk van de tariefvoorstellen van kracht waren. Hierbij dient de distributienetbeheerder in een afzonderlijk verklarende nota de detailberekening van het pro rata aandeel van de endogene kosten per tariefcomponent op te geven, d.w.z. dat uit de detailberekening voor elke tariefcomponent duidelijk dient te zijn wat het aandeel van de endogene kosten in elk van de toepasselijke tariefvoorstellen was en hoeveel kalenderdagen de tarieven uit elk van de tariefvoorstellen in het betreffende boekjaar van kracht waren.</w:t>
      </w:r>
    </w:p>
    <w:p w14:paraId="080B07E9" w14:textId="60EEAA6C" w:rsidR="000D47E5" w:rsidRPr="0043072E" w:rsidRDefault="0082056F" w:rsidP="00836F3C">
      <w:pPr>
        <w:rPr>
          <w:rFonts w:ascii="Calibri" w:hAnsi="Calibri"/>
        </w:rPr>
      </w:pPr>
      <w:r w:rsidRPr="0043072E">
        <w:rPr>
          <w:rFonts w:ascii="Calibri" w:hAnsi="Calibri"/>
        </w:rPr>
        <w:t xml:space="preserve">Vervolgens </w:t>
      </w:r>
      <w:r>
        <w:rPr>
          <w:rFonts w:ascii="Calibri" w:hAnsi="Calibri"/>
        </w:rPr>
        <w:t>worden uit deze informatie</w:t>
      </w:r>
      <w:r w:rsidRPr="0043072E">
        <w:rPr>
          <w:rFonts w:ascii="Calibri" w:hAnsi="Calibri"/>
        </w:rPr>
        <w:t xml:space="preserve"> de werkelijke </w:t>
      </w:r>
      <w:r>
        <w:rPr>
          <w:rFonts w:ascii="Calibri" w:hAnsi="Calibri"/>
        </w:rPr>
        <w:t>opbrengsten</w:t>
      </w:r>
      <w:r w:rsidRPr="0043072E">
        <w:rPr>
          <w:rFonts w:ascii="Calibri" w:hAnsi="Calibri"/>
        </w:rPr>
        <w:t xml:space="preserve"> voor endogene kosten m.b.t. de </w:t>
      </w:r>
      <w:r w:rsidRPr="00184981">
        <w:rPr>
          <w:rFonts w:ascii="Calibri" w:hAnsi="Calibri"/>
        </w:rPr>
        <w:t xml:space="preserve">gereguleerde activiteit aardgas (afname) per tariefcomponent berekend, dewelke op hun beurt voor het betreffende boekjaar, samen met de endogene opbrengsten m.b.t. </w:t>
      </w:r>
      <w:r w:rsidR="007251FD" w:rsidRPr="00184981">
        <w:rPr>
          <w:rFonts w:ascii="Calibri" w:hAnsi="Calibri"/>
        </w:rPr>
        <w:t>injectie</w:t>
      </w:r>
      <w:r w:rsidRPr="00184981">
        <w:rPr>
          <w:rFonts w:ascii="Calibri" w:hAnsi="Calibri"/>
        </w:rPr>
        <w:t xml:space="preserve"> (cfr paragraaf </w:t>
      </w:r>
      <w:r w:rsidR="00184981">
        <w:rPr>
          <w:rFonts w:ascii="Calibri" w:hAnsi="Calibri"/>
        </w:rPr>
        <w:fldChar w:fldCharType="begin"/>
      </w:r>
      <w:r w:rsidR="00184981">
        <w:rPr>
          <w:rFonts w:ascii="Calibri" w:hAnsi="Calibri"/>
        </w:rPr>
        <w:instrText xml:space="preserve"> REF _Ref38377854 \r \h </w:instrText>
      </w:r>
      <w:r w:rsidR="00184981">
        <w:rPr>
          <w:rFonts w:ascii="Calibri" w:hAnsi="Calibri"/>
        </w:rPr>
      </w:r>
      <w:r w:rsidR="00184981">
        <w:rPr>
          <w:rFonts w:ascii="Calibri" w:hAnsi="Calibri"/>
        </w:rPr>
        <w:fldChar w:fldCharType="separate"/>
      </w:r>
      <w:r w:rsidR="00964FA9">
        <w:rPr>
          <w:rFonts w:ascii="Calibri" w:hAnsi="Calibri"/>
        </w:rPr>
        <w:t>1.1.1.13</w:t>
      </w:r>
      <w:r w:rsidR="00184981">
        <w:rPr>
          <w:rFonts w:ascii="Calibri" w:hAnsi="Calibri"/>
        </w:rPr>
        <w:fldChar w:fldCharType="end"/>
      </w:r>
      <w:r w:rsidRPr="00184981">
        <w:rPr>
          <w:rFonts w:ascii="Calibri" w:hAnsi="Calibri"/>
        </w:rPr>
        <w:t>), in ‘tabel 5A’ in rekening moeten worden genomen (uiteraard enkel indien het de rapportering voor de</w:t>
      </w:r>
      <w:r w:rsidRPr="0043072E">
        <w:rPr>
          <w:rFonts w:ascii="Calibri" w:hAnsi="Calibri"/>
        </w:rPr>
        <w:t xml:space="preserve"> gereguleerde activiteit ‘</w:t>
      </w:r>
      <w:r w:rsidR="007251FD">
        <w:rPr>
          <w:rFonts w:ascii="Calibri" w:hAnsi="Calibri"/>
        </w:rPr>
        <w:t>aardgas</w:t>
      </w:r>
      <w:r w:rsidRPr="0043072E">
        <w:rPr>
          <w:rFonts w:ascii="Calibri" w:hAnsi="Calibri"/>
        </w:rPr>
        <w:t>’ betreft</w:t>
      </w:r>
      <w:r>
        <w:rPr>
          <w:rFonts w:ascii="Calibri" w:hAnsi="Calibri"/>
        </w:rPr>
        <w:t>)</w:t>
      </w:r>
      <w:r w:rsidRPr="0043072E">
        <w:rPr>
          <w:rFonts w:ascii="Calibri" w:hAnsi="Calibri"/>
        </w:rPr>
        <w:t>.</w:t>
      </w:r>
      <w:r w:rsidR="00836F3C">
        <w:rPr>
          <w:rFonts w:ascii="Calibri" w:hAnsi="Calibri"/>
        </w:rPr>
        <w:t xml:space="preserve"> </w:t>
      </w:r>
    </w:p>
    <w:p w14:paraId="38FBEF13" w14:textId="6AEB31A6" w:rsidR="000D47E5" w:rsidRDefault="007251FD" w:rsidP="00836F3C">
      <w:pPr>
        <w:rPr>
          <w:rFonts w:ascii="Calibri" w:hAnsi="Calibri"/>
        </w:rPr>
      </w:pPr>
      <w:r>
        <w:rPr>
          <w:rFonts w:ascii="Calibri" w:hAnsi="Calibri"/>
        </w:rPr>
        <w:t>Uiteraard kunnen uit deze</w:t>
      </w:r>
      <w:r w:rsidRPr="0043072E">
        <w:rPr>
          <w:rFonts w:ascii="Calibri" w:hAnsi="Calibri"/>
        </w:rPr>
        <w:t xml:space="preserve"> </w:t>
      </w:r>
      <w:r>
        <w:rPr>
          <w:rFonts w:ascii="Calibri" w:hAnsi="Calibri"/>
        </w:rPr>
        <w:t>tabel</w:t>
      </w:r>
      <w:r w:rsidRPr="0043072E">
        <w:rPr>
          <w:rFonts w:ascii="Calibri" w:hAnsi="Calibri"/>
        </w:rPr>
        <w:t xml:space="preserve"> </w:t>
      </w:r>
      <w:r>
        <w:rPr>
          <w:rFonts w:ascii="Calibri" w:hAnsi="Calibri"/>
        </w:rPr>
        <w:t xml:space="preserve">dan </w:t>
      </w:r>
      <w:r w:rsidRPr="0043072E">
        <w:rPr>
          <w:rFonts w:ascii="Calibri" w:hAnsi="Calibri"/>
        </w:rPr>
        <w:t xml:space="preserve">ook eenduidig de werkelijke </w:t>
      </w:r>
      <w:r>
        <w:rPr>
          <w:rFonts w:ascii="Calibri" w:hAnsi="Calibri"/>
        </w:rPr>
        <w:t>opbrengsten</w:t>
      </w:r>
      <w:r w:rsidRPr="0043072E">
        <w:rPr>
          <w:rFonts w:ascii="Calibri" w:hAnsi="Calibri"/>
        </w:rPr>
        <w:t xml:space="preserve"> m.b.t. de exogene kosten voor de gereguleerde activiteit </w:t>
      </w:r>
      <w:r>
        <w:rPr>
          <w:rFonts w:ascii="Calibri" w:hAnsi="Calibri"/>
        </w:rPr>
        <w:t xml:space="preserve">aardgas (afname) </w:t>
      </w:r>
      <w:r w:rsidR="006C35A8">
        <w:rPr>
          <w:rFonts w:ascii="Calibri" w:hAnsi="Calibri"/>
        </w:rPr>
        <w:t>worden afgeleid</w:t>
      </w:r>
      <w:r w:rsidRPr="0043072E">
        <w:rPr>
          <w:rFonts w:ascii="Calibri" w:hAnsi="Calibri"/>
        </w:rPr>
        <w:t xml:space="preserve">. Deze dienen als basis voor de bepaling van het </w:t>
      </w:r>
      <w:r>
        <w:rPr>
          <w:rFonts w:ascii="Calibri" w:hAnsi="Calibri"/>
        </w:rPr>
        <w:t xml:space="preserve">regulatoir </w:t>
      </w:r>
      <w:r w:rsidRPr="0043072E">
        <w:rPr>
          <w:rFonts w:ascii="Calibri" w:hAnsi="Calibri"/>
        </w:rPr>
        <w:t xml:space="preserve">saldo inzake exogene kosten in ‘tabel 3’ (cfr paragraaf </w:t>
      </w:r>
      <w:r w:rsidR="00C27324">
        <w:rPr>
          <w:rFonts w:ascii="Calibri" w:hAnsi="Calibri"/>
        </w:rPr>
        <w:fldChar w:fldCharType="begin"/>
      </w:r>
      <w:r w:rsidR="00C27324">
        <w:rPr>
          <w:rFonts w:ascii="Calibri" w:hAnsi="Calibri"/>
        </w:rPr>
        <w:instrText xml:space="preserve"> REF _Ref38032440 \r \h </w:instrText>
      </w:r>
      <w:r w:rsidR="00C27324">
        <w:rPr>
          <w:rFonts w:ascii="Calibri" w:hAnsi="Calibri"/>
        </w:rPr>
      </w:r>
      <w:r w:rsidR="00C27324">
        <w:rPr>
          <w:rFonts w:ascii="Calibri" w:hAnsi="Calibri"/>
        </w:rPr>
        <w:fldChar w:fldCharType="separate"/>
      </w:r>
      <w:r w:rsidR="00964FA9">
        <w:rPr>
          <w:rFonts w:ascii="Calibri" w:hAnsi="Calibri"/>
        </w:rPr>
        <w:t>1.1.1.4</w:t>
      </w:r>
      <w:r w:rsidR="00C27324">
        <w:rPr>
          <w:rFonts w:ascii="Calibri" w:hAnsi="Calibri"/>
        </w:rPr>
        <w:fldChar w:fldCharType="end"/>
      </w:r>
      <w:r w:rsidRPr="0043072E">
        <w:rPr>
          <w:rFonts w:ascii="Calibri" w:hAnsi="Calibri"/>
        </w:rPr>
        <w:t xml:space="preserve">), </w:t>
      </w:r>
      <w:r>
        <w:rPr>
          <w:rFonts w:ascii="Calibri" w:hAnsi="Calibri"/>
        </w:rPr>
        <w:t>dewelke</w:t>
      </w:r>
      <w:r w:rsidRPr="0043072E">
        <w:rPr>
          <w:rFonts w:ascii="Calibri" w:hAnsi="Calibri"/>
        </w:rPr>
        <w:t xml:space="preserve"> automatisch in ‘tabel 3’ in rekening worden genomen indien het de </w:t>
      </w:r>
      <w:r>
        <w:rPr>
          <w:rFonts w:ascii="Calibri" w:hAnsi="Calibri"/>
        </w:rPr>
        <w:t xml:space="preserve">ex-post </w:t>
      </w:r>
      <w:r w:rsidRPr="0043072E">
        <w:rPr>
          <w:rFonts w:ascii="Calibri" w:hAnsi="Calibri"/>
        </w:rPr>
        <w:t>rapportering over de gereguleerde activiteit ‘</w:t>
      </w:r>
      <w:r w:rsidR="00184981">
        <w:rPr>
          <w:rFonts w:ascii="Calibri" w:hAnsi="Calibri"/>
        </w:rPr>
        <w:t>aardgas</w:t>
      </w:r>
      <w:r w:rsidRPr="0043072E">
        <w:rPr>
          <w:rFonts w:ascii="Calibri" w:hAnsi="Calibri"/>
        </w:rPr>
        <w:t>’ omvat</w:t>
      </w:r>
      <w:r>
        <w:rPr>
          <w:rFonts w:ascii="Calibri" w:hAnsi="Calibri"/>
        </w:rPr>
        <w:t>.</w:t>
      </w:r>
    </w:p>
    <w:p w14:paraId="47DD4F6B" w14:textId="7B47AB32" w:rsidR="00184981" w:rsidRPr="00836F3C" w:rsidRDefault="00184981" w:rsidP="00184981">
      <w:pPr>
        <w:pStyle w:val="Kop4"/>
      </w:pPr>
      <w:bookmarkStart w:id="43" w:name="_Ref38377854"/>
      <w:bookmarkStart w:id="44" w:name="_Toc81512443"/>
      <w:r w:rsidRPr="0043072E">
        <w:t xml:space="preserve">TABEL </w:t>
      </w:r>
      <w:r w:rsidR="007B7616">
        <w:t>5F</w:t>
      </w:r>
      <w:r w:rsidRPr="0043072E">
        <w:t xml:space="preserve">: Werkelijke </w:t>
      </w:r>
      <w:r>
        <w:t>opbrengsten</w:t>
      </w:r>
      <w:r w:rsidRPr="0043072E">
        <w:t xml:space="preserve"> uit periodieke distributienettarieven </w:t>
      </w:r>
      <w:r>
        <w:t>i</w:t>
      </w:r>
      <w:r w:rsidRPr="0043072E">
        <w:t>n boekjaar 20</w:t>
      </w:r>
      <w:r>
        <w:t>21</w:t>
      </w:r>
      <w:r w:rsidRPr="0043072E">
        <w:t xml:space="preserve"> (gas - </w:t>
      </w:r>
      <w:r>
        <w:t>injectie</w:t>
      </w:r>
      <w:r w:rsidRPr="0043072E">
        <w:t>)</w:t>
      </w:r>
      <w:bookmarkEnd w:id="43"/>
      <w:bookmarkEnd w:id="44"/>
    </w:p>
    <w:p w14:paraId="103CA30D" w14:textId="22992749" w:rsidR="00184981" w:rsidRPr="0043072E" w:rsidRDefault="00184981" w:rsidP="00184981">
      <w:pPr>
        <w:rPr>
          <w:rFonts w:ascii="Calibri" w:hAnsi="Calibri"/>
        </w:rPr>
      </w:pPr>
      <w:r w:rsidRPr="0043072E">
        <w:rPr>
          <w:rFonts w:ascii="Calibri" w:hAnsi="Calibri"/>
        </w:rPr>
        <w:lastRenderedPageBreak/>
        <w:t xml:space="preserve">Teneinde de werkelijke </w:t>
      </w:r>
      <w:r>
        <w:rPr>
          <w:rFonts w:ascii="Calibri" w:hAnsi="Calibri"/>
        </w:rPr>
        <w:t>opbrengsten</w:t>
      </w:r>
      <w:r w:rsidRPr="0043072E">
        <w:rPr>
          <w:rFonts w:ascii="Calibri" w:hAnsi="Calibri"/>
        </w:rPr>
        <w:t xml:space="preserve"> voor zowel de exogene als de endogene kosten voor boekjaar 20</w:t>
      </w:r>
      <w:r>
        <w:rPr>
          <w:rFonts w:ascii="Calibri" w:hAnsi="Calibri"/>
        </w:rPr>
        <w:t>21</w:t>
      </w:r>
      <w:r w:rsidRPr="0043072E">
        <w:rPr>
          <w:rFonts w:ascii="Calibri" w:hAnsi="Calibri"/>
          <w:i/>
        </w:rPr>
        <w:t xml:space="preserve"> </w:t>
      </w:r>
      <w:r w:rsidRPr="0043072E">
        <w:rPr>
          <w:rFonts w:ascii="Calibri" w:hAnsi="Calibri"/>
        </w:rPr>
        <w:t xml:space="preserve">correct te bepalen, worden in deze tabel de totale werkelijke </w:t>
      </w:r>
      <w:r>
        <w:rPr>
          <w:rFonts w:ascii="Calibri" w:hAnsi="Calibri"/>
        </w:rPr>
        <w:t>opbrengsten</w:t>
      </w:r>
      <w:r w:rsidRPr="0043072E">
        <w:rPr>
          <w:rFonts w:ascii="Calibri" w:hAnsi="Calibri"/>
        </w:rPr>
        <w:t xml:space="preserve"> voor de gereguleerde activiteit gas (</w:t>
      </w:r>
      <w:r w:rsidR="008D0063">
        <w:rPr>
          <w:rFonts w:ascii="Calibri" w:hAnsi="Calibri"/>
        </w:rPr>
        <w:t>injectie</w:t>
      </w:r>
      <w:r w:rsidRPr="0043072E">
        <w:rPr>
          <w:rFonts w:ascii="Calibri" w:hAnsi="Calibri"/>
        </w:rPr>
        <w:t>) opgevraagd en dit per tariefcomponen</w:t>
      </w:r>
      <w:r w:rsidR="008D0063">
        <w:rPr>
          <w:rFonts w:ascii="Calibri" w:hAnsi="Calibri"/>
        </w:rPr>
        <w:t>t</w:t>
      </w:r>
      <w:r w:rsidRPr="0043072E">
        <w:rPr>
          <w:rFonts w:ascii="Calibri" w:hAnsi="Calibri"/>
        </w:rPr>
        <w:t xml:space="preserve">. </w:t>
      </w:r>
    </w:p>
    <w:p w14:paraId="0147E1C6" w14:textId="36E300A2" w:rsidR="00184981" w:rsidRPr="0043072E" w:rsidRDefault="00184981" w:rsidP="00184981">
      <w:pPr>
        <w:rPr>
          <w:rFonts w:ascii="Calibri" w:hAnsi="Calibri"/>
        </w:rPr>
      </w:pPr>
      <w:r w:rsidRPr="00BA6CC6">
        <w:rPr>
          <w:rFonts w:ascii="Calibri" w:hAnsi="Calibri"/>
        </w:rPr>
        <w:t xml:space="preserve">Vervolgens moet per tariefcomponent het relatief aandeel voor de endogene kosten in de totale werkelijke opbrengsten voor de gereguleerde activiteit </w:t>
      </w:r>
      <w:r>
        <w:rPr>
          <w:rFonts w:ascii="Calibri" w:hAnsi="Calibri"/>
        </w:rPr>
        <w:t>aardgas</w:t>
      </w:r>
      <w:r w:rsidRPr="00BA6CC6">
        <w:rPr>
          <w:rFonts w:ascii="Calibri" w:hAnsi="Calibri"/>
        </w:rPr>
        <w:t xml:space="preserve"> (</w:t>
      </w:r>
      <w:r w:rsidR="008D0063">
        <w:rPr>
          <w:rFonts w:ascii="Calibri" w:hAnsi="Calibri"/>
        </w:rPr>
        <w:t>injectie</w:t>
      </w:r>
      <w:r w:rsidRPr="00BA6CC6">
        <w:rPr>
          <w:rFonts w:ascii="Calibri" w:hAnsi="Calibri"/>
        </w:rPr>
        <w:t xml:space="preserve">) worden gerapporteerd (afgerond op 2 decimalen). </w:t>
      </w:r>
      <w:r w:rsidRPr="0043072E">
        <w:rPr>
          <w:rFonts w:ascii="Calibri" w:hAnsi="Calibri"/>
        </w:rPr>
        <w:t xml:space="preserve">Dit aandeel kan eenduidig worden afgeleid uit ‘tabel 10’ van het rapporteringsmodel ‘tariefvoorstel’ </w:t>
      </w:r>
      <w:r w:rsidR="00861AA4">
        <w:rPr>
          <w:rFonts w:ascii="Calibri" w:hAnsi="Calibri"/>
        </w:rPr>
        <w:t xml:space="preserve">voor boekjaar 2021 </w:t>
      </w:r>
      <w:r w:rsidRPr="0043072E">
        <w:rPr>
          <w:rFonts w:ascii="Calibri" w:hAnsi="Calibri"/>
        </w:rPr>
        <w:t xml:space="preserve">(cfr </w:t>
      </w:r>
      <w:r w:rsidR="00453F9F" w:rsidRPr="0043072E">
        <w:rPr>
          <w:rFonts w:ascii="Calibri" w:hAnsi="Calibri"/>
        </w:rPr>
        <w:t xml:space="preserve">paragraaf </w:t>
      </w:r>
      <w:r w:rsidR="00453F9F">
        <w:rPr>
          <w:rFonts w:ascii="Calibri" w:hAnsi="Calibri"/>
        </w:rPr>
        <w:fldChar w:fldCharType="begin"/>
      </w:r>
      <w:r w:rsidR="00453F9F">
        <w:rPr>
          <w:rFonts w:ascii="Calibri" w:hAnsi="Calibri"/>
        </w:rPr>
        <w:instrText xml:space="preserve"> REF _Ref42867509 \r \h </w:instrText>
      </w:r>
      <w:r w:rsidR="00453F9F">
        <w:rPr>
          <w:rFonts w:ascii="Calibri" w:hAnsi="Calibri"/>
        </w:rPr>
      </w:r>
      <w:r w:rsidR="00453F9F">
        <w:rPr>
          <w:rFonts w:ascii="Calibri" w:hAnsi="Calibri"/>
        </w:rPr>
        <w:fldChar w:fldCharType="separate"/>
      </w:r>
      <w:r w:rsidR="00964FA9">
        <w:rPr>
          <w:rFonts w:ascii="Calibri" w:hAnsi="Calibri"/>
        </w:rPr>
        <w:t>2.1.1.13</w:t>
      </w:r>
      <w:r w:rsidR="00453F9F">
        <w:rPr>
          <w:rFonts w:ascii="Calibri" w:hAnsi="Calibri"/>
        </w:rPr>
        <w:fldChar w:fldCharType="end"/>
      </w:r>
      <w:r w:rsidRPr="0043072E">
        <w:rPr>
          <w:rFonts w:ascii="Calibri" w:hAnsi="Calibri"/>
        </w:rPr>
        <w:t>), dewelke dient te worden gerapporteerd vóór de ex-post rapportering m.b.t. de exogene kosten. Dit betekent dus dat het aandeel in deze tabel dient overeen te komen met het aandeel van de endogene kosten in iedere tariefcomponent, zoals dit in ‘tabel 10’ van het rapporteringsmodel ‘tariefvoorstel’ voor boekjaar 20</w:t>
      </w:r>
      <w:r>
        <w:rPr>
          <w:rFonts w:ascii="Calibri" w:hAnsi="Calibri"/>
        </w:rPr>
        <w:t>21</w:t>
      </w:r>
      <w:r w:rsidRPr="0043072E">
        <w:rPr>
          <w:rFonts w:ascii="Calibri" w:hAnsi="Calibri"/>
          <w:i/>
        </w:rPr>
        <w:t xml:space="preserve"> </w:t>
      </w:r>
      <w:r w:rsidRPr="0043072E">
        <w:rPr>
          <w:rFonts w:ascii="Calibri" w:hAnsi="Calibri"/>
        </w:rPr>
        <w:t xml:space="preserve">kan teruggevonden worden. </w:t>
      </w:r>
    </w:p>
    <w:p w14:paraId="3DAD1750" w14:textId="0297F860" w:rsidR="00184981" w:rsidRPr="0043072E" w:rsidRDefault="00184981" w:rsidP="00184981">
      <w:pPr>
        <w:rPr>
          <w:rFonts w:ascii="Calibri" w:hAnsi="Calibri"/>
        </w:rPr>
      </w:pPr>
      <w:r w:rsidRPr="0082056F">
        <w:rPr>
          <w:rFonts w:ascii="Calibri" w:hAnsi="Calibri"/>
        </w:rPr>
        <w:t>Indien in een boekjaar periodieke aardgasdistributienettarieven (</w:t>
      </w:r>
      <w:r w:rsidR="00241A9F">
        <w:rPr>
          <w:rFonts w:ascii="Calibri" w:hAnsi="Calibri"/>
        </w:rPr>
        <w:t>injectie</w:t>
      </w:r>
      <w:r w:rsidRPr="0082056F">
        <w:rPr>
          <w:rFonts w:ascii="Calibri" w:hAnsi="Calibri"/>
        </w:rPr>
        <w:t>) van meer dan één tariefvoorstel worden toegepast, zal per tariefcomponent het relatief aandeel van de endogene kosten voor dat boekjaar worden bepaald op basis van het pro rata aandeel van de endogene kosten (afgerond op 2 decimalen), conform de methodiek zoals beschreven in paragraaf 5.6.6 van de hoofdtekst van de tariefmethodologie. Dit pro rata aandeel (afgerond op 2 decimalen) wordt aldus bepaald op basis van het aantal kalenderdagen dat de periodieke aardgasdistributienettarieven (</w:t>
      </w:r>
      <w:r w:rsidR="00241A9F">
        <w:rPr>
          <w:rFonts w:ascii="Calibri" w:hAnsi="Calibri"/>
        </w:rPr>
        <w:t>injectie</w:t>
      </w:r>
      <w:r w:rsidRPr="0082056F">
        <w:rPr>
          <w:rFonts w:ascii="Calibri" w:hAnsi="Calibri"/>
        </w:rPr>
        <w:t>) volgens elk van de tariefvoorstellen van kracht waren. Hierbij dient de distributienetbeheerder in een afzonderlijk verklarende nota de detailberekening van het pro rata aandeel van de endogene kosten per tariefcomponent op te geven, d.w.z. dat uit de detailberekening voor elke tariefcomponent duidelijk dient te zijn wat het aandeel van de endogene kosten in elk van de toepasselijke tariefvoorstellen was en hoeveel kalenderdagen de tarieven uit elk van de tariefvoorstellen in het betreffende boekjaar van kracht waren.</w:t>
      </w:r>
    </w:p>
    <w:p w14:paraId="34641C40" w14:textId="29B31712" w:rsidR="00184981" w:rsidRPr="0043072E" w:rsidRDefault="00184981" w:rsidP="00184981">
      <w:pPr>
        <w:rPr>
          <w:rFonts w:ascii="Calibri" w:hAnsi="Calibri"/>
        </w:rPr>
      </w:pPr>
      <w:r w:rsidRPr="0043072E">
        <w:rPr>
          <w:rFonts w:ascii="Calibri" w:hAnsi="Calibri"/>
        </w:rPr>
        <w:t xml:space="preserve">Vervolgens </w:t>
      </w:r>
      <w:r>
        <w:rPr>
          <w:rFonts w:ascii="Calibri" w:hAnsi="Calibri"/>
        </w:rPr>
        <w:t>worden uit deze informatie</w:t>
      </w:r>
      <w:r w:rsidRPr="0043072E">
        <w:rPr>
          <w:rFonts w:ascii="Calibri" w:hAnsi="Calibri"/>
        </w:rPr>
        <w:t xml:space="preserve"> de werkelijke </w:t>
      </w:r>
      <w:r>
        <w:rPr>
          <w:rFonts w:ascii="Calibri" w:hAnsi="Calibri"/>
        </w:rPr>
        <w:t>opbrengsten</w:t>
      </w:r>
      <w:r w:rsidRPr="0043072E">
        <w:rPr>
          <w:rFonts w:ascii="Calibri" w:hAnsi="Calibri"/>
        </w:rPr>
        <w:t xml:space="preserve"> voor endogene kosten m.b.t. </w:t>
      </w:r>
      <w:r w:rsidRPr="007B7616">
        <w:rPr>
          <w:rFonts w:ascii="Calibri" w:hAnsi="Calibri"/>
        </w:rPr>
        <w:t>de gereguleerde activiteit aardgas (</w:t>
      </w:r>
      <w:r w:rsidR="007B7616" w:rsidRPr="007B7616">
        <w:rPr>
          <w:rFonts w:ascii="Calibri" w:hAnsi="Calibri"/>
        </w:rPr>
        <w:t>injectie</w:t>
      </w:r>
      <w:r w:rsidRPr="007B7616">
        <w:rPr>
          <w:rFonts w:ascii="Calibri" w:hAnsi="Calibri"/>
        </w:rPr>
        <w:t xml:space="preserve">) per tariefcomponent berekend, dewelke op hun beurt voor het betreffende boekjaar, samen met de endogene opbrengsten m.b.t. </w:t>
      </w:r>
      <w:r w:rsidR="007B7616" w:rsidRPr="007B7616">
        <w:rPr>
          <w:rFonts w:ascii="Calibri" w:hAnsi="Calibri"/>
        </w:rPr>
        <w:t>afname</w:t>
      </w:r>
      <w:r w:rsidRPr="007B7616">
        <w:rPr>
          <w:rFonts w:ascii="Calibri" w:hAnsi="Calibri"/>
        </w:rPr>
        <w:t xml:space="preserve"> (cfr paragraaf </w:t>
      </w:r>
      <w:r w:rsidR="007B7616">
        <w:rPr>
          <w:rFonts w:ascii="Calibri" w:hAnsi="Calibri"/>
        </w:rPr>
        <w:fldChar w:fldCharType="begin"/>
      </w:r>
      <w:r w:rsidR="007B7616">
        <w:rPr>
          <w:rFonts w:ascii="Calibri" w:hAnsi="Calibri"/>
        </w:rPr>
        <w:instrText xml:space="preserve"> REF _Ref392064635 \r \h </w:instrText>
      </w:r>
      <w:r w:rsidR="007B7616">
        <w:rPr>
          <w:rFonts w:ascii="Calibri" w:hAnsi="Calibri"/>
        </w:rPr>
      </w:r>
      <w:r w:rsidR="007B7616">
        <w:rPr>
          <w:rFonts w:ascii="Calibri" w:hAnsi="Calibri"/>
        </w:rPr>
        <w:fldChar w:fldCharType="separate"/>
      </w:r>
      <w:r w:rsidR="00964FA9">
        <w:rPr>
          <w:rFonts w:ascii="Calibri" w:hAnsi="Calibri"/>
        </w:rPr>
        <w:t>1.1.1.12</w:t>
      </w:r>
      <w:r w:rsidR="007B7616">
        <w:rPr>
          <w:rFonts w:ascii="Calibri" w:hAnsi="Calibri"/>
        </w:rPr>
        <w:fldChar w:fldCharType="end"/>
      </w:r>
      <w:r w:rsidRPr="007B7616">
        <w:rPr>
          <w:rFonts w:ascii="Calibri" w:hAnsi="Calibri"/>
        </w:rPr>
        <w:t>), in ‘tabel 5A’ in rekening moeten worden genomen (uiteraard enkel indien het de rapportering voor de gereguleerde</w:t>
      </w:r>
      <w:r w:rsidRPr="0043072E">
        <w:rPr>
          <w:rFonts w:ascii="Calibri" w:hAnsi="Calibri"/>
        </w:rPr>
        <w:t xml:space="preserve"> activiteit ‘</w:t>
      </w:r>
      <w:r>
        <w:rPr>
          <w:rFonts w:ascii="Calibri" w:hAnsi="Calibri"/>
        </w:rPr>
        <w:t>aardgas</w:t>
      </w:r>
      <w:r w:rsidRPr="0043072E">
        <w:rPr>
          <w:rFonts w:ascii="Calibri" w:hAnsi="Calibri"/>
        </w:rPr>
        <w:t>’ betreft</w:t>
      </w:r>
      <w:r>
        <w:rPr>
          <w:rFonts w:ascii="Calibri" w:hAnsi="Calibri"/>
        </w:rPr>
        <w:t>)</w:t>
      </w:r>
      <w:r w:rsidRPr="0043072E">
        <w:rPr>
          <w:rFonts w:ascii="Calibri" w:hAnsi="Calibri"/>
        </w:rPr>
        <w:t>.</w:t>
      </w:r>
      <w:r>
        <w:rPr>
          <w:rFonts w:ascii="Calibri" w:hAnsi="Calibri"/>
        </w:rPr>
        <w:t xml:space="preserve"> </w:t>
      </w:r>
    </w:p>
    <w:p w14:paraId="7F9C8D6D" w14:textId="58BD587A" w:rsidR="00184981" w:rsidRPr="0043072E" w:rsidRDefault="00184981" w:rsidP="00184981">
      <w:pPr>
        <w:rPr>
          <w:rFonts w:ascii="Calibri" w:hAnsi="Calibri"/>
        </w:rPr>
      </w:pPr>
      <w:r>
        <w:rPr>
          <w:rFonts w:ascii="Calibri" w:hAnsi="Calibri"/>
        </w:rPr>
        <w:t>Uiteraard kunnen uit deze</w:t>
      </w:r>
      <w:r w:rsidRPr="0043072E">
        <w:rPr>
          <w:rFonts w:ascii="Calibri" w:hAnsi="Calibri"/>
        </w:rPr>
        <w:t xml:space="preserve"> </w:t>
      </w:r>
      <w:r>
        <w:rPr>
          <w:rFonts w:ascii="Calibri" w:hAnsi="Calibri"/>
        </w:rPr>
        <w:t>tabel</w:t>
      </w:r>
      <w:r w:rsidRPr="0043072E">
        <w:rPr>
          <w:rFonts w:ascii="Calibri" w:hAnsi="Calibri"/>
        </w:rPr>
        <w:t xml:space="preserve"> </w:t>
      </w:r>
      <w:r>
        <w:rPr>
          <w:rFonts w:ascii="Calibri" w:hAnsi="Calibri"/>
        </w:rPr>
        <w:t xml:space="preserve">dan </w:t>
      </w:r>
      <w:r w:rsidRPr="0043072E">
        <w:rPr>
          <w:rFonts w:ascii="Calibri" w:hAnsi="Calibri"/>
        </w:rPr>
        <w:t xml:space="preserve">ook eenduidig de werkelijke </w:t>
      </w:r>
      <w:r>
        <w:rPr>
          <w:rFonts w:ascii="Calibri" w:hAnsi="Calibri"/>
        </w:rPr>
        <w:t>opbrengsten</w:t>
      </w:r>
      <w:r w:rsidRPr="0043072E">
        <w:rPr>
          <w:rFonts w:ascii="Calibri" w:hAnsi="Calibri"/>
        </w:rPr>
        <w:t xml:space="preserve"> m.b.t. de exogene kosten voor de gereguleerde activiteit </w:t>
      </w:r>
      <w:r>
        <w:rPr>
          <w:rFonts w:ascii="Calibri" w:hAnsi="Calibri"/>
        </w:rPr>
        <w:t>aardgas (</w:t>
      </w:r>
      <w:r w:rsidR="006C35A8">
        <w:rPr>
          <w:rFonts w:ascii="Calibri" w:hAnsi="Calibri"/>
        </w:rPr>
        <w:t>injectie</w:t>
      </w:r>
      <w:r>
        <w:rPr>
          <w:rFonts w:ascii="Calibri" w:hAnsi="Calibri"/>
        </w:rPr>
        <w:t>)</w:t>
      </w:r>
      <w:r w:rsidR="006C35A8">
        <w:rPr>
          <w:rFonts w:ascii="Calibri" w:hAnsi="Calibri"/>
        </w:rPr>
        <w:t xml:space="preserve"> worden afgeleid</w:t>
      </w:r>
      <w:r w:rsidRPr="0043072E">
        <w:rPr>
          <w:rFonts w:ascii="Calibri" w:hAnsi="Calibri"/>
        </w:rPr>
        <w:t xml:space="preserve">. Deze dienen als basis voor de bepaling van het </w:t>
      </w:r>
      <w:r>
        <w:rPr>
          <w:rFonts w:ascii="Calibri" w:hAnsi="Calibri"/>
        </w:rPr>
        <w:t xml:space="preserve">regulatoir </w:t>
      </w:r>
      <w:r w:rsidRPr="0043072E">
        <w:rPr>
          <w:rFonts w:ascii="Calibri" w:hAnsi="Calibri"/>
        </w:rPr>
        <w:t xml:space="preserve">saldo inzake exogene kosten in ‘tabel 3’ (cfr paragraaf </w:t>
      </w:r>
      <w:r w:rsidR="00C27324">
        <w:rPr>
          <w:rFonts w:ascii="Calibri" w:hAnsi="Calibri"/>
        </w:rPr>
        <w:fldChar w:fldCharType="begin"/>
      </w:r>
      <w:r w:rsidR="00C27324">
        <w:rPr>
          <w:rFonts w:ascii="Calibri" w:hAnsi="Calibri"/>
        </w:rPr>
        <w:instrText xml:space="preserve"> REF _Ref38032440 \r \h </w:instrText>
      </w:r>
      <w:r w:rsidR="00C27324">
        <w:rPr>
          <w:rFonts w:ascii="Calibri" w:hAnsi="Calibri"/>
        </w:rPr>
      </w:r>
      <w:r w:rsidR="00C27324">
        <w:rPr>
          <w:rFonts w:ascii="Calibri" w:hAnsi="Calibri"/>
        </w:rPr>
        <w:fldChar w:fldCharType="separate"/>
      </w:r>
      <w:r w:rsidR="00964FA9">
        <w:rPr>
          <w:rFonts w:ascii="Calibri" w:hAnsi="Calibri"/>
        </w:rPr>
        <w:t>1.1.1.4</w:t>
      </w:r>
      <w:r w:rsidR="00C27324">
        <w:rPr>
          <w:rFonts w:ascii="Calibri" w:hAnsi="Calibri"/>
        </w:rPr>
        <w:fldChar w:fldCharType="end"/>
      </w:r>
      <w:r w:rsidRPr="0043072E">
        <w:rPr>
          <w:rFonts w:ascii="Calibri" w:hAnsi="Calibri"/>
        </w:rPr>
        <w:t xml:space="preserve">), </w:t>
      </w:r>
      <w:r>
        <w:rPr>
          <w:rFonts w:ascii="Calibri" w:hAnsi="Calibri"/>
        </w:rPr>
        <w:t>dewelke</w:t>
      </w:r>
      <w:r w:rsidRPr="0043072E">
        <w:rPr>
          <w:rFonts w:ascii="Calibri" w:hAnsi="Calibri"/>
        </w:rPr>
        <w:t xml:space="preserve"> automatisch in ‘tabel 3’ in rekening worden genomen indien het de </w:t>
      </w:r>
      <w:r>
        <w:rPr>
          <w:rFonts w:ascii="Calibri" w:hAnsi="Calibri"/>
        </w:rPr>
        <w:t xml:space="preserve">ex-post </w:t>
      </w:r>
      <w:r w:rsidRPr="0043072E">
        <w:rPr>
          <w:rFonts w:ascii="Calibri" w:hAnsi="Calibri"/>
        </w:rPr>
        <w:t>rapportering over de gereguleerde activiteit ‘</w:t>
      </w:r>
      <w:r>
        <w:rPr>
          <w:rFonts w:ascii="Calibri" w:hAnsi="Calibri"/>
        </w:rPr>
        <w:t>aardgas</w:t>
      </w:r>
      <w:r w:rsidRPr="0043072E">
        <w:rPr>
          <w:rFonts w:ascii="Calibri" w:hAnsi="Calibri"/>
        </w:rPr>
        <w:t>’ omvat</w:t>
      </w:r>
      <w:r>
        <w:rPr>
          <w:rFonts w:ascii="Calibri" w:hAnsi="Calibri"/>
        </w:rPr>
        <w:t>.</w:t>
      </w:r>
    </w:p>
    <w:p w14:paraId="51E3E332" w14:textId="7E03B24F" w:rsidR="000D47E5" w:rsidRPr="00F62197" w:rsidRDefault="000D47E5" w:rsidP="00836F3C">
      <w:pPr>
        <w:pStyle w:val="Kop4"/>
      </w:pPr>
      <w:bookmarkStart w:id="45" w:name="_Ref446671205"/>
      <w:bookmarkStart w:id="46" w:name="_Toc81512444"/>
      <w:bookmarkStart w:id="47" w:name="_Ref392056724"/>
      <w:r w:rsidRPr="00F62197">
        <w:t>TABEL 6A: Opvolging regulatoir saldo inzake herindexering van het budget voor endogene kosten</w:t>
      </w:r>
      <w:bookmarkEnd w:id="45"/>
      <w:bookmarkEnd w:id="46"/>
    </w:p>
    <w:p w14:paraId="5F471C8D" w14:textId="1B925391" w:rsidR="000D47E5" w:rsidRPr="00F62197" w:rsidRDefault="000D47E5" w:rsidP="00836F3C">
      <w:pPr>
        <w:rPr>
          <w:rFonts w:ascii="Calibri" w:hAnsi="Calibri"/>
        </w:rPr>
      </w:pPr>
      <w:r w:rsidRPr="00F62197">
        <w:rPr>
          <w:rFonts w:ascii="Calibri" w:hAnsi="Calibri"/>
        </w:rPr>
        <w:t>Deze tabel laat een jaarlijkse opvolging toe van de saldi inzake de herindexering van het budget voor endogene kosten. De tabel toont finaal enerzijds de saldi voor de herindexering van het budget endogene kosten zoals ze door de VREG werden goedgekeurd en anderzijds de saldi die door de distributienetbeheerder werden ingeboekt</w:t>
      </w:r>
      <w:r w:rsidR="00836F3C" w:rsidRPr="00F62197">
        <w:rPr>
          <w:rFonts w:ascii="Calibri" w:hAnsi="Calibri"/>
        </w:rPr>
        <w:t>.</w:t>
      </w:r>
    </w:p>
    <w:p w14:paraId="0C63632A" w14:textId="705653A9" w:rsidR="00E80CA2" w:rsidRDefault="00F209AD" w:rsidP="00E80CA2">
      <w:pPr>
        <w:rPr>
          <w:rFonts w:ascii="Calibri" w:hAnsi="Calibri"/>
        </w:rPr>
      </w:pPr>
      <w:r w:rsidRPr="00F62197">
        <w:rPr>
          <w:rFonts w:ascii="Calibri" w:hAnsi="Calibri"/>
        </w:rPr>
        <w:t xml:space="preserve">Merk hierbij op dat in de berekening van het regulatoir saldo per tariefcomponent </w:t>
      </w:r>
      <w:r w:rsidR="00E80CA2" w:rsidRPr="00EC107B">
        <w:rPr>
          <w:rFonts w:ascii="Calibri" w:hAnsi="Calibri"/>
        </w:rPr>
        <w:t xml:space="preserve">ook rekening wordt gehouden met </w:t>
      </w:r>
      <w:r w:rsidR="00E80CA2">
        <w:rPr>
          <w:rFonts w:ascii="Calibri" w:hAnsi="Calibri"/>
        </w:rPr>
        <w:t xml:space="preserve">volgende </w:t>
      </w:r>
      <w:r w:rsidR="00E80CA2" w:rsidRPr="00EC107B">
        <w:rPr>
          <w:rFonts w:ascii="Calibri" w:hAnsi="Calibri"/>
        </w:rPr>
        <w:t>methodologische bepaling</w:t>
      </w:r>
      <w:r w:rsidR="00E80CA2">
        <w:rPr>
          <w:rFonts w:ascii="Calibri" w:hAnsi="Calibri"/>
        </w:rPr>
        <w:t>en:</w:t>
      </w:r>
    </w:p>
    <w:p w14:paraId="1580269F" w14:textId="1CA10100" w:rsidR="00B36B8D" w:rsidRDefault="00E80CA2" w:rsidP="00E80CA2">
      <w:pPr>
        <w:pStyle w:val="Lijstalinea"/>
        <w:numPr>
          <w:ilvl w:val="0"/>
          <w:numId w:val="25"/>
        </w:numPr>
        <w:rPr>
          <w:rFonts w:ascii="Calibri" w:hAnsi="Calibri"/>
        </w:rPr>
      </w:pPr>
      <w:r w:rsidRPr="00DF30EC">
        <w:rPr>
          <w:rFonts w:ascii="Calibri" w:hAnsi="Calibri"/>
        </w:rPr>
        <w:t xml:space="preserve">het regulatoir saldo op de tariefcomponent voor aanrekening van reactieve energie wordt </w:t>
      </w:r>
      <w:r w:rsidR="00ED0AF5">
        <w:rPr>
          <w:rFonts w:ascii="Calibri" w:hAnsi="Calibri"/>
        </w:rPr>
        <w:t xml:space="preserve">vanaf 2021 </w:t>
      </w:r>
      <w:r w:rsidRPr="00DF30EC">
        <w:rPr>
          <w:rFonts w:ascii="Calibri" w:hAnsi="Calibri"/>
        </w:rPr>
        <w:t xml:space="preserve">afgebouwd via de tariefcomponent voor basistarief gebruik van </w:t>
      </w:r>
      <w:r w:rsidRPr="00DF30EC">
        <w:rPr>
          <w:rFonts w:ascii="Calibri" w:hAnsi="Calibri"/>
        </w:rPr>
        <w:lastRenderedPageBreak/>
        <w:t>het net</w:t>
      </w:r>
      <w:r>
        <w:rPr>
          <w:rFonts w:ascii="Calibri" w:hAnsi="Calibri"/>
        </w:rPr>
        <w:t>.</w:t>
      </w:r>
      <w:r w:rsidRPr="00DF30EC">
        <w:rPr>
          <w:rFonts w:ascii="Calibri" w:hAnsi="Calibri"/>
        </w:rPr>
        <w:t xml:space="preserve"> Bijgevolg houdt het regulatoir saldo inzake het </w:t>
      </w:r>
      <w:r>
        <w:rPr>
          <w:rFonts w:ascii="Calibri" w:hAnsi="Calibri"/>
        </w:rPr>
        <w:t xml:space="preserve">basistarief voor het gebruik van het net </w:t>
      </w:r>
      <w:r w:rsidRPr="00DF30EC">
        <w:rPr>
          <w:rFonts w:ascii="Calibri" w:hAnsi="Calibri"/>
        </w:rPr>
        <w:t>voor boekjaar 20</w:t>
      </w:r>
      <w:r>
        <w:rPr>
          <w:rFonts w:ascii="Calibri" w:hAnsi="Calibri"/>
        </w:rPr>
        <w:t>21</w:t>
      </w:r>
      <w:r w:rsidRPr="00DF30EC">
        <w:rPr>
          <w:rFonts w:ascii="Calibri" w:hAnsi="Calibri"/>
        </w:rPr>
        <w:t xml:space="preserve"> ook meteen rekening met het regulatoir saldo inzake het tarief voor reactieve energie</w:t>
      </w:r>
      <w:r>
        <w:rPr>
          <w:rFonts w:ascii="Calibri" w:hAnsi="Calibri"/>
        </w:rPr>
        <w:t>;</w:t>
      </w:r>
    </w:p>
    <w:p w14:paraId="2AA72441" w14:textId="4FF21799" w:rsidR="008206A3" w:rsidRPr="00B36B8D" w:rsidRDefault="00E80CA2" w:rsidP="00E80CA2">
      <w:pPr>
        <w:pStyle w:val="Lijstalinea"/>
        <w:numPr>
          <w:ilvl w:val="0"/>
          <w:numId w:val="25"/>
        </w:numPr>
        <w:rPr>
          <w:rFonts w:ascii="Calibri" w:hAnsi="Calibri"/>
        </w:rPr>
      </w:pPr>
      <w:r w:rsidRPr="00B36B8D">
        <w:rPr>
          <w:rFonts w:ascii="Calibri" w:hAnsi="Calibri"/>
        </w:rPr>
        <w:t>het regulatoir saldo op de tariefcomponent inzake databeheer wordt vanaf 2021 afgebouwd via de tariefcomponent voor basistarief gebruik van het net. Bijgevolg houdt het regulatoir saldo inzake het basistarief voor het gebruik van het net voor boekjaar 2021 ook meteen rekening met het regulatoir saldo inzake het tarief databeheer.</w:t>
      </w:r>
    </w:p>
    <w:p w14:paraId="33EB2555" w14:textId="594AD08B" w:rsidR="000D47E5" w:rsidRPr="00F62197" w:rsidRDefault="000D47E5" w:rsidP="00836F3C">
      <w:pPr>
        <w:rPr>
          <w:rFonts w:ascii="Calibri" w:hAnsi="Calibri"/>
        </w:rPr>
      </w:pPr>
      <w:r w:rsidRPr="00F62197">
        <w:rPr>
          <w:rFonts w:ascii="Calibri" w:hAnsi="Calibri"/>
        </w:rPr>
        <w:t xml:space="preserve">Teneinde </w:t>
      </w:r>
      <w:r w:rsidR="00E958DE">
        <w:rPr>
          <w:rFonts w:ascii="Calibri" w:hAnsi="Calibri"/>
        </w:rPr>
        <w:t xml:space="preserve">het regulatoir saldo </w:t>
      </w:r>
      <w:r w:rsidRPr="00F62197">
        <w:rPr>
          <w:rFonts w:ascii="Calibri" w:hAnsi="Calibri"/>
        </w:rPr>
        <w:t xml:space="preserve">op een correcte manier te bepalen, wordt vooreerst per tariefcomponent het budget endogene kosten voor </w:t>
      </w:r>
      <w:r w:rsidR="004E67ED" w:rsidRPr="00F62197">
        <w:rPr>
          <w:rFonts w:ascii="Calibri" w:hAnsi="Calibri"/>
        </w:rPr>
        <w:t>het betrekkende boekjaar</w:t>
      </w:r>
      <w:r w:rsidR="00636DA3">
        <w:rPr>
          <w:rFonts w:ascii="Calibri" w:hAnsi="Calibri"/>
        </w:rPr>
        <w:t xml:space="preserve"> en de voorgaande boekjaren</w:t>
      </w:r>
      <w:r w:rsidRPr="00F62197">
        <w:rPr>
          <w:rFonts w:ascii="Calibri" w:hAnsi="Calibri"/>
        </w:rPr>
        <w:t xml:space="preserve"> beschouwd. Met het budget endogene kosten wordt het </w:t>
      </w:r>
      <w:r w:rsidR="005F7FB0" w:rsidRPr="00F62197">
        <w:rPr>
          <w:rFonts w:ascii="Calibri" w:hAnsi="Calibri"/>
        </w:rPr>
        <w:t xml:space="preserve">toegelaten </w:t>
      </w:r>
      <w:r w:rsidRPr="00F62197">
        <w:rPr>
          <w:rFonts w:ascii="Calibri" w:hAnsi="Calibri"/>
        </w:rPr>
        <w:t xml:space="preserve">inkomen inzake endogene kosten voor </w:t>
      </w:r>
      <w:r w:rsidR="005F7FB0" w:rsidRPr="00F62197">
        <w:rPr>
          <w:rFonts w:ascii="Calibri" w:hAnsi="Calibri"/>
        </w:rPr>
        <w:t xml:space="preserve">het betreffende boekjaar </w:t>
      </w:r>
      <w:r w:rsidRPr="00F62197">
        <w:rPr>
          <w:rFonts w:ascii="Calibri" w:hAnsi="Calibri"/>
        </w:rPr>
        <w:t>bedoeld zoals dit in ‘tabel 3’ (voor de gereguleerde activiteit ‘elektriciteit’) of ‘tabel 10’ (voor de gereguleerde activiteit ‘gas’) van het rapporteringsmodel ‘tariefvoorstel’ aan elke tariefcomponent werd toegewezen. Een distributienetbeheerder is</w:t>
      </w:r>
      <w:r w:rsidR="008206A3" w:rsidRPr="00F62197">
        <w:rPr>
          <w:rFonts w:ascii="Calibri" w:hAnsi="Calibri"/>
        </w:rPr>
        <w:t xml:space="preserve"> in zijn tariefvoorstel</w:t>
      </w:r>
      <w:r w:rsidRPr="00F62197">
        <w:rPr>
          <w:rFonts w:ascii="Calibri" w:hAnsi="Calibri"/>
        </w:rPr>
        <w:t xml:space="preserve"> immers in de mogelijkheid een </w:t>
      </w:r>
      <w:r w:rsidR="008206A3" w:rsidRPr="00F62197">
        <w:rPr>
          <w:rFonts w:ascii="Calibri" w:hAnsi="Calibri"/>
        </w:rPr>
        <w:t xml:space="preserve">endogeen </w:t>
      </w:r>
      <w:r w:rsidRPr="00F62197">
        <w:rPr>
          <w:rFonts w:ascii="Calibri" w:hAnsi="Calibri"/>
        </w:rPr>
        <w:t xml:space="preserve">budget op te nemen dat lager is dan zijn door de VREG toegelaten inkomen inzake endogene kosten voor </w:t>
      </w:r>
      <w:r w:rsidR="003704E0" w:rsidRPr="00F62197">
        <w:rPr>
          <w:rFonts w:ascii="Calibri" w:hAnsi="Calibri"/>
        </w:rPr>
        <w:t>het betreffende boekjaar</w:t>
      </w:r>
      <w:r w:rsidRPr="00F62197">
        <w:rPr>
          <w:rFonts w:ascii="Calibri" w:hAnsi="Calibri"/>
        </w:rPr>
        <w:t xml:space="preserve">. </w:t>
      </w:r>
    </w:p>
    <w:p w14:paraId="0CF91EE1" w14:textId="76BAA6ED" w:rsidR="000D47E5" w:rsidRPr="00F62197" w:rsidRDefault="000D47E5" w:rsidP="00DB0888">
      <w:pPr>
        <w:rPr>
          <w:rFonts w:ascii="Calibri" w:hAnsi="Calibri"/>
        </w:rPr>
      </w:pPr>
      <w:r w:rsidRPr="00F62197">
        <w:rPr>
          <w:rFonts w:ascii="Calibri" w:hAnsi="Calibri"/>
        </w:rPr>
        <w:t xml:space="preserve">In een volgende stap </w:t>
      </w:r>
      <w:r w:rsidR="001C113A" w:rsidRPr="00F62197">
        <w:rPr>
          <w:rFonts w:ascii="Calibri" w:hAnsi="Calibri"/>
        </w:rPr>
        <w:t>dient de distributienetbeheerder</w:t>
      </w:r>
      <w:r w:rsidR="00AB05F6" w:rsidRPr="00F62197">
        <w:rPr>
          <w:rFonts w:ascii="Calibri" w:hAnsi="Calibri"/>
        </w:rPr>
        <w:t xml:space="preserve"> voor het betreffende boekjaar</w:t>
      </w:r>
      <w:r w:rsidRPr="00F62197">
        <w:rPr>
          <w:rFonts w:ascii="Calibri" w:hAnsi="Calibri"/>
        </w:rPr>
        <w:t xml:space="preserve"> </w:t>
      </w:r>
      <w:r w:rsidR="00A51D00">
        <w:rPr>
          <w:rFonts w:ascii="Calibri" w:hAnsi="Calibri"/>
        </w:rPr>
        <w:t xml:space="preserve">en de voorgaande boekjaren </w:t>
      </w:r>
      <w:r w:rsidRPr="00F62197">
        <w:rPr>
          <w:rFonts w:ascii="Calibri" w:hAnsi="Calibri"/>
        </w:rPr>
        <w:t>het toegelaten inkomen inzake de ex-ante correctie m.b.t. de vennootschapsbelasting</w:t>
      </w:r>
      <w:r w:rsidR="00196FD3" w:rsidRPr="00F62197">
        <w:rPr>
          <w:rFonts w:ascii="Calibri" w:hAnsi="Calibri"/>
        </w:rPr>
        <w:t xml:space="preserve">, de ex-ante </w:t>
      </w:r>
      <w:r w:rsidR="0035287A" w:rsidRPr="00F62197">
        <w:rPr>
          <w:rFonts w:ascii="Calibri" w:hAnsi="Calibri"/>
        </w:rPr>
        <w:t>aanvullende endogene term voor de kosten m.b.t. herwaarderingsmeerwaarden</w:t>
      </w:r>
      <w:r w:rsidR="008D6829" w:rsidRPr="00F62197">
        <w:rPr>
          <w:rFonts w:ascii="Calibri" w:hAnsi="Calibri"/>
        </w:rPr>
        <w:t>,</w:t>
      </w:r>
      <w:r w:rsidR="0035287A" w:rsidRPr="00F62197">
        <w:rPr>
          <w:rFonts w:ascii="Calibri" w:hAnsi="Calibri"/>
        </w:rPr>
        <w:t xml:space="preserve"> de door de VREG gegeven financiële incentives</w:t>
      </w:r>
      <w:r w:rsidR="008D6829" w:rsidRPr="00F62197">
        <w:rPr>
          <w:rFonts w:ascii="Calibri" w:hAnsi="Calibri"/>
        </w:rPr>
        <w:t>, het eventueel voorschot zoals toegekend door de VREG alsook de eventuele terugnam</w:t>
      </w:r>
      <w:r w:rsidR="00AB05F6" w:rsidRPr="00F62197">
        <w:rPr>
          <w:rFonts w:ascii="Calibri" w:hAnsi="Calibri"/>
        </w:rPr>
        <w:t>es in</w:t>
      </w:r>
      <w:r w:rsidR="004163BF" w:rsidRPr="00F62197">
        <w:rPr>
          <w:rFonts w:ascii="Calibri" w:hAnsi="Calibri"/>
        </w:rPr>
        <w:t xml:space="preserve"> het betreffende boekjaar</w:t>
      </w:r>
      <w:r w:rsidR="00DB0888" w:rsidRPr="00F62197">
        <w:rPr>
          <w:rFonts w:ascii="Calibri" w:hAnsi="Calibri"/>
        </w:rPr>
        <w:t>, geheel of gedeeltelijk, van een eerder door de VREG toegekend voorschot</w:t>
      </w:r>
      <w:r w:rsidRPr="00F62197">
        <w:rPr>
          <w:rFonts w:ascii="Calibri" w:hAnsi="Calibri"/>
        </w:rPr>
        <w:t xml:space="preserve"> op</w:t>
      </w:r>
      <w:r w:rsidR="004163BF" w:rsidRPr="00F62197">
        <w:rPr>
          <w:rFonts w:ascii="Calibri" w:hAnsi="Calibri"/>
        </w:rPr>
        <w:t xml:space="preserve"> te </w:t>
      </w:r>
      <w:r w:rsidRPr="00F62197">
        <w:rPr>
          <w:rFonts w:ascii="Calibri" w:hAnsi="Calibri"/>
        </w:rPr>
        <w:t xml:space="preserve">nemen aangezien hierop geen herindexering wordt toegepast. </w:t>
      </w:r>
    </w:p>
    <w:p w14:paraId="5C337569" w14:textId="5F2956E0" w:rsidR="000D47E5" w:rsidRPr="00F62197" w:rsidRDefault="000D47E5" w:rsidP="00836F3C">
      <w:pPr>
        <w:rPr>
          <w:rFonts w:ascii="Calibri" w:hAnsi="Calibri"/>
        </w:rPr>
      </w:pPr>
      <w:r w:rsidRPr="00F62197">
        <w:rPr>
          <w:rFonts w:ascii="Calibri" w:hAnsi="Calibri"/>
        </w:rPr>
        <w:t xml:space="preserve">Vervolgens </w:t>
      </w:r>
      <w:r w:rsidR="006805E3" w:rsidRPr="00F62197">
        <w:rPr>
          <w:rFonts w:ascii="Calibri" w:hAnsi="Calibri"/>
        </w:rPr>
        <w:t>rapporteert</w:t>
      </w:r>
      <w:r w:rsidR="00B17465" w:rsidRPr="00F62197">
        <w:rPr>
          <w:rFonts w:ascii="Calibri" w:hAnsi="Calibri"/>
        </w:rPr>
        <w:t xml:space="preserve"> de distributienetbeheerder </w:t>
      </w:r>
      <w:r w:rsidRPr="00F62197">
        <w:rPr>
          <w:rFonts w:ascii="Calibri" w:hAnsi="Calibri"/>
        </w:rPr>
        <w:t xml:space="preserve">zowel de </w:t>
      </w:r>
      <w:r w:rsidR="00A625BA">
        <w:rPr>
          <w:rFonts w:ascii="Calibri" w:hAnsi="Calibri"/>
        </w:rPr>
        <w:t xml:space="preserve">voor de maand juli </w:t>
      </w:r>
      <w:r w:rsidR="006808D6">
        <w:rPr>
          <w:rFonts w:ascii="Calibri" w:hAnsi="Calibri"/>
        </w:rPr>
        <w:t xml:space="preserve">jaar op jaar </w:t>
      </w:r>
      <w:r w:rsidRPr="00F62197">
        <w:rPr>
          <w:rFonts w:ascii="Calibri" w:hAnsi="Calibri"/>
        </w:rPr>
        <w:t xml:space="preserve">verwachte </w:t>
      </w:r>
      <w:r w:rsidR="006808D6">
        <w:rPr>
          <w:rFonts w:ascii="Calibri" w:hAnsi="Calibri"/>
        </w:rPr>
        <w:t xml:space="preserve">als werkelijke </w:t>
      </w:r>
      <w:r w:rsidRPr="00F62197">
        <w:rPr>
          <w:rFonts w:ascii="Calibri" w:hAnsi="Calibri"/>
        </w:rPr>
        <w:t xml:space="preserve">inflatie van het </w:t>
      </w:r>
      <w:r w:rsidR="00B17465" w:rsidRPr="00F62197">
        <w:rPr>
          <w:rFonts w:ascii="Calibri" w:hAnsi="Calibri"/>
        </w:rPr>
        <w:t xml:space="preserve">betreffende </w:t>
      </w:r>
      <w:r w:rsidRPr="00F62197">
        <w:rPr>
          <w:rFonts w:ascii="Calibri" w:hAnsi="Calibri"/>
        </w:rPr>
        <w:t>boekjaar</w:t>
      </w:r>
      <w:r w:rsidR="00D64C02">
        <w:rPr>
          <w:rFonts w:ascii="Calibri" w:hAnsi="Calibri"/>
        </w:rPr>
        <w:t xml:space="preserve"> en de voorgaande boekjaren</w:t>
      </w:r>
      <w:r w:rsidR="00836F3C" w:rsidRPr="00F62197">
        <w:rPr>
          <w:rFonts w:ascii="Calibri" w:hAnsi="Calibri"/>
        </w:rPr>
        <w:t>.</w:t>
      </w:r>
      <w:r w:rsidR="00C969F7" w:rsidRPr="00F62197">
        <w:rPr>
          <w:rFonts w:ascii="Calibri" w:hAnsi="Calibri"/>
        </w:rPr>
        <w:t xml:space="preserve"> </w:t>
      </w:r>
      <w:r w:rsidR="0025382C">
        <w:rPr>
          <w:rFonts w:ascii="Calibri" w:hAnsi="Calibri"/>
        </w:rPr>
        <w:t xml:space="preserve">Voor de regulatoire saldi in de reguleringsperiode 2021-2024 </w:t>
      </w:r>
      <w:r w:rsidR="00C969F7" w:rsidRPr="00F62197">
        <w:rPr>
          <w:rFonts w:ascii="Calibri" w:hAnsi="Calibri"/>
        </w:rPr>
        <w:t>worden</w:t>
      </w:r>
      <w:r w:rsidR="0025382C">
        <w:rPr>
          <w:rFonts w:ascii="Calibri" w:hAnsi="Calibri"/>
        </w:rPr>
        <w:t xml:space="preserve"> deze</w:t>
      </w:r>
      <w:r w:rsidR="00C969F7" w:rsidRPr="00F62197">
        <w:rPr>
          <w:rFonts w:ascii="Calibri" w:hAnsi="Calibri"/>
        </w:rPr>
        <w:t xml:space="preserve"> </w:t>
      </w:r>
      <w:r w:rsidR="005017CF" w:rsidRPr="00F62197">
        <w:rPr>
          <w:rFonts w:ascii="Calibri" w:hAnsi="Calibri"/>
        </w:rPr>
        <w:t>berekend</w:t>
      </w:r>
      <w:r w:rsidR="00C969F7" w:rsidRPr="00F62197">
        <w:rPr>
          <w:rFonts w:ascii="Calibri" w:hAnsi="Calibri"/>
        </w:rPr>
        <w:t xml:space="preserve"> conform de bepalingen in paragraaf 5.5.3.</w:t>
      </w:r>
      <w:r w:rsidR="00D76F25" w:rsidRPr="00F62197">
        <w:rPr>
          <w:rFonts w:ascii="Calibri" w:hAnsi="Calibri"/>
        </w:rPr>
        <w:t>5.1 van de hoofdtekst van de tariefmethodologie.</w:t>
      </w:r>
    </w:p>
    <w:p w14:paraId="5F525507" w14:textId="01D4E03F" w:rsidR="000D47E5" w:rsidRPr="00BF741E" w:rsidRDefault="00242CA5" w:rsidP="00836F3C">
      <w:pPr>
        <w:rPr>
          <w:rFonts w:ascii="Calibri" w:hAnsi="Calibri"/>
        </w:rPr>
      </w:pPr>
      <w:r w:rsidRPr="00242CA5">
        <w:rPr>
          <w:rFonts w:ascii="Calibri" w:hAnsi="Calibri"/>
        </w:rPr>
        <w:t>Ook de x-waarde, x’-waarde</w:t>
      </w:r>
      <w:r w:rsidR="00A81787">
        <w:rPr>
          <w:rFonts w:ascii="Calibri" w:hAnsi="Calibri"/>
        </w:rPr>
        <w:t>,</w:t>
      </w:r>
      <w:r w:rsidRPr="00242CA5">
        <w:rPr>
          <w:rFonts w:ascii="Calibri" w:hAnsi="Calibri"/>
        </w:rPr>
        <w:t xml:space="preserve"> x’’-waarde </w:t>
      </w:r>
      <w:r w:rsidR="00A81787">
        <w:rPr>
          <w:rFonts w:ascii="Calibri" w:hAnsi="Calibri"/>
        </w:rPr>
        <w:t>en q-</w:t>
      </w:r>
      <w:r w:rsidR="00691EEE">
        <w:rPr>
          <w:rFonts w:ascii="Calibri" w:hAnsi="Calibri"/>
        </w:rPr>
        <w:t>waarde</w:t>
      </w:r>
      <w:r w:rsidR="00625689">
        <w:rPr>
          <w:rStyle w:val="Voetnootmarkering"/>
          <w:rFonts w:ascii="Calibri" w:hAnsi="Calibri"/>
        </w:rPr>
        <w:footnoteReference w:id="6"/>
      </w:r>
      <w:r w:rsidR="00A81787">
        <w:rPr>
          <w:rFonts w:ascii="Calibri" w:hAnsi="Calibri"/>
        </w:rPr>
        <w:t xml:space="preserve"> </w:t>
      </w:r>
      <w:r w:rsidRPr="00242CA5">
        <w:rPr>
          <w:rFonts w:ascii="Calibri" w:hAnsi="Calibri"/>
        </w:rPr>
        <w:t xml:space="preserve">voor het betreffende boekjaar </w:t>
      </w:r>
      <w:r w:rsidR="00990302">
        <w:rPr>
          <w:rFonts w:ascii="Calibri" w:hAnsi="Calibri"/>
        </w:rPr>
        <w:t xml:space="preserve">en de voorgaande boekjaren </w:t>
      </w:r>
      <w:r w:rsidRPr="00242CA5">
        <w:rPr>
          <w:rFonts w:ascii="Calibri" w:hAnsi="Calibri"/>
        </w:rPr>
        <w:t xml:space="preserve">moeten door de distributienetbeheerder in rekening worden genomen. </w:t>
      </w:r>
      <w:r w:rsidR="008174A8">
        <w:rPr>
          <w:rFonts w:ascii="Calibri" w:hAnsi="Calibri"/>
        </w:rPr>
        <w:t xml:space="preserve">Zoals ook toegelicht in paragraaf 5.5.3.4.1 van de hoofdtekst van de tariefmethodologie </w:t>
      </w:r>
      <w:r w:rsidR="008B370B">
        <w:rPr>
          <w:rFonts w:ascii="Calibri" w:hAnsi="Calibri"/>
        </w:rPr>
        <w:t xml:space="preserve">zorgt de x’-waarde echter voor besparingen die volgen na 2021, alsof er in het jaar 2021 geen besparingen zouden worden opgelegd. Om die reden </w:t>
      </w:r>
      <w:r w:rsidR="0008089C">
        <w:rPr>
          <w:rFonts w:ascii="Calibri" w:hAnsi="Calibri"/>
        </w:rPr>
        <w:t xml:space="preserve">wordt voor het boekjaar 2021 </w:t>
      </w:r>
      <w:r w:rsidR="005A3A25">
        <w:rPr>
          <w:rFonts w:ascii="Calibri" w:hAnsi="Calibri"/>
        </w:rPr>
        <w:t>1/4</w:t>
      </w:r>
      <w:r w:rsidR="005A3A25" w:rsidRPr="005A3A25">
        <w:rPr>
          <w:rFonts w:ascii="Calibri" w:hAnsi="Calibri"/>
          <w:vertAlign w:val="superscript"/>
        </w:rPr>
        <w:t>e</w:t>
      </w:r>
      <w:r w:rsidR="005A3A25">
        <w:rPr>
          <w:rFonts w:ascii="Calibri" w:hAnsi="Calibri"/>
        </w:rPr>
        <w:t xml:space="preserve"> van de over 2021-2024 te behalen besparingen in rekening genomen. Deze besparing wordt bepaald uit </w:t>
      </w:r>
      <w:r w:rsidR="00A91C36">
        <w:rPr>
          <w:rFonts w:ascii="Calibri" w:hAnsi="Calibri"/>
        </w:rPr>
        <w:t xml:space="preserve">het aandeel van elke distributienetbeheerder in de totale voor het boekjaar 2021 opgelegde besparing. Dit </w:t>
      </w:r>
      <w:r w:rsidR="00FC1D21">
        <w:rPr>
          <w:rFonts w:ascii="Calibri" w:hAnsi="Calibri"/>
        </w:rPr>
        <w:t>betreft</w:t>
      </w:r>
      <w:r w:rsidR="00C50A93">
        <w:rPr>
          <w:rFonts w:ascii="Calibri" w:hAnsi="Calibri"/>
        </w:rPr>
        <w:t xml:space="preserve"> het aandeel van de </w:t>
      </w:r>
      <w:r w:rsidR="00C50A93" w:rsidRPr="00BF741E">
        <w:rPr>
          <w:rFonts w:ascii="Calibri" w:hAnsi="Calibri"/>
        </w:rPr>
        <w:t xml:space="preserve">distributienetbeheerder in de </w:t>
      </w:r>
      <w:r w:rsidR="006A31CE" w:rsidRPr="00BF741E">
        <w:rPr>
          <w:rFonts w:ascii="Calibri" w:hAnsi="Calibri"/>
        </w:rPr>
        <w:t>relevante geactualiseerde endogene sectorkosten in de historische referentieperiode 2015-2019</w:t>
      </w:r>
      <w:r w:rsidR="00FC1D21">
        <w:rPr>
          <w:rFonts w:ascii="Calibri" w:hAnsi="Calibri"/>
        </w:rPr>
        <w:t xml:space="preserve"> en dient in de tabel eveneens door de distributienetbeheerder in rekening worden genomen</w:t>
      </w:r>
      <w:r w:rsidR="006A31CE" w:rsidRPr="00BF741E">
        <w:rPr>
          <w:rFonts w:ascii="Calibri" w:hAnsi="Calibri"/>
        </w:rPr>
        <w:t xml:space="preserve">. </w:t>
      </w:r>
    </w:p>
    <w:p w14:paraId="0D862BB0" w14:textId="3BD56BD9" w:rsidR="000D47E5" w:rsidRDefault="000D47E5" w:rsidP="00836F3C">
      <w:pPr>
        <w:rPr>
          <w:rFonts w:ascii="Calibri" w:hAnsi="Calibri"/>
        </w:rPr>
      </w:pPr>
      <w:r w:rsidRPr="00BF741E">
        <w:rPr>
          <w:rFonts w:ascii="Calibri" w:hAnsi="Calibri"/>
        </w:rPr>
        <w:t xml:space="preserve">Op basis van deze waarden kan tenslotte het regulatoir saldo inzake de herindexering van het budget endogene kosten voor boekjaar </w:t>
      </w:r>
      <w:r w:rsidR="00BF6028" w:rsidRPr="00BF741E">
        <w:rPr>
          <w:rFonts w:ascii="Calibri" w:hAnsi="Calibri"/>
        </w:rPr>
        <w:t>2021</w:t>
      </w:r>
      <w:r w:rsidRPr="00BF741E">
        <w:rPr>
          <w:rFonts w:ascii="Calibri" w:hAnsi="Calibri"/>
        </w:rPr>
        <w:t xml:space="preserve"> </w:t>
      </w:r>
      <w:r w:rsidR="00E0422E">
        <w:rPr>
          <w:rFonts w:ascii="Calibri" w:hAnsi="Calibri"/>
        </w:rPr>
        <w:t xml:space="preserve">en de voorgaande boekjaren </w:t>
      </w:r>
      <w:r w:rsidRPr="00BF741E">
        <w:rPr>
          <w:rFonts w:ascii="Calibri" w:hAnsi="Calibri"/>
        </w:rPr>
        <w:t>worden bepaald en dit per tariefcomponent. Deze wordt</w:t>
      </w:r>
      <w:r w:rsidR="00730A56">
        <w:rPr>
          <w:rFonts w:ascii="Calibri" w:hAnsi="Calibri"/>
        </w:rPr>
        <w:t xml:space="preserve"> voor boekjaar 2021</w:t>
      </w:r>
      <w:r w:rsidRPr="00BF741E">
        <w:rPr>
          <w:rFonts w:ascii="Calibri" w:hAnsi="Calibri"/>
        </w:rPr>
        <w:t xml:space="preserve"> bepaald door toepassing van de formule 2</w:t>
      </w:r>
      <w:r w:rsidR="00BF741E" w:rsidRPr="00BF741E">
        <w:rPr>
          <w:rFonts w:ascii="Calibri" w:hAnsi="Calibri"/>
        </w:rPr>
        <w:t>4</w:t>
      </w:r>
      <w:r w:rsidRPr="00BF741E">
        <w:rPr>
          <w:rFonts w:ascii="Calibri" w:hAnsi="Calibri"/>
        </w:rPr>
        <w:t xml:space="preserve"> in de hoofdtekst van de tariefmethodologie.</w:t>
      </w:r>
    </w:p>
    <w:p w14:paraId="059740E6" w14:textId="0D7C7286" w:rsidR="007E1FF9" w:rsidRPr="00BF741E" w:rsidRDefault="007E1FF9" w:rsidP="00836F3C">
      <w:pPr>
        <w:rPr>
          <w:rFonts w:ascii="Calibri" w:hAnsi="Calibri"/>
        </w:rPr>
      </w:pPr>
      <w:r>
        <w:rPr>
          <w:rFonts w:ascii="Calibri" w:hAnsi="Calibri"/>
        </w:rPr>
        <w:lastRenderedPageBreak/>
        <w:t>Op ex-ante basis dient de distributienetbeheerder een waarde te rapporteren voor de boekjaren waarvoor door de VREG in de voorgaande jaren reeds een regulatoir saldo werd beslist.</w:t>
      </w:r>
      <w:r w:rsidR="00D26E5A">
        <w:rPr>
          <w:rFonts w:ascii="Calibri" w:hAnsi="Calibri"/>
        </w:rPr>
        <w:t xml:space="preserve"> Ook kan de distributienetbeheerder</w:t>
      </w:r>
      <w:r w:rsidR="000C18B9">
        <w:rPr>
          <w:rFonts w:ascii="Calibri" w:hAnsi="Calibri"/>
        </w:rPr>
        <w:t>, bij ex-ante rapportering voor het boekjaar 20XX,</w:t>
      </w:r>
      <w:r w:rsidR="00D26E5A">
        <w:rPr>
          <w:rFonts w:ascii="Calibri" w:hAnsi="Calibri"/>
        </w:rPr>
        <w:t xml:space="preserve"> </w:t>
      </w:r>
      <w:r w:rsidR="00B207B3">
        <w:rPr>
          <w:rFonts w:ascii="Calibri" w:hAnsi="Calibri"/>
        </w:rPr>
        <w:t xml:space="preserve">het betreffende regulatoir saldo </w:t>
      </w:r>
      <w:r w:rsidR="001F4CC5">
        <w:rPr>
          <w:rFonts w:ascii="Calibri" w:hAnsi="Calibri"/>
        </w:rPr>
        <w:t xml:space="preserve">voor het boekjaar 20XX-1 </w:t>
      </w:r>
      <w:r w:rsidR="004F36FF">
        <w:rPr>
          <w:rFonts w:ascii="Calibri" w:hAnsi="Calibri"/>
        </w:rPr>
        <w:t>in rekening nemen</w:t>
      </w:r>
      <w:r w:rsidR="00B207B3">
        <w:rPr>
          <w:rFonts w:ascii="Calibri" w:hAnsi="Calibri"/>
        </w:rPr>
        <w:t>.</w:t>
      </w:r>
    </w:p>
    <w:p w14:paraId="05C4635B" w14:textId="44D653A7" w:rsidR="000D47E5" w:rsidRPr="000B0040" w:rsidRDefault="000D47E5" w:rsidP="00836F3C">
      <w:pPr>
        <w:rPr>
          <w:rFonts w:ascii="Calibri" w:hAnsi="Calibri"/>
        </w:rPr>
      </w:pPr>
      <w:r w:rsidRPr="000B0040">
        <w:rPr>
          <w:rFonts w:ascii="Calibri" w:hAnsi="Calibri"/>
        </w:rPr>
        <w:t xml:space="preserve">Het regulatoir saldo dat voortvloeit uit de herindexering van het budget endogene kosten </w:t>
      </w:r>
      <w:r w:rsidR="000B588A">
        <w:rPr>
          <w:rFonts w:ascii="Calibri" w:hAnsi="Calibri"/>
        </w:rPr>
        <w:t>voor het betreffende boekjaar</w:t>
      </w:r>
      <w:r w:rsidRPr="000B0040">
        <w:rPr>
          <w:rFonts w:ascii="Calibri" w:hAnsi="Calibri"/>
        </w:rPr>
        <w:t xml:space="preserve"> wordt overgeboekt van de resultatenrekening naar de overlopende rekeningen, zoals weergegeven in de eerste tabel onder rubriek ‘Invloed op het resultaat’. Eventuele correcties op dit saldo kunnen nog door de VREG in de daaropvolgende </w:t>
      </w:r>
      <w:r w:rsidR="00836F3C" w:rsidRPr="000B0040">
        <w:rPr>
          <w:rFonts w:ascii="Calibri" w:hAnsi="Calibri"/>
        </w:rPr>
        <w:t xml:space="preserve">boekja(a)r(en) worden beslist. </w:t>
      </w:r>
    </w:p>
    <w:p w14:paraId="3F68BF4D" w14:textId="14730198" w:rsidR="000D47E5" w:rsidRPr="000B0040" w:rsidRDefault="00617277" w:rsidP="00836F3C">
      <w:pPr>
        <w:rPr>
          <w:rFonts w:ascii="Calibri" w:hAnsi="Calibri"/>
        </w:rPr>
      </w:pPr>
      <w:r w:rsidRPr="000B0040">
        <w:rPr>
          <w:rFonts w:ascii="Calibri" w:hAnsi="Calibri"/>
        </w:rPr>
        <w:t>De volgende tabel onder rubriek ‘Invloed op het resultaat’ toont de terugname of afbouw van deze saldi vanuit de overlopende rekeningen naar de resultatenrekening, conform de bepalingen in de huidige en vorige tariefmethodologieën</w:t>
      </w:r>
      <w:r w:rsidR="00836F3C" w:rsidRPr="000B0040">
        <w:rPr>
          <w:rFonts w:ascii="Calibri" w:hAnsi="Calibri"/>
        </w:rPr>
        <w:t xml:space="preserve">. </w:t>
      </w:r>
    </w:p>
    <w:p w14:paraId="317F2549" w14:textId="787603BC" w:rsidR="000D47E5" w:rsidRPr="00025280" w:rsidRDefault="000D47E5" w:rsidP="00836F3C">
      <w:pPr>
        <w:rPr>
          <w:rFonts w:ascii="Calibri" w:hAnsi="Calibri"/>
        </w:rPr>
      </w:pPr>
      <w:r w:rsidRPr="000B0040">
        <w:rPr>
          <w:rFonts w:ascii="Calibri" w:hAnsi="Calibri"/>
        </w:rPr>
        <w:t xml:space="preserve">De laatste, onderste tabel toont de evolutie van de overlopende rekeningen voor een specifiek </w:t>
      </w:r>
      <w:r w:rsidRPr="00025280">
        <w:rPr>
          <w:rFonts w:ascii="Calibri" w:hAnsi="Calibri"/>
        </w:rPr>
        <w:t>boekjaar op basis van de boeking en terugname van de saldi in de loop van het</w:t>
      </w:r>
      <w:r w:rsidR="00836F3C" w:rsidRPr="00025280">
        <w:rPr>
          <w:rFonts w:ascii="Calibri" w:hAnsi="Calibri"/>
        </w:rPr>
        <w:t xml:space="preserve"> boekjaar.</w:t>
      </w:r>
    </w:p>
    <w:p w14:paraId="512506FD" w14:textId="312E4F7D" w:rsidR="000D47E5" w:rsidRDefault="000D47E5" w:rsidP="00836F3C">
      <w:pPr>
        <w:rPr>
          <w:rFonts w:ascii="Calibri" w:hAnsi="Calibri"/>
        </w:rPr>
      </w:pPr>
      <w:r w:rsidRPr="00025280">
        <w:rPr>
          <w:rFonts w:ascii="Calibri" w:hAnsi="Calibri"/>
        </w:rPr>
        <w:t xml:space="preserve">Het regulatoir saldo inzake de herindexering van het budget voor endogene kosten zal een negatieve waarde aannemen indien de werkelijke inflatie lager is dan verwacht. In dat geval zullen de werkelijke </w:t>
      </w:r>
      <w:r w:rsidR="004C5061" w:rsidRPr="00025280">
        <w:rPr>
          <w:rFonts w:ascii="Calibri" w:hAnsi="Calibri"/>
        </w:rPr>
        <w:t>opbrengsten</w:t>
      </w:r>
      <w:r w:rsidRPr="00025280">
        <w:rPr>
          <w:rFonts w:ascii="Calibri" w:hAnsi="Calibri"/>
        </w:rPr>
        <w:t xml:space="preserve"> worden afgeroomd ten bedrage van dit saldo en worden overgeboekt naar de overlopende rekening op het passief. De terugname van dit saldo zal bijgevolg een teruggave van een overschot betekenen en dus ook een verlaging van de toekomstige periodieke distributienettarieven inhouden.</w:t>
      </w:r>
    </w:p>
    <w:p w14:paraId="0D6D8902" w14:textId="210D4561" w:rsidR="000D47E5" w:rsidRPr="00836F3C" w:rsidRDefault="000D47E5" w:rsidP="00836F3C">
      <w:pPr>
        <w:pStyle w:val="Kop4"/>
      </w:pPr>
      <w:bookmarkStart w:id="48" w:name="_Ref445451572"/>
      <w:bookmarkStart w:id="49" w:name="_Toc81512445"/>
      <w:r w:rsidRPr="0043072E">
        <w:t>TABEL 6B: Overzicht regulatoir saldo inzake herindexering van het budget voor endogene kosten per tariefcomponent</w:t>
      </w:r>
      <w:bookmarkEnd w:id="48"/>
      <w:bookmarkEnd w:id="49"/>
    </w:p>
    <w:p w14:paraId="43D7D9D3" w14:textId="77777777" w:rsidR="00365E9E" w:rsidRDefault="000D47E5" w:rsidP="00836F3C">
      <w:pPr>
        <w:rPr>
          <w:rFonts w:ascii="Calibri" w:hAnsi="Calibri"/>
        </w:rPr>
      </w:pPr>
      <w:r w:rsidRPr="00D66CC2">
        <w:rPr>
          <w:rFonts w:ascii="Calibri" w:hAnsi="Calibri"/>
        </w:rPr>
        <w:t xml:space="preserve">Op basis van de gerapporteerde waarden per tariefcomponent in ‘tabel 6A’ kan het regulatoir saldo inzake herindexering van het budget endogene kosten ook worden geïdentificeerd per tariefcomponent. Daarom wordt in deze tabel vooreerst automatisch per tariefcomponent een overzicht gegeven van de jaarlijkse geboekte regulatoire saldi. </w:t>
      </w:r>
    </w:p>
    <w:p w14:paraId="7E2F5F55" w14:textId="7A08AA60" w:rsidR="000D47E5" w:rsidRPr="001667D1" w:rsidRDefault="000D47E5" w:rsidP="00836F3C">
      <w:pPr>
        <w:rPr>
          <w:rFonts w:ascii="Calibri" w:hAnsi="Calibri"/>
        </w:rPr>
      </w:pPr>
      <w:r w:rsidRPr="00D66CC2">
        <w:rPr>
          <w:rFonts w:ascii="Calibri" w:hAnsi="Calibri"/>
        </w:rPr>
        <w:t xml:space="preserve">Vervolgens wordt in de tabel per tariefcomponent automatisch berekend welk gedeelte van het </w:t>
      </w:r>
      <w:r w:rsidRPr="001667D1">
        <w:rPr>
          <w:rFonts w:ascii="Calibri" w:hAnsi="Calibri"/>
        </w:rPr>
        <w:t xml:space="preserve">saldo reeds werd afgebouwd op het einde van elk boekjaar </w:t>
      </w:r>
      <w:r w:rsidR="00877604" w:rsidRPr="001667D1">
        <w:rPr>
          <w:rFonts w:ascii="Calibri" w:hAnsi="Calibri"/>
        </w:rPr>
        <w:t>over de periode 201</w:t>
      </w:r>
      <w:r w:rsidR="007010DB">
        <w:rPr>
          <w:rFonts w:ascii="Calibri" w:hAnsi="Calibri"/>
        </w:rPr>
        <w:t>7</w:t>
      </w:r>
      <w:r w:rsidR="00877604" w:rsidRPr="001667D1">
        <w:rPr>
          <w:rFonts w:ascii="Calibri" w:hAnsi="Calibri"/>
        </w:rPr>
        <w:t>-202</w:t>
      </w:r>
      <w:r w:rsidR="004325F3">
        <w:rPr>
          <w:rFonts w:ascii="Calibri" w:hAnsi="Calibri"/>
        </w:rPr>
        <w:t>1</w:t>
      </w:r>
      <w:r w:rsidRPr="001667D1">
        <w:rPr>
          <w:rFonts w:ascii="Calibri" w:hAnsi="Calibri"/>
        </w:rPr>
        <w:t xml:space="preserve">. </w:t>
      </w:r>
      <w:r w:rsidR="00613252" w:rsidRPr="001667D1">
        <w:rPr>
          <w:rFonts w:ascii="Calibri" w:hAnsi="Calibri"/>
        </w:rPr>
        <w:t>De afbouw van deze saldi gebeurt hierbij conform de bepalingen in de huidige en vorige tariefmethodologieën</w:t>
      </w:r>
      <w:r w:rsidRPr="001667D1">
        <w:rPr>
          <w:rFonts w:ascii="Calibri" w:hAnsi="Calibri"/>
        </w:rPr>
        <w:t>. Uiteindelijk kunnen op basis van deze waarden de nog af te bouwen saldi per tariefcomponent worden geïdentificeerd waarbij opnieuw een aansluiting wordt gemaakt van het totaal nog af te bouwen saldo met de gerappo</w:t>
      </w:r>
      <w:r w:rsidR="00836F3C" w:rsidRPr="001667D1">
        <w:rPr>
          <w:rFonts w:ascii="Calibri" w:hAnsi="Calibri"/>
        </w:rPr>
        <w:t xml:space="preserve">rteerde waarden in ‘tabel 6A’. </w:t>
      </w:r>
    </w:p>
    <w:p w14:paraId="4A97A0F2" w14:textId="0BDBF779" w:rsidR="00D22426" w:rsidRPr="001667D1" w:rsidRDefault="00D22426" w:rsidP="00D22426">
      <w:pPr>
        <w:rPr>
          <w:rFonts w:ascii="Calibri" w:hAnsi="Calibri"/>
        </w:rPr>
      </w:pPr>
      <w:r w:rsidRPr="001667D1">
        <w:rPr>
          <w:rFonts w:ascii="Calibri" w:hAnsi="Calibri"/>
        </w:rPr>
        <w:t xml:space="preserve">Ten laatste wordt per tariefcomponent bepaald welk gedeelte van de regulatoire saldi inzake </w:t>
      </w:r>
      <w:r w:rsidR="00385F1F" w:rsidRPr="001667D1">
        <w:rPr>
          <w:rFonts w:ascii="Calibri" w:hAnsi="Calibri"/>
        </w:rPr>
        <w:t>herindexering budget endogene kosten</w:t>
      </w:r>
      <w:r w:rsidRPr="001667D1">
        <w:rPr>
          <w:rFonts w:ascii="Calibri" w:hAnsi="Calibri"/>
        </w:rPr>
        <w:t xml:space="preserve"> in het toegelaten inkomen van het betreffende boekjaar wordt afgebouwd. Op basis van deze waarden wordt</w:t>
      </w:r>
      <w:r w:rsidR="006A6BEF">
        <w:rPr>
          <w:rFonts w:ascii="Calibri" w:hAnsi="Calibri"/>
        </w:rPr>
        <w:t xml:space="preserve"> per tariefcomponent</w:t>
      </w:r>
      <w:r w:rsidRPr="001667D1">
        <w:rPr>
          <w:rFonts w:ascii="Calibri" w:hAnsi="Calibri"/>
        </w:rPr>
        <w:t xml:space="preserve"> de betreffende rubriek in ‘tabel 3’ automatisch aangevuld. </w:t>
      </w:r>
    </w:p>
    <w:p w14:paraId="0447D325" w14:textId="4815553D" w:rsidR="00B36B8D" w:rsidRDefault="00D22426" w:rsidP="00B36B8D">
      <w:pPr>
        <w:rPr>
          <w:rFonts w:ascii="Calibri" w:hAnsi="Calibri"/>
        </w:rPr>
      </w:pPr>
      <w:r w:rsidRPr="001667D1">
        <w:rPr>
          <w:rFonts w:ascii="Calibri" w:hAnsi="Calibri"/>
        </w:rPr>
        <w:t xml:space="preserve">Merk ook hier op dat in de berekening van de afbouw van het regulatoir saldo per tariefcomponent </w:t>
      </w:r>
      <w:r w:rsidR="00B36B8D" w:rsidRPr="00EC107B">
        <w:rPr>
          <w:rFonts w:ascii="Calibri" w:hAnsi="Calibri"/>
        </w:rPr>
        <w:t xml:space="preserve">rekening wordt gehouden met </w:t>
      </w:r>
      <w:r w:rsidR="00B36B8D">
        <w:rPr>
          <w:rFonts w:ascii="Calibri" w:hAnsi="Calibri"/>
        </w:rPr>
        <w:t xml:space="preserve">volgende </w:t>
      </w:r>
      <w:r w:rsidR="00B36B8D" w:rsidRPr="00EC107B">
        <w:rPr>
          <w:rFonts w:ascii="Calibri" w:hAnsi="Calibri"/>
        </w:rPr>
        <w:t>methodologische bepaling</w:t>
      </w:r>
      <w:r w:rsidR="00B36B8D">
        <w:rPr>
          <w:rFonts w:ascii="Calibri" w:hAnsi="Calibri"/>
        </w:rPr>
        <w:t>en:</w:t>
      </w:r>
    </w:p>
    <w:p w14:paraId="7AAACEED" w14:textId="520DB840" w:rsidR="00B36B8D" w:rsidRDefault="00B36B8D" w:rsidP="00B36B8D">
      <w:pPr>
        <w:pStyle w:val="Lijstalinea"/>
        <w:numPr>
          <w:ilvl w:val="0"/>
          <w:numId w:val="25"/>
        </w:numPr>
        <w:rPr>
          <w:rFonts w:ascii="Calibri" w:hAnsi="Calibri"/>
        </w:rPr>
      </w:pPr>
      <w:r w:rsidRPr="00DF30EC">
        <w:rPr>
          <w:rFonts w:ascii="Calibri" w:hAnsi="Calibri"/>
        </w:rPr>
        <w:t xml:space="preserve">het regulatoir saldo op de tariefcomponent voor aanrekening van reactieve energie wordt </w:t>
      </w:r>
      <w:r w:rsidR="00B52B06">
        <w:rPr>
          <w:rFonts w:ascii="Calibri" w:hAnsi="Calibri"/>
        </w:rPr>
        <w:t xml:space="preserve">vanaf 2021 </w:t>
      </w:r>
      <w:r w:rsidRPr="00DF30EC">
        <w:rPr>
          <w:rFonts w:ascii="Calibri" w:hAnsi="Calibri"/>
        </w:rPr>
        <w:t>afgebouwd via de tariefcomponent voor basistarief gebruik van het net</w:t>
      </w:r>
      <w:r>
        <w:rPr>
          <w:rFonts w:ascii="Calibri" w:hAnsi="Calibri"/>
        </w:rPr>
        <w:t>.</w:t>
      </w:r>
      <w:r w:rsidRPr="00DF30EC">
        <w:rPr>
          <w:rFonts w:ascii="Calibri" w:hAnsi="Calibri"/>
        </w:rPr>
        <w:t xml:space="preserve"> Bijgevolg houdt het regulatoir saldo inzake het </w:t>
      </w:r>
      <w:r>
        <w:rPr>
          <w:rFonts w:ascii="Calibri" w:hAnsi="Calibri"/>
        </w:rPr>
        <w:t xml:space="preserve">basistarief voor het gebruik </w:t>
      </w:r>
      <w:r>
        <w:rPr>
          <w:rFonts w:ascii="Calibri" w:hAnsi="Calibri"/>
        </w:rPr>
        <w:lastRenderedPageBreak/>
        <w:t xml:space="preserve">van het net </w:t>
      </w:r>
      <w:r w:rsidRPr="00DF30EC">
        <w:rPr>
          <w:rFonts w:ascii="Calibri" w:hAnsi="Calibri"/>
        </w:rPr>
        <w:t>voor boekjaar 20</w:t>
      </w:r>
      <w:r>
        <w:rPr>
          <w:rFonts w:ascii="Calibri" w:hAnsi="Calibri"/>
        </w:rPr>
        <w:t>21</w:t>
      </w:r>
      <w:r w:rsidRPr="00DF30EC">
        <w:rPr>
          <w:rFonts w:ascii="Calibri" w:hAnsi="Calibri"/>
        </w:rPr>
        <w:t xml:space="preserve"> ook meteen rekening met het regulatoir saldo inzake het tarief voor reactieve energie</w:t>
      </w:r>
      <w:r>
        <w:rPr>
          <w:rFonts w:ascii="Calibri" w:hAnsi="Calibri"/>
        </w:rPr>
        <w:t>;</w:t>
      </w:r>
    </w:p>
    <w:p w14:paraId="3BCDF98F" w14:textId="50DAF30B" w:rsidR="00D22426" w:rsidRPr="00B36B8D" w:rsidRDefault="00B36B8D" w:rsidP="00B36B8D">
      <w:pPr>
        <w:pStyle w:val="Lijstalinea"/>
        <w:numPr>
          <w:ilvl w:val="0"/>
          <w:numId w:val="25"/>
        </w:numPr>
        <w:rPr>
          <w:rFonts w:ascii="Calibri" w:hAnsi="Calibri"/>
        </w:rPr>
      </w:pPr>
      <w:r w:rsidRPr="00B36B8D">
        <w:rPr>
          <w:rFonts w:ascii="Calibri" w:hAnsi="Calibri"/>
        </w:rPr>
        <w:t>het regulatoir saldo op de tariefcomponent inzake databeheer wordt vanaf 2021 afgebouwd via de tariefcomponent voor basistarief gebruik van het net. Bijgevolg houdt het regulatoir saldo inzake het basistarief voor het gebruik van het net voor boekjaar 2021 ook meteen rekening met het regulatoir saldo inzake het tarief databeheer.</w:t>
      </w:r>
    </w:p>
    <w:p w14:paraId="2706D569" w14:textId="4D782B58" w:rsidR="000D47E5" w:rsidRPr="00836F3C" w:rsidRDefault="000D47E5" w:rsidP="00836F3C">
      <w:pPr>
        <w:pStyle w:val="Kop4"/>
      </w:pPr>
      <w:bookmarkStart w:id="50" w:name="_Ref445451593"/>
      <w:bookmarkStart w:id="51" w:name="_Toc81512446"/>
      <w:r w:rsidRPr="0043072E">
        <w:t>TABEL 7: Opvolging regulatoir saldo inzake vennootschapsbelasting</w:t>
      </w:r>
      <w:bookmarkEnd w:id="50"/>
      <w:bookmarkEnd w:id="51"/>
    </w:p>
    <w:p w14:paraId="493D822A" w14:textId="78DDDB1C" w:rsidR="000D47E5" w:rsidRPr="000C7213" w:rsidRDefault="000D47E5" w:rsidP="00836F3C">
      <w:pPr>
        <w:rPr>
          <w:rFonts w:ascii="Calibri" w:hAnsi="Calibri"/>
        </w:rPr>
      </w:pPr>
      <w:r w:rsidRPr="0043072E">
        <w:rPr>
          <w:rFonts w:ascii="Calibri" w:hAnsi="Calibri"/>
        </w:rPr>
        <w:t>Deze tabel laat een jaarlijkse opvolging toe van de saldi inzake de vennootschapsbelasting. De tabel toont enerzijds de saldi inzake vennootschapsbelasting zoals ze door de VREG werden goedgekeurd en ande</w:t>
      </w:r>
      <w:r w:rsidRPr="000C7213">
        <w:rPr>
          <w:rFonts w:ascii="Calibri" w:hAnsi="Calibri"/>
        </w:rPr>
        <w:t>rzijds de saldi die door de distributienetbeheerder werden ingeboekt</w:t>
      </w:r>
      <w:r w:rsidR="00836F3C" w:rsidRPr="000C7213">
        <w:rPr>
          <w:rFonts w:ascii="Calibri" w:hAnsi="Calibri"/>
        </w:rPr>
        <w:t>.</w:t>
      </w:r>
    </w:p>
    <w:p w14:paraId="30AE34EB" w14:textId="34993FC4" w:rsidR="000D47E5" w:rsidRDefault="00666CA0" w:rsidP="00836F3C">
      <w:pPr>
        <w:rPr>
          <w:rFonts w:ascii="Calibri" w:hAnsi="Calibri"/>
        </w:rPr>
      </w:pPr>
      <w:r>
        <w:rPr>
          <w:rFonts w:ascii="Calibri" w:hAnsi="Calibri"/>
        </w:rPr>
        <w:t xml:space="preserve">Op ex-post basis kan de </w:t>
      </w:r>
      <w:r w:rsidR="00C06494">
        <w:rPr>
          <w:rFonts w:ascii="Calibri" w:hAnsi="Calibri"/>
        </w:rPr>
        <w:t>distributienetbeheerder d</w:t>
      </w:r>
      <w:r w:rsidR="000D47E5" w:rsidRPr="000C7213">
        <w:rPr>
          <w:rFonts w:ascii="Calibri" w:hAnsi="Calibri"/>
        </w:rPr>
        <w:t xml:space="preserve">it saldo voor boekjaar </w:t>
      </w:r>
      <w:r w:rsidR="000C7213" w:rsidRPr="000C7213">
        <w:rPr>
          <w:rFonts w:ascii="Calibri" w:hAnsi="Calibri"/>
        </w:rPr>
        <w:t>2021</w:t>
      </w:r>
      <w:r w:rsidR="000D47E5" w:rsidRPr="000C7213">
        <w:rPr>
          <w:rFonts w:ascii="Calibri" w:hAnsi="Calibri"/>
        </w:rPr>
        <w:t xml:space="preserve"> eenduidig uit </w:t>
      </w:r>
      <w:r w:rsidR="000C7213" w:rsidRPr="000C7213">
        <w:rPr>
          <w:rFonts w:ascii="Calibri" w:hAnsi="Calibri"/>
        </w:rPr>
        <w:t xml:space="preserve">‘tabel </w:t>
      </w:r>
      <w:r w:rsidR="002F7DD1">
        <w:rPr>
          <w:rFonts w:ascii="Calibri" w:hAnsi="Calibri"/>
        </w:rPr>
        <w:t>9</w:t>
      </w:r>
      <w:r w:rsidR="000C7213" w:rsidRPr="000C7213">
        <w:rPr>
          <w:rFonts w:ascii="Calibri" w:hAnsi="Calibri"/>
        </w:rPr>
        <w:t>’ van het betreffende rapporteringsmodel</w:t>
      </w:r>
      <w:r w:rsidR="00C06494">
        <w:rPr>
          <w:rFonts w:ascii="Calibri" w:hAnsi="Calibri"/>
        </w:rPr>
        <w:t xml:space="preserve"> afleiden</w:t>
      </w:r>
      <w:r w:rsidR="00836F3C" w:rsidRPr="000C7213">
        <w:rPr>
          <w:rFonts w:ascii="Calibri" w:hAnsi="Calibri"/>
        </w:rPr>
        <w:t xml:space="preserve">. </w:t>
      </w:r>
      <w:r w:rsidR="00781111">
        <w:rPr>
          <w:rFonts w:ascii="Calibri" w:hAnsi="Calibri"/>
        </w:rPr>
        <w:t xml:space="preserve">Ook voor de voorgaande boekjaren rapporteert de distributienetbeheerder </w:t>
      </w:r>
      <w:r w:rsidR="00240790">
        <w:rPr>
          <w:rFonts w:ascii="Calibri" w:hAnsi="Calibri"/>
        </w:rPr>
        <w:t xml:space="preserve">de betreffende regulatoire saldi. </w:t>
      </w:r>
    </w:p>
    <w:p w14:paraId="2FDB9638" w14:textId="269A052A" w:rsidR="00240790" w:rsidRPr="0043072E" w:rsidRDefault="00240790" w:rsidP="00240790">
      <w:pPr>
        <w:rPr>
          <w:rFonts w:ascii="Calibri" w:hAnsi="Calibri"/>
        </w:rPr>
      </w:pPr>
      <w:r>
        <w:rPr>
          <w:rFonts w:ascii="Calibri" w:hAnsi="Calibri"/>
        </w:rPr>
        <w:t xml:space="preserve">Op ex-ante basis dient de distributienetbeheerder </w:t>
      </w:r>
      <w:r w:rsidR="00E308E4">
        <w:rPr>
          <w:rFonts w:ascii="Calibri" w:hAnsi="Calibri"/>
        </w:rPr>
        <w:t>het regulatoir saldo</w:t>
      </w:r>
      <w:r w:rsidR="000720CB">
        <w:rPr>
          <w:rFonts w:ascii="Calibri" w:hAnsi="Calibri"/>
        </w:rPr>
        <w:t xml:space="preserve"> v</w:t>
      </w:r>
      <w:r w:rsidR="00BB086A">
        <w:rPr>
          <w:rFonts w:ascii="Calibri" w:hAnsi="Calibri"/>
        </w:rPr>
        <w:t>oor</w:t>
      </w:r>
      <w:r w:rsidR="000720CB">
        <w:rPr>
          <w:rFonts w:ascii="Calibri" w:hAnsi="Calibri"/>
        </w:rPr>
        <w:t xml:space="preserve"> de voorgaande boekjaren</w:t>
      </w:r>
      <w:r>
        <w:rPr>
          <w:rFonts w:ascii="Calibri" w:hAnsi="Calibri"/>
        </w:rPr>
        <w:t xml:space="preserve"> te rapporteren. </w:t>
      </w:r>
    </w:p>
    <w:p w14:paraId="2630F37D" w14:textId="1418631A" w:rsidR="000D47E5" w:rsidRPr="0043072E" w:rsidRDefault="000D47E5" w:rsidP="00836F3C">
      <w:pPr>
        <w:rPr>
          <w:rFonts w:ascii="Calibri" w:hAnsi="Calibri"/>
        </w:rPr>
      </w:pPr>
      <w:r w:rsidRPr="0043072E">
        <w:rPr>
          <w:rFonts w:ascii="Calibri" w:hAnsi="Calibri"/>
        </w:rPr>
        <w:t xml:space="preserve">Het regulatoir saldo inzake vennootschapsbelasting wordt overgeboekt van de resultatenrekening naar de overlopende rekeningen, zoals weergegeven in de eerste tabel onder rubriek ‘Invloed op het resultaat’. Eventuele correcties op dit saldo kunnen nog door de VREG in de daaropvolgende boekja(a)r(en) worden beslist. </w:t>
      </w:r>
    </w:p>
    <w:p w14:paraId="10446ECA" w14:textId="02FC21EB" w:rsidR="000D47E5" w:rsidRPr="0043072E" w:rsidRDefault="000D47E5" w:rsidP="00836F3C">
      <w:pPr>
        <w:rPr>
          <w:rFonts w:ascii="Calibri" w:hAnsi="Calibri"/>
        </w:rPr>
      </w:pPr>
      <w:r w:rsidRPr="00744D43">
        <w:rPr>
          <w:rFonts w:ascii="Calibri" w:hAnsi="Calibri"/>
        </w:rPr>
        <w:t xml:space="preserve">De volgende tabel toont vervolgens de terugname of afbouw van deze saldi vanuit de overlopende rekeningen naar de resultatenrekening, </w:t>
      </w:r>
      <w:r w:rsidR="00744D43" w:rsidRPr="00744D43">
        <w:rPr>
          <w:rFonts w:ascii="Calibri" w:hAnsi="Calibri"/>
        </w:rPr>
        <w:t>conform de bepalingen in de huidige en vorige tariefmethodologieën</w:t>
      </w:r>
      <w:r w:rsidRPr="00744D43">
        <w:rPr>
          <w:rFonts w:ascii="Calibri" w:hAnsi="Calibri"/>
        </w:rPr>
        <w:t xml:space="preserve">. </w:t>
      </w:r>
    </w:p>
    <w:p w14:paraId="4EE8E1E8" w14:textId="77777777" w:rsidR="00744D43" w:rsidRDefault="000D47E5" w:rsidP="00836F3C">
      <w:pPr>
        <w:rPr>
          <w:rFonts w:ascii="Calibri" w:hAnsi="Calibri"/>
        </w:rPr>
      </w:pPr>
      <w:r>
        <w:rPr>
          <w:rFonts w:ascii="Calibri" w:hAnsi="Calibri"/>
        </w:rPr>
        <w:t>Vervolgens wordt</w:t>
      </w:r>
      <w:r w:rsidRPr="0043072E">
        <w:rPr>
          <w:rFonts w:ascii="Calibri" w:hAnsi="Calibri"/>
        </w:rPr>
        <w:t xml:space="preserve"> de evolutie van de overlopende rekeningen voor een specifiek boekjaar op basis van de boeking en terugname van de saldi in de loop van het boekjaar</w:t>
      </w:r>
      <w:r>
        <w:rPr>
          <w:rFonts w:ascii="Calibri" w:hAnsi="Calibri"/>
        </w:rPr>
        <w:t xml:space="preserve"> getoond</w:t>
      </w:r>
      <w:r w:rsidRPr="0043072E">
        <w:rPr>
          <w:rFonts w:ascii="Calibri" w:hAnsi="Calibri"/>
        </w:rPr>
        <w:t>.</w:t>
      </w:r>
    </w:p>
    <w:p w14:paraId="0C0796F8" w14:textId="68CC5D25" w:rsidR="000D47E5" w:rsidRPr="0043072E" w:rsidRDefault="00041789" w:rsidP="00836F3C">
      <w:pPr>
        <w:rPr>
          <w:rFonts w:ascii="Calibri" w:hAnsi="Calibri"/>
        </w:rPr>
      </w:pPr>
      <w:r>
        <w:rPr>
          <w:rFonts w:ascii="Calibri" w:hAnsi="Calibri"/>
        </w:rPr>
        <w:t xml:space="preserve">Onderaan deze tabel wordt in </w:t>
      </w:r>
      <w:r w:rsidR="000D47E5">
        <w:rPr>
          <w:rFonts w:ascii="Calibri" w:hAnsi="Calibri"/>
        </w:rPr>
        <w:t>de detailberekening inzake de bepaling van het af te bouwen regulatoir saldo eveneens bepaald welk gedeelte van het saldo in het toegelaten inkomen voor het desbetreffende boekjaar in rekening wordt genomen. Op basis van deze waarden wordt de betreffende rubriek in ‘tabel 3’ automatisch aangevuld.</w:t>
      </w:r>
    </w:p>
    <w:p w14:paraId="24B0C11C" w14:textId="4CC5D1FE" w:rsidR="000D47E5" w:rsidRPr="00DA4AF2" w:rsidRDefault="000D47E5" w:rsidP="00836F3C">
      <w:pPr>
        <w:rPr>
          <w:rFonts w:ascii="Calibri" w:hAnsi="Calibri"/>
        </w:rPr>
      </w:pPr>
      <w:r w:rsidRPr="0043072E">
        <w:rPr>
          <w:rFonts w:ascii="Calibri" w:hAnsi="Calibri"/>
        </w:rPr>
        <w:t xml:space="preserve">Het regulatoir saldo inzake de vennootschapsbelasting zal een negatieve waarde aannemen indien de werkelijke kosten m.b.t. de correcties voor de vennootschapsbelasting lager waren dan gebudgetteerd. In dat geval zullen de werkelijke </w:t>
      </w:r>
      <w:r w:rsidR="004C5061">
        <w:rPr>
          <w:rFonts w:ascii="Calibri" w:hAnsi="Calibri"/>
        </w:rPr>
        <w:t>opbrengsten</w:t>
      </w:r>
      <w:r w:rsidRPr="0043072E">
        <w:rPr>
          <w:rFonts w:ascii="Calibri" w:hAnsi="Calibri"/>
        </w:rPr>
        <w:t xml:space="preserve"> worden afgeroomd ten bedrage van dit saldo en worden overgeboekt naar de overlopende rekening op het passief. De terugname van dit saldo zal bijgevolg een teruggave van een overschot betekenen en dus ook een verlaging van de </w:t>
      </w:r>
      <w:r w:rsidRPr="00DA4AF2">
        <w:rPr>
          <w:rFonts w:ascii="Calibri" w:hAnsi="Calibri"/>
        </w:rPr>
        <w:t>toekomstige periodieke d</w:t>
      </w:r>
      <w:r w:rsidR="00836F3C" w:rsidRPr="00DA4AF2">
        <w:rPr>
          <w:rFonts w:ascii="Calibri" w:hAnsi="Calibri"/>
        </w:rPr>
        <w:t>istributienettarieven inhouden.</w:t>
      </w:r>
    </w:p>
    <w:p w14:paraId="770C7A42" w14:textId="0B587DD8" w:rsidR="008F00EB" w:rsidRPr="00DA4AF2" w:rsidRDefault="008F00EB" w:rsidP="008F00EB">
      <w:pPr>
        <w:pStyle w:val="Kop4"/>
      </w:pPr>
      <w:bookmarkStart w:id="52" w:name="_Ref38874241"/>
      <w:bookmarkStart w:id="53" w:name="_Toc81512447"/>
      <w:r w:rsidRPr="00DA4AF2">
        <w:t>TABEL 8: Opvolging regulatoir saldo inzake herwaarderingsmeerwaarden</w:t>
      </w:r>
      <w:bookmarkEnd w:id="52"/>
      <w:bookmarkEnd w:id="53"/>
    </w:p>
    <w:p w14:paraId="34BB3B20" w14:textId="34D103F3" w:rsidR="008F00EB" w:rsidRPr="00DA4AF2" w:rsidRDefault="008F00EB" w:rsidP="008F00EB">
      <w:pPr>
        <w:rPr>
          <w:rFonts w:ascii="Calibri" w:hAnsi="Calibri"/>
        </w:rPr>
      </w:pPr>
      <w:r w:rsidRPr="00DA4AF2">
        <w:rPr>
          <w:rFonts w:ascii="Calibri" w:hAnsi="Calibri"/>
        </w:rPr>
        <w:t xml:space="preserve">Deze tabel laat een jaarlijkse opvolging toe van de saldi inzake </w:t>
      </w:r>
      <w:r w:rsidR="0016082E" w:rsidRPr="00DA4AF2">
        <w:rPr>
          <w:rFonts w:ascii="Calibri" w:hAnsi="Calibri"/>
        </w:rPr>
        <w:t>herwaarderingsmeerwaarden</w:t>
      </w:r>
      <w:r w:rsidRPr="00DA4AF2">
        <w:rPr>
          <w:rFonts w:ascii="Calibri" w:hAnsi="Calibri"/>
        </w:rPr>
        <w:t xml:space="preserve">. De tabel toont enerzijds de saldi inzake </w:t>
      </w:r>
      <w:r w:rsidR="00C85CA2">
        <w:rPr>
          <w:rFonts w:ascii="Calibri" w:hAnsi="Calibri"/>
        </w:rPr>
        <w:t>herwaarderingsmeerwaarden</w:t>
      </w:r>
      <w:r w:rsidRPr="00DA4AF2">
        <w:rPr>
          <w:rFonts w:ascii="Calibri" w:hAnsi="Calibri"/>
        </w:rPr>
        <w:t xml:space="preserve"> zoals ze door de VREG werden goedgekeurd en anderzijds de saldi die door de distributienetbeheerder werden ingeboekt.</w:t>
      </w:r>
    </w:p>
    <w:p w14:paraId="4507C2FB" w14:textId="320A66BF" w:rsidR="000720CB" w:rsidRDefault="000720CB" w:rsidP="000720CB">
      <w:pPr>
        <w:rPr>
          <w:rFonts w:ascii="Calibri" w:hAnsi="Calibri"/>
        </w:rPr>
      </w:pPr>
      <w:r>
        <w:rPr>
          <w:rFonts w:ascii="Calibri" w:hAnsi="Calibri"/>
        </w:rPr>
        <w:lastRenderedPageBreak/>
        <w:t>Op ex-post basis kan de distributienetbeheerder d</w:t>
      </w:r>
      <w:r w:rsidRPr="000C7213">
        <w:rPr>
          <w:rFonts w:ascii="Calibri" w:hAnsi="Calibri"/>
        </w:rPr>
        <w:t xml:space="preserve">it saldo voor boekjaar 2021 eenduidig uit ‘tabel </w:t>
      </w:r>
      <w:r>
        <w:rPr>
          <w:rFonts w:ascii="Calibri" w:hAnsi="Calibri"/>
        </w:rPr>
        <w:t>9</w:t>
      </w:r>
      <w:r w:rsidRPr="000C7213">
        <w:rPr>
          <w:rFonts w:ascii="Calibri" w:hAnsi="Calibri"/>
        </w:rPr>
        <w:t>’ van het betreffende rapporteringsmodel</w:t>
      </w:r>
      <w:r>
        <w:rPr>
          <w:rFonts w:ascii="Calibri" w:hAnsi="Calibri"/>
        </w:rPr>
        <w:t xml:space="preserve"> afleiden</w:t>
      </w:r>
      <w:r w:rsidRPr="000C7213">
        <w:rPr>
          <w:rFonts w:ascii="Calibri" w:hAnsi="Calibri"/>
        </w:rPr>
        <w:t xml:space="preserve">. </w:t>
      </w:r>
    </w:p>
    <w:p w14:paraId="344E39A6" w14:textId="628C8CF0" w:rsidR="008F00EB" w:rsidRPr="00DA4AF2" w:rsidRDefault="008F00EB" w:rsidP="000720CB">
      <w:pPr>
        <w:rPr>
          <w:rFonts w:ascii="Calibri" w:hAnsi="Calibri"/>
        </w:rPr>
      </w:pPr>
      <w:r w:rsidRPr="00DA4AF2">
        <w:rPr>
          <w:rFonts w:ascii="Calibri" w:hAnsi="Calibri"/>
        </w:rPr>
        <w:t xml:space="preserve">Het regulatoir saldo inzake </w:t>
      </w:r>
      <w:r w:rsidR="00A12EAD" w:rsidRPr="00DA4AF2">
        <w:rPr>
          <w:rFonts w:ascii="Calibri" w:hAnsi="Calibri"/>
        </w:rPr>
        <w:t>herwaarderingsmeerwaarden</w:t>
      </w:r>
      <w:r w:rsidRPr="00DA4AF2">
        <w:rPr>
          <w:rFonts w:ascii="Calibri" w:hAnsi="Calibri"/>
        </w:rPr>
        <w:t xml:space="preserve"> wordt overgeboekt van de resultatenrekening naar de overlopende rekeningen, zoals weergegeven in de eerste tabel onder rubriek ‘Invloed op het resultaat’. Eventuele correcties op dit saldo kunnen nog door de VREG in de daaropvolgende boekja(a)r(en) worden beslist. </w:t>
      </w:r>
    </w:p>
    <w:p w14:paraId="380651C6" w14:textId="28BF0DD4" w:rsidR="008F00EB" w:rsidRPr="00DA4AF2" w:rsidRDefault="008F00EB" w:rsidP="008F00EB">
      <w:pPr>
        <w:rPr>
          <w:rFonts w:ascii="Calibri" w:hAnsi="Calibri"/>
        </w:rPr>
      </w:pPr>
      <w:r w:rsidRPr="00DA4AF2">
        <w:rPr>
          <w:rFonts w:ascii="Calibri" w:hAnsi="Calibri"/>
        </w:rPr>
        <w:t xml:space="preserve">De volgende tabel toont vervolgens de terugname of afbouw van deze saldi vanuit de overlopende rekeningen naar de resultatenrekening, conform de bepalingen in </w:t>
      </w:r>
      <w:r w:rsidR="0023203F" w:rsidRPr="00DA4AF2">
        <w:rPr>
          <w:rFonts w:ascii="Calibri" w:hAnsi="Calibri"/>
        </w:rPr>
        <w:t xml:space="preserve">paragraaf </w:t>
      </w:r>
      <w:r w:rsidR="00CE4C26" w:rsidRPr="00DA4AF2">
        <w:rPr>
          <w:rFonts w:ascii="Calibri" w:hAnsi="Calibri"/>
        </w:rPr>
        <w:t>5.6.7 van de hoofdtekst van de tariefmethodologie</w:t>
      </w:r>
      <w:r w:rsidRPr="00DA4AF2">
        <w:rPr>
          <w:rFonts w:ascii="Calibri" w:hAnsi="Calibri"/>
        </w:rPr>
        <w:t xml:space="preserve">. </w:t>
      </w:r>
    </w:p>
    <w:p w14:paraId="657BE2CF" w14:textId="77777777" w:rsidR="008F00EB" w:rsidRPr="00DA4AF2" w:rsidRDefault="008F00EB" w:rsidP="008F00EB">
      <w:pPr>
        <w:rPr>
          <w:rFonts w:ascii="Calibri" w:hAnsi="Calibri"/>
        </w:rPr>
      </w:pPr>
      <w:r w:rsidRPr="00DA4AF2">
        <w:rPr>
          <w:rFonts w:ascii="Calibri" w:hAnsi="Calibri"/>
        </w:rPr>
        <w:t>Vervolgens wordt de evolutie van de overlopende rekeningen voor een specifiek boekjaar op basis van de boeking en terugname van de saldi in de loop van het boekjaar getoond.</w:t>
      </w:r>
    </w:p>
    <w:p w14:paraId="5CB8FCC9" w14:textId="77777777" w:rsidR="008F00EB" w:rsidRPr="00DA4AF2" w:rsidRDefault="008F00EB" w:rsidP="008F00EB">
      <w:pPr>
        <w:rPr>
          <w:rFonts w:ascii="Calibri" w:hAnsi="Calibri"/>
        </w:rPr>
      </w:pPr>
      <w:r w:rsidRPr="00DA4AF2">
        <w:rPr>
          <w:rFonts w:ascii="Calibri" w:hAnsi="Calibri"/>
        </w:rPr>
        <w:t>Onderaan deze tabel wordt in de detailberekening inzake de bepaling van het af te bouwen regulatoir saldo eveneens bepaald welk gedeelte van het saldo in het toegelaten inkomen voor het desbetreffende boekjaar in rekening wordt genomen. Op basis van deze waarden wordt de betreffende rubriek in ‘tabel 3’ automatisch aangevuld.</w:t>
      </w:r>
    </w:p>
    <w:p w14:paraId="3FC67FD7" w14:textId="24343C97" w:rsidR="008F00EB" w:rsidRDefault="008F00EB" w:rsidP="008F00EB">
      <w:pPr>
        <w:rPr>
          <w:rFonts w:ascii="Calibri" w:hAnsi="Calibri"/>
        </w:rPr>
      </w:pPr>
      <w:r w:rsidRPr="00DA4AF2">
        <w:rPr>
          <w:rFonts w:ascii="Calibri" w:hAnsi="Calibri"/>
        </w:rPr>
        <w:t xml:space="preserve">Het regulatoir saldo inzake </w:t>
      </w:r>
      <w:r w:rsidR="00723174" w:rsidRPr="00DA4AF2">
        <w:rPr>
          <w:rFonts w:ascii="Calibri" w:hAnsi="Calibri"/>
        </w:rPr>
        <w:t xml:space="preserve">herwaarderingsmeerwaarden </w:t>
      </w:r>
      <w:r w:rsidRPr="00DA4AF2">
        <w:rPr>
          <w:rFonts w:ascii="Calibri" w:hAnsi="Calibri"/>
        </w:rPr>
        <w:t xml:space="preserve">zal een negatieve waarde aannemen indien de werkelijke kosten m.b.t. </w:t>
      </w:r>
      <w:r w:rsidR="000D16D1" w:rsidRPr="00DA4AF2">
        <w:rPr>
          <w:rFonts w:ascii="Calibri" w:hAnsi="Calibri"/>
        </w:rPr>
        <w:t>herwaarderingsmeerwaarden</w:t>
      </w:r>
      <w:r w:rsidRPr="00DA4AF2">
        <w:rPr>
          <w:rFonts w:ascii="Calibri" w:hAnsi="Calibri"/>
        </w:rPr>
        <w:t xml:space="preserve"> lager waren dan gebudgetteerd. In dat geval zullen de werkelijke opbrengsten worden afgeroomd ten bedrage van dit saldo en worden overgeboekt naar de overlopende rekening op het passief. De terugname van dit saldo zal bijgevolg een teruggave van een overschot betekenen en dus ook een verlaging van de toekomstige periodieke distributienettarieven inhouden.</w:t>
      </w:r>
    </w:p>
    <w:p w14:paraId="20552EDD" w14:textId="37169DBA" w:rsidR="008B64B3" w:rsidRPr="00714FF6" w:rsidRDefault="008B64B3" w:rsidP="008B64B3">
      <w:pPr>
        <w:pStyle w:val="Kop4"/>
      </w:pPr>
      <w:bookmarkStart w:id="54" w:name="_Toc81512448"/>
      <w:bookmarkStart w:id="55" w:name="_Ref389575201"/>
      <w:bookmarkStart w:id="56" w:name="_Toc420934509"/>
      <w:bookmarkStart w:id="57" w:name="_Toc450038581"/>
      <w:bookmarkEnd w:id="34"/>
      <w:bookmarkEnd w:id="36"/>
      <w:bookmarkEnd w:id="47"/>
      <w:r w:rsidRPr="00714FF6">
        <w:t xml:space="preserve">TABEL </w:t>
      </w:r>
      <w:r w:rsidR="00FB219E">
        <w:t>9</w:t>
      </w:r>
      <w:r w:rsidRPr="00714FF6">
        <w:t xml:space="preserve">: </w:t>
      </w:r>
      <w:r>
        <w:t xml:space="preserve">Algemeen overzicht </w:t>
      </w:r>
      <w:r w:rsidR="008B40B1">
        <w:t>aanvullende endogene termen</w:t>
      </w:r>
      <w:bookmarkEnd w:id="54"/>
    </w:p>
    <w:p w14:paraId="77449543" w14:textId="7D943995" w:rsidR="00111181" w:rsidRDefault="008B64B3" w:rsidP="008B64B3">
      <w:pPr>
        <w:rPr>
          <w:rFonts w:ascii="Calibri" w:hAnsi="Calibri"/>
        </w:rPr>
      </w:pPr>
      <w:r w:rsidRPr="0043072E">
        <w:rPr>
          <w:rFonts w:ascii="Calibri" w:hAnsi="Calibri"/>
        </w:rPr>
        <w:t>Deze tabel geeft een algemeen overzicht van de gerapporteerde gegevens</w:t>
      </w:r>
      <w:r w:rsidR="00E87E0C">
        <w:rPr>
          <w:rFonts w:ascii="Calibri" w:hAnsi="Calibri"/>
        </w:rPr>
        <w:t xml:space="preserve"> inzake de </w:t>
      </w:r>
      <w:r w:rsidR="00111181">
        <w:rPr>
          <w:rFonts w:ascii="Calibri" w:hAnsi="Calibri"/>
        </w:rPr>
        <w:t>correctie voor vennootschapsbelasting enerzijds en de correctie voor herwaarderingsmeerwaarden anderzijds</w:t>
      </w:r>
      <w:r w:rsidRPr="0043072E">
        <w:rPr>
          <w:rFonts w:ascii="Calibri" w:hAnsi="Calibri"/>
        </w:rPr>
        <w:t xml:space="preserve">. </w:t>
      </w:r>
      <w:r w:rsidR="00111181">
        <w:rPr>
          <w:rFonts w:ascii="Calibri" w:hAnsi="Calibri"/>
        </w:rPr>
        <w:t xml:space="preserve">Deze correcties komen in aanvulling op de </w:t>
      </w:r>
      <w:r w:rsidR="00480D42">
        <w:rPr>
          <w:rFonts w:ascii="Calibri" w:hAnsi="Calibri"/>
        </w:rPr>
        <w:t>endogene kosten die resulteren ui</w:t>
      </w:r>
      <w:r w:rsidR="00244DA8">
        <w:rPr>
          <w:rFonts w:ascii="Calibri" w:hAnsi="Calibri"/>
        </w:rPr>
        <w:t xml:space="preserve">t historische endogene kostentrend over de periode 2015-2019. </w:t>
      </w:r>
    </w:p>
    <w:p w14:paraId="7EF3995E" w14:textId="54C61542" w:rsidR="008B64B3" w:rsidRPr="0043072E" w:rsidRDefault="008B64B3" w:rsidP="008B64B3">
      <w:pPr>
        <w:rPr>
          <w:rFonts w:ascii="Calibri" w:hAnsi="Calibri"/>
        </w:rPr>
      </w:pPr>
      <w:r w:rsidRPr="0043072E">
        <w:rPr>
          <w:rFonts w:ascii="Calibri" w:hAnsi="Calibri"/>
        </w:rPr>
        <w:t xml:space="preserve">Bovendien blijkt </w:t>
      </w:r>
      <w:r w:rsidR="00E76D15">
        <w:rPr>
          <w:rFonts w:ascii="Calibri" w:hAnsi="Calibri"/>
        </w:rPr>
        <w:t xml:space="preserve">uit deze tabel </w:t>
      </w:r>
      <w:r w:rsidRPr="0043072E">
        <w:rPr>
          <w:rFonts w:ascii="Calibri" w:hAnsi="Calibri"/>
        </w:rPr>
        <w:t>het jaarlijks regulatoir saldo m.b.t. vennootschapsbelasting</w:t>
      </w:r>
      <w:r w:rsidR="00E76D15">
        <w:rPr>
          <w:rFonts w:ascii="Calibri" w:hAnsi="Calibri"/>
        </w:rPr>
        <w:t xml:space="preserve"> enerzijds en m.b.t. herwaarderingsmeerwaarden anderzijds</w:t>
      </w:r>
      <w:r w:rsidRPr="0043072E">
        <w:rPr>
          <w:rFonts w:ascii="Calibri" w:hAnsi="Calibri"/>
        </w:rPr>
        <w:t xml:space="preserve">. </w:t>
      </w:r>
      <w:r w:rsidR="00695CFE">
        <w:rPr>
          <w:rFonts w:ascii="Calibri" w:hAnsi="Calibri"/>
        </w:rPr>
        <w:t>Deze regulatoire saldi dienen op hun beurt respectievelijk in ‘tabel 7’ (par</w:t>
      </w:r>
      <w:r w:rsidR="00505162">
        <w:rPr>
          <w:rFonts w:ascii="Calibri" w:hAnsi="Calibri"/>
        </w:rPr>
        <w:t>agraaf</w:t>
      </w:r>
      <w:r w:rsidR="00695CFE">
        <w:rPr>
          <w:rFonts w:ascii="Calibri" w:hAnsi="Calibri"/>
        </w:rPr>
        <w:t xml:space="preserve"> </w:t>
      </w:r>
      <w:r w:rsidR="00695CFE">
        <w:rPr>
          <w:rFonts w:ascii="Calibri" w:hAnsi="Calibri"/>
        </w:rPr>
        <w:fldChar w:fldCharType="begin"/>
      </w:r>
      <w:r w:rsidR="00695CFE">
        <w:rPr>
          <w:rFonts w:ascii="Calibri" w:hAnsi="Calibri"/>
        </w:rPr>
        <w:instrText xml:space="preserve"> REF _Ref445451593 \r \h </w:instrText>
      </w:r>
      <w:r w:rsidR="00695CFE">
        <w:rPr>
          <w:rFonts w:ascii="Calibri" w:hAnsi="Calibri"/>
        </w:rPr>
      </w:r>
      <w:r w:rsidR="00695CFE">
        <w:rPr>
          <w:rFonts w:ascii="Calibri" w:hAnsi="Calibri"/>
        </w:rPr>
        <w:fldChar w:fldCharType="separate"/>
      </w:r>
      <w:r w:rsidR="00964FA9">
        <w:rPr>
          <w:rFonts w:ascii="Calibri" w:hAnsi="Calibri"/>
        </w:rPr>
        <w:t>1.1.1.16</w:t>
      </w:r>
      <w:r w:rsidR="00695CFE">
        <w:rPr>
          <w:rFonts w:ascii="Calibri" w:hAnsi="Calibri"/>
        </w:rPr>
        <w:fldChar w:fldCharType="end"/>
      </w:r>
      <w:r w:rsidR="00695CFE">
        <w:rPr>
          <w:rFonts w:ascii="Calibri" w:hAnsi="Calibri"/>
        </w:rPr>
        <w:t>) en ‘tabel 8’ (par</w:t>
      </w:r>
      <w:r w:rsidR="00505162">
        <w:rPr>
          <w:rFonts w:ascii="Calibri" w:hAnsi="Calibri"/>
        </w:rPr>
        <w:t xml:space="preserve">agraaf </w:t>
      </w:r>
      <w:r w:rsidR="00505162">
        <w:rPr>
          <w:rFonts w:ascii="Calibri" w:hAnsi="Calibri"/>
        </w:rPr>
        <w:fldChar w:fldCharType="begin"/>
      </w:r>
      <w:r w:rsidR="00505162">
        <w:rPr>
          <w:rFonts w:ascii="Calibri" w:hAnsi="Calibri"/>
        </w:rPr>
        <w:instrText xml:space="preserve"> REF _Ref38874241 \r \h </w:instrText>
      </w:r>
      <w:r w:rsidR="00505162">
        <w:rPr>
          <w:rFonts w:ascii="Calibri" w:hAnsi="Calibri"/>
        </w:rPr>
      </w:r>
      <w:r w:rsidR="00505162">
        <w:rPr>
          <w:rFonts w:ascii="Calibri" w:hAnsi="Calibri"/>
        </w:rPr>
        <w:fldChar w:fldCharType="separate"/>
      </w:r>
      <w:r w:rsidR="00964FA9">
        <w:rPr>
          <w:rFonts w:ascii="Calibri" w:hAnsi="Calibri"/>
        </w:rPr>
        <w:t>1.1.1.17</w:t>
      </w:r>
      <w:r w:rsidR="00505162">
        <w:rPr>
          <w:rFonts w:ascii="Calibri" w:hAnsi="Calibri"/>
        </w:rPr>
        <w:fldChar w:fldCharType="end"/>
      </w:r>
      <w:r w:rsidR="00505162">
        <w:rPr>
          <w:rFonts w:ascii="Calibri" w:hAnsi="Calibri"/>
        </w:rPr>
        <w:t>)</w:t>
      </w:r>
      <w:r w:rsidR="00695CFE">
        <w:rPr>
          <w:rFonts w:ascii="Calibri" w:hAnsi="Calibri"/>
        </w:rPr>
        <w:t xml:space="preserve"> van het rapporteringsmodel te worden opgenomen.</w:t>
      </w:r>
    </w:p>
    <w:p w14:paraId="624F971E" w14:textId="74914025" w:rsidR="008B64B3" w:rsidRPr="0043072E" w:rsidRDefault="008B64B3" w:rsidP="008B64B3">
      <w:pPr>
        <w:rPr>
          <w:rFonts w:ascii="Calibri" w:hAnsi="Calibri"/>
        </w:rPr>
      </w:pPr>
      <w:r w:rsidRPr="0043072E">
        <w:rPr>
          <w:rFonts w:ascii="Calibri" w:hAnsi="Calibri"/>
        </w:rPr>
        <w:t>Het budget voor boekjaar 20</w:t>
      </w:r>
      <w:r w:rsidR="00505162">
        <w:rPr>
          <w:rFonts w:ascii="Calibri" w:hAnsi="Calibri"/>
        </w:rPr>
        <w:t>21</w:t>
      </w:r>
      <w:r w:rsidRPr="0043072E">
        <w:rPr>
          <w:rFonts w:ascii="Calibri" w:hAnsi="Calibri"/>
        </w:rPr>
        <w:t xml:space="preserve"> vormt aldus de ex-ante startbasis en zal onderdeel uitmaken van het door de VREG toegelaten inkomen uit periodieke distributienettarieven voor endogene kosten voor het respectievelijke boekjaar. In het daaropvolgende boekjaar worden de werkelijke gegevens voor het desbetreffende boekjaar op ex-post basis gerapporteerd</w:t>
      </w:r>
      <w:r w:rsidR="004650C6">
        <w:rPr>
          <w:rFonts w:ascii="Calibri" w:hAnsi="Calibri"/>
        </w:rPr>
        <w:t>, waaruit vervolgens de betreffende regulatoire saldi resulteren</w:t>
      </w:r>
      <w:r w:rsidRPr="0043072E">
        <w:rPr>
          <w:rFonts w:ascii="Calibri" w:hAnsi="Calibri"/>
        </w:rPr>
        <w:t>.</w:t>
      </w:r>
    </w:p>
    <w:p w14:paraId="2265505D" w14:textId="4D82F7B4" w:rsidR="008B64B3" w:rsidRPr="0043072E" w:rsidRDefault="008B64B3" w:rsidP="008B64B3">
      <w:pPr>
        <w:pStyle w:val="Kop4"/>
      </w:pPr>
      <w:bookmarkStart w:id="58" w:name="_Toc81512449"/>
      <w:r w:rsidRPr="0043072E">
        <w:t xml:space="preserve">TABEL </w:t>
      </w:r>
      <w:r w:rsidR="00FB219E">
        <w:t>10</w:t>
      </w:r>
      <w:r w:rsidRPr="0043072E">
        <w:t>: Fiscaal niet-aftrekbare afschrijvingen op herwaarderingsmeerwaarden</w:t>
      </w:r>
      <w:bookmarkEnd w:id="58"/>
    </w:p>
    <w:p w14:paraId="3392E723" w14:textId="63FE0BE4" w:rsidR="0074242C" w:rsidRDefault="008B64B3" w:rsidP="008B64B3">
      <w:pPr>
        <w:rPr>
          <w:rFonts w:ascii="Calibri" w:hAnsi="Calibri"/>
        </w:rPr>
      </w:pPr>
      <w:r w:rsidRPr="0043072E">
        <w:rPr>
          <w:rFonts w:ascii="Calibri" w:hAnsi="Calibri"/>
        </w:rPr>
        <w:lastRenderedPageBreak/>
        <w:t>Deze tabel toont de detailberekening van de in het toegelaten inkomen in rekening te brengen fiscaal niet-aftrekbare afschrijvingen op de meerwaarden m.b.t. historische indexatie en de iRAB</w:t>
      </w:r>
      <w:r w:rsidR="007B5E9B" w:rsidRPr="007B5E9B">
        <w:rPr>
          <w:rFonts w:ascii="Calibri" w:hAnsi="Calibri"/>
          <w:color w:val="009999" w:themeColor="accent5"/>
        </w:rPr>
        <w:t>[</w:t>
      </w:r>
      <w:r w:rsidR="008B67AA" w:rsidRPr="007B5E9B">
        <w:rPr>
          <w:rFonts w:ascii="Calibri" w:hAnsi="Calibri"/>
          <w:color w:val="009999" w:themeColor="accent5"/>
        </w:rPr>
        <w:t>,</w:t>
      </w:r>
      <w:r w:rsidR="008B67AA" w:rsidRPr="00E42DD3">
        <w:rPr>
          <w:rFonts w:ascii="Calibri" w:hAnsi="Calibri"/>
          <w:color w:val="009999" w:themeColor="accent5"/>
        </w:rPr>
        <w:t xml:space="preserve"> evenals de afboekin</w:t>
      </w:r>
      <w:r w:rsidR="00E42DD3" w:rsidRPr="00E42DD3">
        <w:rPr>
          <w:rFonts w:ascii="Calibri" w:hAnsi="Calibri"/>
          <w:color w:val="009999" w:themeColor="accent5"/>
        </w:rPr>
        <w:t>g van de betreffende meerwaarden bij de verkoop van activa</w:t>
      </w:r>
      <w:r w:rsidR="007B5E9B">
        <w:rPr>
          <w:rFonts w:ascii="Calibri" w:hAnsi="Calibri"/>
          <w:color w:val="009999" w:themeColor="accent5"/>
        </w:rPr>
        <w:t>]</w:t>
      </w:r>
      <w:r w:rsidR="00E42DD3">
        <w:rPr>
          <w:rStyle w:val="Voetnootmarkering"/>
          <w:rFonts w:ascii="Calibri" w:hAnsi="Calibri"/>
          <w:color w:val="009999" w:themeColor="accent5"/>
        </w:rPr>
        <w:footnoteReference w:id="7"/>
      </w:r>
      <w:r w:rsidRPr="0043072E">
        <w:rPr>
          <w:rFonts w:ascii="Calibri" w:hAnsi="Calibri"/>
        </w:rPr>
        <w:t>.</w:t>
      </w:r>
    </w:p>
    <w:p w14:paraId="23C8B9EE" w14:textId="61B492A2" w:rsidR="008B64B3" w:rsidRDefault="0074242C" w:rsidP="008B64B3">
      <w:pPr>
        <w:rPr>
          <w:rFonts w:ascii="Calibri" w:hAnsi="Calibri"/>
        </w:rPr>
      </w:pPr>
      <w:r>
        <w:rPr>
          <w:rFonts w:ascii="Calibri" w:hAnsi="Calibri"/>
        </w:rPr>
        <w:t xml:space="preserve">De betreffende afschrijvingen worden zowel op ex-ante als ex-post basis automatisch afgeleid uit de </w:t>
      </w:r>
      <w:r w:rsidR="00AF1BC4">
        <w:rPr>
          <w:rFonts w:ascii="Calibri" w:hAnsi="Calibri"/>
        </w:rPr>
        <w:t>respectievelijke</w:t>
      </w:r>
      <w:r w:rsidR="0051503D">
        <w:rPr>
          <w:rFonts w:ascii="Calibri" w:hAnsi="Calibri"/>
        </w:rPr>
        <w:t xml:space="preserve"> waarden in ‘tabel 1</w:t>
      </w:r>
      <w:r w:rsidR="00743232">
        <w:rPr>
          <w:rFonts w:ascii="Calibri" w:hAnsi="Calibri"/>
        </w:rPr>
        <w:t>3</w:t>
      </w:r>
      <w:r w:rsidR="0051503D">
        <w:rPr>
          <w:rFonts w:ascii="Calibri" w:hAnsi="Calibri"/>
        </w:rPr>
        <w:t>A’</w:t>
      </w:r>
      <w:r w:rsidR="00AF1BC4">
        <w:rPr>
          <w:rFonts w:ascii="Calibri" w:hAnsi="Calibri"/>
        </w:rPr>
        <w:t xml:space="preserve"> (elektriciteit – historische indexatie)</w:t>
      </w:r>
      <w:r w:rsidR="0051503D">
        <w:rPr>
          <w:rFonts w:ascii="Calibri" w:hAnsi="Calibri"/>
        </w:rPr>
        <w:t>, ‘tabel 1</w:t>
      </w:r>
      <w:r w:rsidR="00743232">
        <w:rPr>
          <w:rFonts w:ascii="Calibri" w:hAnsi="Calibri"/>
        </w:rPr>
        <w:t>3</w:t>
      </w:r>
      <w:r w:rsidR="0051503D">
        <w:rPr>
          <w:rFonts w:ascii="Calibri" w:hAnsi="Calibri"/>
        </w:rPr>
        <w:t>B’</w:t>
      </w:r>
      <w:r w:rsidR="00AF1BC4">
        <w:rPr>
          <w:rFonts w:ascii="Calibri" w:hAnsi="Calibri"/>
        </w:rPr>
        <w:t xml:space="preserve"> (elektriciteit – iRAB)</w:t>
      </w:r>
      <w:r w:rsidR="0051503D">
        <w:rPr>
          <w:rFonts w:ascii="Calibri" w:hAnsi="Calibri"/>
        </w:rPr>
        <w:t>, ‘tabel 1</w:t>
      </w:r>
      <w:r w:rsidR="00743232">
        <w:rPr>
          <w:rFonts w:ascii="Calibri" w:hAnsi="Calibri"/>
        </w:rPr>
        <w:t>3</w:t>
      </w:r>
      <w:r w:rsidR="0051503D">
        <w:rPr>
          <w:rFonts w:ascii="Calibri" w:hAnsi="Calibri"/>
        </w:rPr>
        <w:t>C’</w:t>
      </w:r>
      <w:r w:rsidR="00AF1BC4">
        <w:rPr>
          <w:rFonts w:ascii="Calibri" w:hAnsi="Calibri"/>
        </w:rPr>
        <w:t xml:space="preserve"> (gas – historische indexatie)</w:t>
      </w:r>
      <w:r w:rsidR="0051503D">
        <w:rPr>
          <w:rFonts w:ascii="Calibri" w:hAnsi="Calibri"/>
        </w:rPr>
        <w:t xml:space="preserve"> en ‘tabel 1</w:t>
      </w:r>
      <w:r w:rsidR="00743232">
        <w:rPr>
          <w:rFonts w:ascii="Calibri" w:hAnsi="Calibri"/>
        </w:rPr>
        <w:t>3</w:t>
      </w:r>
      <w:r w:rsidR="0051503D">
        <w:rPr>
          <w:rFonts w:ascii="Calibri" w:hAnsi="Calibri"/>
        </w:rPr>
        <w:t>D’</w:t>
      </w:r>
      <w:r w:rsidR="00AF1BC4">
        <w:rPr>
          <w:rFonts w:ascii="Calibri" w:hAnsi="Calibri"/>
        </w:rPr>
        <w:t xml:space="preserve"> (gas – iRAB)</w:t>
      </w:r>
      <w:r w:rsidR="0051503D">
        <w:rPr>
          <w:rFonts w:ascii="Calibri" w:hAnsi="Calibri"/>
        </w:rPr>
        <w:t>.</w:t>
      </w:r>
    </w:p>
    <w:p w14:paraId="37197D50" w14:textId="2F30FB43" w:rsidR="008B64B3" w:rsidRDefault="008C3332" w:rsidP="008B64B3">
      <w:pPr>
        <w:rPr>
          <w:rFonts w:ascii="Calibri" w:hAnsi="Calibri"/>
        </w:rPr>
      </w:pPr>
      <w:r>
        <w:rPr>
          <w:rFonts w:ascii="Calibri" w:hAnsi="Calibri"/>
        </w:rPr>
        <w:t>Indien de statutaire aanslagvoet voor het betreffende boekjaar zou afwijken van de vooraf aangegeven aanslagvoet</w:t>
      </w:r>
      <w:r w:rsidR="00912A08">
        <w:rPr>
          <w:rFonts w:ascii="Calibri" w:hAnsi="Calibri"/>
        </w:rPr>
        <w:t>,</w:t>
      </w:r>
      <w:r>
        <w:rPr>
          <w:rFonts w:ascii="Calibri" w:hAnsi="Calibri"/>
        </w:rPr>
        <w:t xml:space="preserve"> kan de distributienetbeheerder de correcte waarde in rekening nemen.</w:t>
      </w:r>
    </w:p>
    <w:p w14:paraId="52852E74" w14:textId="4C23BC32" w:rsidR="00F52F2D" w:rsidRPr="0043072E" w:rsidRDefault="00F52F2D" w:rsidP="00F52F2D">
      <w:pPr>
        <w:pStyle w:val="Kop4"/>
      </w:pPr>
      <w:bookmarkStart w:id="59" w:name="_Toc81512450"/>
      <w:r w:rsidRPr="0043072E">
        <w:t xml:space="preserve">TABEL </w:t>
      </w:r>
      <w:r>
        <w:t>11</w:t>
      </w:r>
      <w:r w:rsidRPr="0043072E">
        <w:t xml:space="preserve">: Fiscaal niet-aftrekbare </w:t>
      </w:r>
      <w:r>
        <w:t>heffing volgens het Decreet houdende het Grootschalig Referentiebestand</w:t>
      </w:r>
      <w:bookmarkEnd w:id="59"/>
    </w:p>
    <w:p w14:paraId="5A53F86C" w14:textId="2BEA457B" w:rsidR="00F52F2D" w:rsidRDefault="00F52F2D" w:rsidP="00F52F2D">
      <w:pPr>
        <w:rPr>
          <w:rFonts w:ascii="Calibri" w:hAnsi="Calibri"/>
        </w:rPr>
      </w:pPr>
      <w:r w:rsidRPr="0043072E">
        <w:rPr>
          <w:rFonts w:ascii="Calibri" w:hAnsi="Calibri"/>
        </w:rPr>
        <w:t xml:space="preserve">Deze tabel toont de detailberekening van de in het toegelaten inkomen in rekening te brengen fiscaal niet-aftrekbare </w:t>
      </w:r>
      <w:r w:rsidR="008E1BE4">
        <w:rPr>
          <w:rFonts w:ascii="Calibri" w:hAnsi="Calibri"/>
        </w:rPr>
        <w:t xml:space="preserve">heffing </w:t>
      </w:r>
      <w:r w:rsidR="00DA34EE">
        <w:rPr>
          <w:rFonts w:ascii="Calibri" w:hAnsi="Calibri"/>
        </w:rPr>
        <w:t>volgens het Decreet houdende het Grootschalig Referentiebestand</w:t>
      </w:r>
      <w:r w:rsidRPr="0043072E">
        <w:rPr>
          <w:rFonts w:ascii="Calibri" w:hAnsi="Calibri"/>
        </w:rPr>
        <w:t>.</w:t>
      </w:r>
    </w:p>
    <w:p w14:paraId="03D5E974" w14:textId="299E69BA" w:rsidR="00DA34EE" w:rsidRDefault="00DA34EE" w:rsidP="00DA34EE">
      <w:pPr>
        <w:rPr>
          <w:rFonts w:ascii="Calibri" w:hAnsi="Calibri"/>
        </w:rPr>
      </w:pPr>
      <w:r>
        <w:rPr>
          <w:rFonts w:ascii="Calibri" w:hAnsi="Calibri"/>
        </w:rPr>
        <w:t xml:space="preserve">De </w:t>
      </w:r>
      <w:r w:rsidR="00A868B1">
        <w:rPr>
          <w:rFonts w:ascii="Calibri" w:hAnsi="Calibri"/>
        </w:rPr>
        <w:t>kosten n.a.v. de</w:t>
      </w:r>
      <w:r>
        <w:rPr>
          <w:rFonts w:ascii="Calibri" w:hAnsi="Calibri"/>
        </w:rPr>
        <w:t xml:space="preserve"> heffing word</w:t>
      </w:r>
      <w:r w:rsidR="00A868B1">
        <w:rPr>
          <w:rFonts w:ascii="Calibri" w:hAnsi="Calibri"/>
        </w:rPr>
        <w:t>en</w:t>
      </w:r>
      <w:r>
        <w:rPr>
          <w:rFonts w:ascii="Calibri" w:hAnsi="Calibri"/>
        </w:rPr>
        <w:t xml:space="preserve"> zowel op ex-ante als ex-post basis automatisch afgeleid uit de betreffende waarden opgenomen in rubriek </w:t>
      </w:r>
      <w:r w:rsidR="006821F0">
        <w:rPr>
          <w:rFonts w:ascii="Calibri" w:hAnsi="Calibri"/>
        </w:rPr>
        <w:t>33 van ‘Tabel 3’</w:t>
      </w:r>
      <w:r>
        <w:rPr>
          <w:rFonts w:ascii="Calibri" w:hAnsi="Calibri"/>
        </w:rPr>
        <w:t>.</w:t>
      </w:r>
    </w:p>
    <w:p w14:paraId="67E94093" w14:textId="0ACA400C" w:rsidR="008B64B3" w:rsidRPr="0043072E" w:rsidRDefault="008B64B3" w:rsidP="008B64B3">
      <w:pPr>
        <w:pStyle w:val="Kop4"/>
      </w:pPr>
      <w:bookmarkStart w:id="60" w:name="_Toc81512451"/>
      <w:r w:rsidRPr="0043072E">
        <w:t xml:space="preserve">TABEL </w:t>
      </w:r>
      <w:r w:rsidR="002B167D">
        <w:t>1</w:t>
      </w:r>
      <w:r w:rsidR="00CC7E02">
        <w:t>2</w:t>
      </w:r>
      <w:r w:rsidRPr="0043072E">
        <w:t>: Notionele intrestaftrek</w:t>
      </w:r>
      <w:bookmarkEnd w:id="60"/>
    </w:p>
    <w:p w14:paraId="7A5F316C" w14:textId="51402269" w:rsidR="008B64B3" w:rsidRPr="00607318" w:rsidRDefault="008B64B3" w:rsidP="008B64B3">
      <w:pPr>
        <w:rPr>
          <w:rFonts w:ascii="Calibri" w:hAnsi="Calibri"/>
          <w:b/>
          <w:bCs/>
        </w:rPr>
      </w:pPr>
      <w:r w:rsidRPr="0043072E">
        <w:rPr>
          <w:rFonts w:ascii="Calibri" w:hAnsi="Calibri"/>
        </w:rPr>
        <w:t>Deze tabel toont de detailberekening van de in het toegelaten inkomen in rekening te brengen notionele intrestaftrek voor boekjaar 20</w:t>
      </w:r>
      <w:r w:rsidR="00DA2738">
        <w:rPr>
          <w:rFonts w:ascii="Calibri" w:hAnsi="Calibri"/>
        </w:rPr>
        <w:t>21</w:t>
      </w:r>
      <w:r w:rsidRPr="0043072E">
        <w:rPr>
          <w:rFonts w:ascii="Calibri" w:hAnsi="Calibri"/>
        </w:rPr>
        <w:t xml:space="preserve">. </w:t>
      </w:r>
      <w:r w:rsidRPr="00016797">
        <w:rPr>
          <w:rFonts w:ascii="Calibri" w:hAnsi="Calibri"/>
        </w:rPr>
        <w:t xml:space="preserve">Daarbij dient de distributienetbeheerder het gecorrigeerd bedrag aan risicokapitaal in rekening te nemen. Aan de hand van een </w:t>
      </w:r>
      <w:r w:rsidR="00DA2738">
        <w:rPr>
          <w:rFonts w:ascii="Calibri" w:hAnsi="Calibri"/>
        </w:rPr>
        <w:t xml:space="preserve">onderbouwende nota </w:t>
      </w:r>
      <w:r w:rsidRPr="00016797">
        <w:rPr>
          <w:rFonts w:ascii="Calibri" w:hAnsi="Calibri"/>
        </w:rPr>
        <w:t xml:space="preserve">bij het rapporteringsmodel dient de distributienetbeheerder bovendien aan te tonen dat bij de berekening van dit gecorrigeerd bedrag aan risicokapitaal de bepalingen in </w:t>
      </w:r>
      <w:r w:rsidR="006D0B36">
        <w:rPr>
          <w:rFonts w:ascii="Calibri" w:hAnsi="Calibri"/>
        </w:rPr>
        <w:t>het wetboek inkomstenbelastingen</w:t>
      </w:r>
      <w:r w:rsidRPr="00016797">
        <w:rPr>
          <w:rFonts w:ascii="Calibri" w:hAnsi="Calibri"/>
        </w:rPr>
        <w:t xml:space="preserve"> werden gevolgd.</w:t>
      </w:r>
      <w:r w:rsidR="00607318">
        <w:rPr>
          <w:rFonts w:ascii="Calibri" w:hAnsi="Calibri"/>
        </w:rPr>
        <w:t xml:space="preserve"> </w:t>
      </w:r>
      <w:r w:rsidR="00607318" w:rsidRPr="00607318">
        <w:rPr>
          <w:rFonts w:ascii="Calibri" w:hAnsi="Calibri"/>
        </w:rPr>
        <w:t>Hierbij dient de distributienetbeheerder rekening te houden met het eigen vermogen en de correctieposten zoals deze blijken uit de fiscale berekening voor het opstellen van de jaarrekening</w:t>
      </w:r>
      <w:r w:rsidR="0022573E">
        <w:rPr>
          <w:rFonts w:ascii="Calibri" w:hAnsi="Calibri"/>
        </w:rPr>
        <w:t>,</w:t>
      </w:r>
      <w:r w:rsidR="001B354F" w:rsidRPr="001B354F">
        <w:rPr>
          <w:rFonts w:ascii="Calibri" w:hAnsi="Calibri"/>
        </w:rPr>
        <w:t xml:space="preserve"> waarna het </w:t>
      </w:r>
      <w:r w:rsidR="0022573E">
        <w:rPr>
          <w:rFonts w:ascii="Calibri" w:hAnsi="Calibri"/>
        </w:rPr>
        <w:t xml:space="preserve">hieruit </w:t>
      </w:r>
      <w:r w:rsidR="001B354F" w:rsidRPr="001B354F">
        <w:rPr>
          <w:rFonts w:ascii="Calibri" w:hAnsi="Calibri"/>
        </w:rPr>
        <w:t>resulterende gecorrigeerde bedrag aan risicokapitaal a.d.h.v. een verdeelsleutel aan de verschillende activiteiten van de distributienetbeheerder wordt toegewezen</w:t>
      </w:r>
      <w:r w:rsidR="00607318" w:rsidRPr="00607318">
        <w:rPr>
          <w:rFonts w:ascii="Calibri" w:hAnsi="Calibri"/>
        </w:rPr>
        <w:t>.</w:t>
      </w:r>
    </w:p>
    <w:p w14:paraId="40BD6390" w14:textId="576A6A67" w:rsidR="00DA2738" w:rsidRDefault="00DA2738" w:rsidP="008B64B3">
      <w:pPr>
        <w:rPr>
          <w:rFonts w:ascii="Calibri" w:hAnsi="Calibri"/>
        </w:rPr>
      </w:pPr>
      <w:r>
        <w:rPr>
          <w:rFonts w:ascii="Calibri" w:hAnsi="Calibri"/>
        </w:rPr>
        <w:t>G</w:t>
      </w:r>
      <w:r w:rsidRPr="00DA2738">
        <w:rPr>
          <w:rFonts w:ascii="Calibri" w:hAnsi="Calibri"/>
        </w:rPr>
        <w:t>ezien de timing van de ex-ante rapportering zal het basistarief voor de notionele intrestaftrek van boekjaar 20</w:t>
      </w:r>
      <w:r w:rsidR="001440FB">
        <w:rPr>
          <w:rFonts w:ascii="Calibri" w:hAnsi="Calibri"/>
        </w:rPr>
        <w:t>21</w:t>
      </w:r>
      <w:r w:rsidRPr="00DA2738">
        <w:rPr>
          <w:rFonts w:ascii="Calibri" w:hAnsi="Calibri"/>
        </w:rPr>
        <w:t xml:space="preserve"> door de VREG worden ingevuld en dit conform de bepalingen in </w:t>
      </w:r>
      <w:r w:rsidR="00F41AF9">
        <w:rPr>
          <w:rFonts w:ascii="Calibri" w:hAnsi="Calibri"/>
        </w:rPr>
        <w:t xml:space="preserve">het wetboek </w:t>
      </w:r>
      <w:r w:rsidR="001D11B2">
        <w:rPr>
          <w:rFonts w:ascii="Calibri" w:hAnsi="Calibri"/>
        </w:rPr>
        <w:t>inkomstenbelastingen</w:t>
      </w:r>
      <w:r w:rsidR="001D11B2" w:rsidRPr="00DA2738">
        <w:rPr>
          <w:rFonts w:ascii="Calibri" w:hAnsi="Calibri"/>
        </w:rPr>
        <w:t xml:space="preserve"> voor</w:t>
      </w:r>
      <w:r w:rsidRPr="00DA2738">
        <w:rPr>
          <w:rFonts w:ascii="Calibri" w:hAnsi="Calibri"/>
        </w:rPr>
        <w:t xml:space="preserve"> zover de timing m.b.t. de vastlegging van het toegelaten inkomen 20</w:t>
      </w:r>
      <w:r w:rsidR="001440FB">
        <w:rPr>
          <w:rFonts w:ascii="Calibri" w:hAnsi="Calibri"/>
        </w:rPr>
        <w:t>21</w:t>
      </w:r>
      <w:r w:rsidRPr="00DA2738">
        <w:rPr>
          <w:rFonts w:ascii="Calibri" w:hAnsi="Calibri"/>
        </w:rPr>
        <w:t xml:space="preserve"> dit toelaat. Indien de timing dit niet toelaat, zal de VREG een zo getrouw mogelijke inschatting maken van het basistarief voor de notionele intrestaftrek van </w:t>
      </w:r>
      <w:r w:rsidR="001440FB">
        <w:rPr>
          <w:rFonts w:ascii="Calibri" w:hAnsi="Calibri"/>
        </w:rPr>
        <w:t xml:space="preserve">het betreffende </w:t>
      </w:r>
      <w:r w:rsidRPr="00DA2738">
        <w:rPr>
          <w:rFonts w:ascii="Calibri" w:hAnsi="Calibri"/>
        </w:rPr>
        <w:t>boekjaa</w:t>
      </w:r>
      <w:r w:rsidR="001440FB">
        <w:rPr>
          <w:rFonts w:ascii="Calibri" w:hAnsi="Calibri"/>
        </w:rPr>
        <w:t>r</w:t>
      </w:r>
      <w:r w:rsidRPr="00DA2738">
        <w:rPr>
          <w:rFonts w:ascii="Calibri" w:hAnsi="Calibri"/>
        </w:rPr>
        <w:t>. Op ex-post basis is het basistarief voor de notionele intrestaftrek van boekjaar 20</w:t>
      </w:r>
      <w:r w:rsidR="007C3420">
        <w:rPr>
          <w:rFonts w:ascii="Calibri" w:hAnsi="Calibri"/>
        </w:rPr>
        <w:t>21</w:t>
      </w:r>
      <w:r w:rsidRPr="00DA2738">
        <w:rPr>
          <w:rFonts w:ascii="Calibri" w:hAnsi="Calibri"/>
        </w:rPr>
        <w:t xml:space="preserve"> uiteraard wel reeds gekend waardoor deze eenvoudig door de distributienetbeheerder zelf kan worden ingevuld.</w:t>
      </w:r>
    </w:p>
    <w:p w14:paraId="16194114" w14:textId="217C793A" w:rsidR="007C3420" w:rsidRPr="005D0A79" w:rsidRDefault="007C3420" w:rsidP="007C3420">
      <w:pPr>
        <w:pStyle w:val="Kop4"/>
      </w:pPr>
      <w:bookmarkStart w:id="61" w:name="_Ref38876717"/>
      <w:bookmarkStart w:id="62" w:name="_Toc81512452"/>
      <w:r w:rsidRPr="0043072E">
        <w:t xml:space="preserve">TABEL </w:t>
      </w:r>
      <w:r>
        <w:t>1</w:t>
      </w:r>
      <w:r w:rsidR="00CC7E02">
        <w:t>3</w:t>
      </w:r>
      <w:r>
        <w:t>A</w:t>
      </w:r>
      <w:r w:rsidRPr="0043072E">
        <w:t>: Afschrijvingen van de meerwaarde op basis van de historische indexatie (materiële vaste activa) - elektriciteit</w:t>
      </w:r>
      <w:bookmarkEnd w:id="61"/>
      <w:bookmarkEnd w:id="62"/>
    </w:p>
    <w:p w14:paraId="61E2652B" w14:textId="77777777" w:rsidR="007C3420" w:rsidRPr="0043072E" w:rsidRDefault="007C3420" w:rsidP="007C3420">
      <w:pPr>
        <w:rPr>
          <w:rFonts w:ascii="Calibri" w:hAnsi="Calibri"/>
        </w:rPr>
      </w:pPr>
      <w:r w:rsidRPr="0043072E">
        <w:rPr>
          <w:rFonts w:ascii="Calibri" w:hAnsi="Calibri"/>
        </w:rPr>
        <w:lastRenderedPageBreak/>
        <w:t>In het verleden werd door de CREG een éénmalige meerwaarde op basis van de historische indexatie</w:t>
      </w:r>
      <w:r w:rsidRPr="0043072E">
        <w:rPr>
          <w:rStyle w:val="Voetnootmarkering"/>
          <w:rFonts w:ascii="Calibri" w:hAnsi="Calibri"/>
        </w:rPr>
        <w:footnoteReference w:id="8"/>
      </w:r>
      <w:r w:rsidRPr="0043072E">
        <w:rPr>
          <w:rFonts w:ascii="Calibri" w:hAnsi="Calibri"/>
        </w:rPr>
        <w:t xml:space="preserve"> goedgekeurd. Deze meerwaarden werden jaarlijks afgeschreven volgens een ritme dat verondersteld werd een weergave te zijn van de gemiddelde jaarlijkse desinvesteringen. Hierbij werd in de tarieven-KB’s 2008 bepaald dat de meerwaarde werd afgeboekt en in de kosten werd opgenomen à rato van 2% per jaar in de eerste reguleringsperiode (2009-2012). Na afloop van het derde jaar van elke reguleringsperiode werd het voortschrijdend gemiddelde van de buitendienststellingen over de voorbije 4 jaren bepaald en dit voortschrijdend gemiddelde werd vervolgens toegepast in de eerstvolgende reguleringsperiode. Het was dus de bedoeling om het percentage van 2% steeds te verfijnen op basis van de werkelijk vastgestelde buitendienststellingen bij de distributienetbeheerders. Om die reden was er een uitdrukkelijke attestering van de bedrijfsrevisor met betrekking tot de gebruikte methodiek en daadwerkelijke naleving ervan inzake buitendienst gestelde materiële vaste activa noodzakelijk. </w:t>
      </w:r>
    </w:p>
    <w:p w14:paraId="455018B5" w14:textId="086E9E53" w:rsidR="007C3420" w:rsidRPr="0043072E" w:rsidRDefault="007C3420" w:rsidP="007C3420">
      <w:pPr>
        <w:rPr>
          <w:rFonts w:ascii="Calibri" w:hAnsi="Calibri"/>
        </w:rPr>
      </w:pPr>
      <w:r w:rsidRPr="0043072E">
        <w:rPr>
          <w:rFonts w:ascii="Calibri" w:hAnsi="Calibri"/>
        </w:rPr>
        <w:t>Voor de reguleringsperiode</w:t>
      </w:r>
      <w:r w:rsidR="00C656CA">
        <w:rPr>
          <w:rFonts w:ascii="Calibri" w:hAnsi="Calibri"/>
        </w:rPr>
        <w:t>n</w:t>
      </w:r>
      <w:r w:rsidRPr="0043072E">
        <w:rPr>
          <w:rFonts w:ascii="Calibri" w:hAnsi="Calibri"/>
        </w:rPr>
        <w:t xml:space="preserve"> 2017-2020 </w:t>
      </w:r>
      <w:r w:rsidR="00822ECF">
        <w:rPr>
          <w:rFonts w:ascii="Calibri" w:hAnsi="Calibri"/>
        </w:rPr>
        <w:t xml:space="preserve">en 2021-2024 </w:t>
      </w:r>
      <w:r w:rsidRPr="0043072E">
        <w:rPr>
          <w:rFonts w:ascii="Calibri" w:hAnsi="Calibri"/>
        </w:rPr>
        <w:t>stel</w:t>
      </w:r>
      <w:r w:rsidR="00822ECF">
        <w:rPr>
          <w:rFonts w:ascii="Calibri" w:hAnsi="Calibri"/>
        </w:rPr>
        <w:t>de</w:t>
      </w:r>
      <w:r w:rsidRPr="0043072E">
        <w:rPr>
          <w:rFonts w:ascii="Calibri" w:hAnsi="Calibri"/>
        </w:rPr>
        <w:t xml:space="preserve"> de VREG </w:t>
      </w:r>
      <w:r w:rsidR="00822ECF">
        <w:rPr>
          <w:rFonts w:ascii="Calibri" w:hAnsi="Calibri"/>
        </w:rPr>
        <w:t xml:space="preserve">eveneens </w:t>
      </w:r>
      <w:r w:rsidRPr="0043072E">
        <w:rPr>
          <w:rFonts w:ascii="Calibri" w:hAnsi="Calibri"/>
        </w:rPr>
        <w:t xml:space="preserve">een vast jaarlijks </w:t>
      </w:r>
      <w:r w:rsidR="00822ECF">
        <w:rPr>
          <w:rFonts w:ascii="Calibri" w:hAnsi="Calibri"/>
        </w:rPr>
        <w:t>afschrijvings</w:t>
      </w:r>
      <w:r w:rsidRPr="0043072E">
        <w:rPr>
          <w:rFonts w:ascii="Calibri" w:hAnsi="Calibri"/>
        </w:rPr>
        <w:t>percentage van 2% vast</w:t>
      </w:r>
      <w:r w:rsidR="00F91A3B">
        <w:rPr>
          <w:rFonts w:ascii="Calibri" w:hAnsi="Calibri"/>
        </w:rPr>
        <w:t xml:space="preserve">. </w:t>
      </w:r>
      <w:r w:rsidRPr="0043072E">
        <w:rPr>
          <w:rFonts w:ascii="Calibri" w:hAnsi="Calibri"/>
        </w:rPr>
        <w:t xml:space="preserve">Ook wenst de VREG aldus de voormelde jaarlijkse attestering van de bedrijfsrevisor aan te houden teneinde de kwaliteit van de methodiek inzake buitendienststellingen te blijven garanderen (zie Bijlage 6 van de tariefmethodologie voor verdere informatie m.b.t. oplevering van deze attestering). </w:t>
      </w:r>
    </w:p>
    <w:p w14:paraId="2CD0BBC9" w14:textId="78B09FD8" w:rsidR="007C3420" w:rsidRDefault="007C3420" w:rsidP="007C3420">
      <w:pPr>
        <w:rPr>
          <w:rFonts w:ascii="Calibri" w:hAnsi="Calibri"/>
        </w:rPr>
      </w:pPr>
      <w:r w:rsidRPr="0043072E">
        <w:rPr>
          <w:rFonts w:ascii="Calibri" w:hAnsi="Calibri"/>
        </w:rPr>
        <w:t xml:space="preserve">In deze tabel wordt dus de evolutie van de meerwaarde op basis van de historische indexatie voor de gereguleerde activiteit ‘elektriciteit’ weergegeven door middel van een duidelijke opbouw van de nettoboekwaarde per jaar. Deze evolutie kan enkel </w:t>
      </w:r>
      <w:r w:rsidR="00644E5A">
        <w:rPr>
          <w:rFonts w:ascii="Calibri" w:hAnsi="Calibri"/>
        </w:rPr>
        <w:t xml:space="preserve">transfers tussen activarubrieken, </w:t>
      </w:r>
      <w:r w:rsidRPr="0043072E">
        <w:rPr>
          <w:rFonts w:ascii="Calibri" w:hAnsi="Calibri"/>
        </w:rPr>
        <w:t xml:space="preserve">afschrijvingen en </w:t>
      </w:r>
      <w:r w:rsidR="001B2494">
        <w:rPr>
          <w:rFonts w:ascii="Calibri" w:hAnsi="Calibri"/>
        </w:rPr>
        <w:t>desinvesteringen</w:t>
      </w:r>
      <w:r w:rsidR="003518D6">
        <w:rPr>
          <w:rFonts w:ascii="Calibri" w:hAnsi="Calibri"/>
        </w:rPr>
        <w:t xml:space="preserve"> (n.a.v. verkoop of structuurwijzigingen van de distributienetbeheerder)</w:t>
      </w:r>
      <w:r w:rsidR="001B2494">
        <w:rPr>
          <w:rFonts w:ascii="Calibri" w:hAnsi="Calibri"/>
        </w:rPr>
        <w:t xml:space="preserve"> </w:t>
      </w:r>
      <w:r w:rsidRPr="0043072E">
        <w:rPr>
          <w:rFonts w:ascii="Calibri" w:hAnsi="Calibri"/>
        </w:rPr>
        <w:t xml:space="preserve">omvatten. </w:t>
      </w:r>
    </w:p>
    <w:p w14:paraId="35672B9F" w14:textId="563AA903" w:rsidR="00644E5A" w:rsidRPr="0043072E" w:rsidRDefault="00644E5A" w:rsidP="007C3420">
      <w:pPr>
        <w:rPr>
          <w:rFonts w:ascii="Calibri" w:hAnsi="Calibri"/>
        </w:rPr>
      </w:pPr>
      <w:r>
        <w:rPr>
          <w:rFonts w:ascii="Calibri" w:hAnsi="Calibri"/>
        </w:rPr>
        <w:t xml:space="preserve">De </w:t>
      </w:r>
      <w:r w:rsidR="0083170B">
        <w:rPr>
          <w:rFonts w:ascii="Calibri" w:hAnsi="Calibri"/>
        </w:rPr>
        <w:t xml:space="preserve">eventuele </w:t>
      </w:r>
      <w:r>
        <w:rPr>
          <w:rFonts w:ascii="Calibri" w:hAnsi="Calibri"/>
        </w:rPr>
        <w:t>transfers die door de distributienetbeheerder in het betreffende boekjaar tussen de verschillende activarubrieken werden doorgevoerd, dienen in een afzonderlijk verklarende nota uitgebreid te worden gemotiveerd.</w:t>
      </w:r>
    </w:p>
    <w:p w14:paraId="269D765A" w14:textId="77777777" w:rsidR="007C3420" w:rsidRPr="0043072E" w:rsidRDefault="007C3420" w:rsidP="007C3420">
      <w:pPr>
        <w:rPr>
          <w:rFonts w:ascii="Calibri" w:hAnsi="Calibri"/>
        </w:rPr>
      </w:pPr>
      <w:r w:rsidRPr="0043072E">
        <w:rPr>
          <w:rFonts w:ascii="Calibri" w:hAnsi="Calibri"/>
        </w:rPr>
        <w:t>Indien in de kolomhoofden een ‘+’-teken is opgenomen, dienen positieve waarden in deze kolom worden opgegeven, en omgekeerd.</w:t>
      </w:r>
    </w:p>
    <w:p w14:paraId="01D20F26" w14:textId="15FD1F77" w:rsidR="007C3420" w:rsidRPr="005D0A79" w:rsidRDefault="007C3420" w:rsidP="007C3420">
      <w:pPr>
        <w:pStyle w:val="Kop4"/>
      </w:pPr>
      <w:r w:rsidRPr="0043072E">
        <w:t xml:space="preserve"> </w:t>
      </w:r>
      <w:bookmarkStart w:id="63" w:name="_Toc81512453"/>
      <w:r w:rsidRPr="0043072E">
        <w:t xml:space="preserve">TABEL </w:t>
      </w:r>
      <w:r w:rsidR="00712C96">
        <w:t>1</w:t>
      </w:r>
      <w:r w:rsidR="00CC7E02">
        <w:t>3</w:t>
      </w:r>
      <w:r w:rsidR="00712C96">
        <w:t>B:</w:t>
      </w:r>
      <w:r w:rsidRPr="0043072E">
        <w:t xml:space="preserve"> Afschrijvingen van de meerwaarde op basis van de iRAB (materiële vaste activa) - elektriciteit</w:t>
      </w:r>
      <w:bookmarkEnd w:id="63"/>
    </w:p>
    <w:p w14:paraId="729BDDF9" w14:textId="4A6D4AA2" w:rsidR="007C3420" w:rsidRPr="0043072E" w:rsidRDefault="007C3420" w:rsidP="007C3420">
      <w:pPr>
        <w:rPr>
          <w:rFonts w:ascii="Calibri" w:hAnsi="Calibri"/>
        </w:rPr>
      </w:pPr>
      <w:r w:rsidRPr="0043072E">
        <w:rPr>
          <w:rFonts w:ascii="Calibri" w:hAnsi="Calibri"/>
        </w:rPr>
        <w:t>Vergelijkbaar met paragraaf</w:t>
      </w:r>
      <w:r w:rsidR="00743B43">
        <w:rPr>
          <w:rFonts w:ascii="Calibri" w:hAnsi="Calibri"/>
        </w:rPr>
        <w:t xml:space="preserve"> </w:t>
      </w:r>
      <w:r w:rsidR="00743B43">
        <w:rPr>
          <w:rFonts w:ascii="Calibri" w:hAnsi="Calibri"/>
        </w:rPr>
        <w:fldChar w:fldCharType="begin"/>
      </w:r>
      <w:r w:rsidR="00743B43">
        <w:rPr>
          <w:rFonts w:ascii="Calibri" w:hAnsi="Calibri"/>
        </w:rPr>
        <w:instrText xml:space="preserve"> REF _Ref38876717 \r \h </w:instrText>
      </w:r>
      <w:r w:rsidR="00743B43">
        <w:rPr>
          <w:rFonts w:ascii="Calibri" w:hAnsi="Calibri"/>
        </w:rPr>
      </w:r>
      <w:r w:rsidR="00743B43">
        <w:rPr>
          <w:rFonts w:ascii="Calibri" w:hAnsi="Calibri"/>
        </w:rPr>
        <w:fldChar w:fldCharType="separate"/>
      </w:r>
      <w:r w:rsidR="00964FA9">
        <w:rPr>
          <w:rFonts w:ascii="Calibri" w:hAnsi="Calibri"/>
        </w:rPr>
        <w:t>1.1.1.22</w:t>
      </w:r>
      <w:r w:rsidR="00743B43">
        <w:rPr>
          <w:rFonts w:ascii="Calibri" w:hAnsi="Calibri"/>
        </w:rPr>
        <w:fldChar w:fldCharType="end"/>
      </w:r>
      <w:r w:rsidRPr="0043072E">
        <w:rPr>
          <w:rFonts w:ascii="Calibri" w:hAnsi="Calibri"/>
        </w:rPr>
        <w:t xml:space="preserve">, werd door de CREG in het verleden voor elke distributienetbeheerder een meerwaarde goedgekeurd op basis van de initiële waarde van het gereguleerd actief per 31 december 2001 voor de gereguleerde activiteit ‘elektriciteit’ (iRAB). Analoog met de meerwaarde op de historische indexatie werd ook deze meerwaarde afgeboekt aan een percentage dat verondersteld werd een weergave te zijn van de invloed van de gemiddelde jaarlijkse desinvesteringen. </w:t>
      </w:r>
      <w:r w:rsidR="00C656CA" w:rsidRPr="0043072E">
        <w:rPr>
          <w:rFonts w:ascii="Calibri" w:hAnsi="Calibri"/>
        </w:rPr>
        <w:t>Voor de reguleringsperiode</w:t>
      </w:r>
      <w:r w:rsidR="00C656CA">
        <w:rPr>
          <w:rFonts w:ascii="Calibri" w:hAnsi="Calibri"/>
        </w:rPr>
        <w:t>n</w:t>
      </w:r>
      <w:r w:rsidR="00C656CA" w:rsidRPr="0043072E">
        <w:rPr>
          <w:rFonts w:ascii="Calibri" w:hAnsi="Calibri"/>
        </w:rPr>
        <w:t xml:space="preserve"> 2017-2020 </w:t>
      </w:r>
      <w:r w:rsidR="00C656CA">
        <w:rPr>
          <w:rFonts w:ascii="Calibri" w:hAnsi="Calibri"/>
        </w:rPr>
        <w:t xml:space="preserve">en 2021-2024 </w:t>
      </w:r>
      <w:r w:rsidR="00C656CA" w:rsidRPr="0043072E">
        <w:rPr>
          <w:rFonts w:ascii="Calibri" w:hAnsi="Calibri"/>
        </w:rPr>
        <w:t>stel</w:t>
      </w:r>
      <w:r w:rsidR="00C656CA">
        <w:rPr>
          <w:rFonts w:ascii="Calibri" w:hAnsi="Calibri"/>
        </w:rPr>
        <w:t>de</w:t>
      </w:r>
      <w:r w:rsidR="00C656CA" w:rsidRPr="0043072E">
        <w:rPr>
          <w:rFonts w:ascii="Calibri" w:hAnsi="Calibri"/>
        </w:rPr>
        <w:t xml:space="preserve"> de VREG </w:t>
      </w:r>
      <w:r w:rsidR="00C656CA">
        <w:rPr>
          <w:rFonts w:ascii="Calibri" w:hAnsi="Calibri"/>
        </w:rPr>
        <w:t xml:space="preserve">eveneens </w:t>
      </w:r>
      <w:r w:rsidR="00C656CA" w:rsidRPr="0043072E">
        <w:rPr>
          <w:rFonts w:ascii="Calibri" w:hAnsi="Calibri"/>
        </w:rPr>
        <w:t xml:space="preserve">een vast jaarlijks </w:t>
      </w:r>
      <w:r w:rsidR="00C656CA">
        <w:rPr>
          <w:rFonts w:ascii="Calibri" w:hAnsi="Calibri"/>
        </w:rPr>
        <w:t>afschrijvings</w:t>
      </w:r>
      <w:r w:rsidR="00C656CA" w:rsidRPr="0043072E">
        <w:rPr>
          <w:rFonts w:ascii="Calibri" w:hAnsi="Calibri"/>
        </w:rPr>
        <w:t>percentage van 2% vast</w:t>
      </w:r>
      <w:r w:rsidRPr="0043072E">
        <w:rPr>
          <w:rFonts w:ascii="Calibri" w:hAnsi="Calibri"/>
        </w:rPr>
        <w:t>. Zoals reeds eerder vermeld, wenst de VREG daarom de hieraan gekoppelde jaarlijkse attestering van de bedrijfsrevisor aan te houden teneinde de kwaliteit van de methodiek inzake buitendienststellingen te blijven garanderen (zie Bijlage 6 van de tariefmethodologie voor verdere informatie m.b.t. oplevering van deze attestering).</w:t>
      </w:r>
    </w:p>
    <w:p w14:paraId="1F5453BF" w14:textId="530627A0" w:rsidR="00644E5A" w:rsidRDefault="007C3420" w:rsidP="00644E5A">
      <w:pPr>
        <w:rPr>
          <w:rFonts w:ascii="Calibri" w:hAnsi="Calibri"/>
        </w:rPr>
      </w:pPr>
      <w:r w:rsidRPr="0043072E">
        <w:rPr>
          <w:rFonts w:ascii="Calibri" w:hAnsi="Calibri"/>
        </w:rPr>
        <w:lastRenderedPageBreak/>
        <w:t xml:space="preserve">Deze tabel geeft dus de evolutie van de meerwaarde op basis van de initiële RAB voor de gereguleerde activiteit ‘elektriciteit’ weer door middel van de duidelijke opbouw van de nettoboekwaarde per jaar. </w:t>
      </w:r>
      <w:r w:rsidR="00644E5A" w:rsidRPr="0043072E">
        <w:rPr>
          <w:rFonts w:ascii="Calibri" w:hAnsi="Calibri"/>
        </w:rPr>
        <w:t xml:space="preserve">Deze evolutie kan enkel </w:t>
      </w:r>
      <w:r w:rsidR="00644E5A">
        <w:rPr>
          <w:rFonts w:ascii="Calibri" w:hAnsi="Calibri"/>
        </w:rPr>
        <w:t xml:space="preserve">transfers tussen activarubrieken, </w:t>
      </w:r>
      <w:r w:rsidR="00644E5A" w:rsidRPr="0043072E">
        <w:rPr>
          <w:rFonts w:ascii="Calibri" w:hAnsi="Calibri"/>
        </w:rPr>
        <w:t xml:space="preserve">afschrijvingen en </w:t>
      </w:r>
      <w:r w:rsidR="00644E5A">
        <w:rPr>
          <w:rFonts w:ascii="Calibri" w:hAnsi="Calibri"/>
        </w:rPr>
        <w:t>desinvesteringen</w:t>
      </w:r>
      <w:r w:rsidR="00A85B35">
        <w:rPr>
          <w:rFonts w:ascii="Calibri" w:hAnsi="Calibri"/>
        </w:rPr>
        <w:t xml:space="preserve"> (n.a.v. verkoop of structuurwijzigingen van de distributienetbeheerder)</w:t>
      </w:r>
      <w:r w:rsidR="00644E5A">
        <w:rPr>
          <w:rFonts w:ascii="Calibri" w:hAnsi="Calibri"/>
        </w:rPr>
        <w:t xml:space="preserve"> </w:t>
      </w:r>
      <w:r w:rsidR="00644E5A" w:rsidRPr="0043072E">
        <w:rPr>
          <w:rFonts w:ascii="Calibri" w:hAnsi="Calibri"/>
        </w:rPr>
        <w:t xml:space="preserve">omvatten. </w:t>
      </w:r>
    </w:p>
    <w:p w14:paraId="609F8A00" w14:textId="035CFAE9" w:rsidR="007C3420" w:rsidRPr="0043072E" w:rsidRDefault="00644E5A" w:rsidP="00644E5A">
      <w:pPr>
        <w:rPr>
          <w:rFonts w:ascii="Calibri" w:hAnsi="Calibri"/>
        </w:rPr>
      </w:pPr>
      <w:r>
        <w:rPr>
          <w:rFonts w:ascii="Calibri" w:hAnsi="Calibri"/>
        </w:rPr>
        <w:t xml:space="preserve">De </w:t>
      </w:r>
      <w:r w:rsidR="0083170B">
        <w:rPr>
          <w:rFonts w:ascii="Calibri" w:hAnsi="Calibri"/>
        </w:rPr>
        <w:t xml:space="preserve">eventuele </w:t>
      </w:r>
      <w:r>
        <w:rPr>
          <w:rFonts w:ascii="Calibri" w:hAnsi="Calibri"/>
        </w:rPr>
        <w:t>transfers die door de distributienetbeheerder in het betreffende boekjaar tussen de verschillende activarubrieken werden doorgevoerd, dienen in een afzonderlijk verklarende nota uitgebreid te worden gemotiveerd.</w:t>
      </w:r>
    </w:p>
    <w:p w14:paraId="69705928" w14:textId="46287BEF" w:rsidR="007C3420" w:rsidRDefault="007C3420" w:rsidP="007C3420">
      <w:pPr>
        <w:rPr>
          <w:rFonts w:ascii="Calibri" w:hAnsi="Calibri"/>
        </w:rPr>
      </w:pPr>
      <w:r w:rsidRPr="0043072E">
        <w:rPr>
          <w:rFonts w:ascii="Calibri" w:hAnsi="Calibri"/>
        </w:rPr>
        <w:t>Indien in de kolomhoofden een ‘+’-teken is opgenomen, dienen positieve waarden in deze kolom worden opgegeven, en omgekeerd.</w:t>
      </w:r>
    </w:p>
    <w:p w14:paraId="72A63087" w14:textId="5404DA1E" w:rsidR="00712C96" w:rsidRPr="005D0A79" w:rsidRDefault="00712C96" w:rsidP="00712C96">
      <w:pPr>
        <w:pStyle w:val="Kop4"/>
      </w:pPr>
      <w:bookmarkStart w:id="64" w:name="_Ref38883184"/>
      <w:bookmarkStart w:id="65" w:name="_Toc81512454"/>
      <w:r w:rsidRPr="0043072E">
        <w:t xml:space="preserve">TABEL </w:t>
      </w:r>
      <w:r>
        <w:t>1</w:t>
      </w:r>
      <w:r w:rsidR="00CC7E02">
        <w:t>3</w:t>
      </w:r>
      <w:r>
        <w:t>C</w:t>
      </w:r>
      <w:r w:rsidRPr="0043072E">
        <w:t>: Afschrijvingen van de meerwaarde op basis van de historische indexatie (materiële vaste activa) - gas</w:t>
      </w:r>
      <w:bookmarkEnd w:id="64"/>
      <w:bookmarkEnd w:id="65"/>
    </w:p>
    <w:p w14:paraId="6CA0B057" w14:textId="4EF4DC0F" w:rsidR="00712C96" w:rsidRPr="0043072E" w:rsidRDefault="005F13E4" w:rsidP="00712C96">
      <w:pPr>
        <w:rPr>
          <w:rFonts w:ascii="Calibri" w:hAnsi="Calibri"/>
        </w:rPr>
      </w:pPr>
      <w:r>
        <w:rPr>
          <w:rFonts w:ascii="Calibri" w:hAnsi="Calibri"/>
        </w:rPr>
        <w:t xml:space="preserve">Analoog aan </w:t>
      </w:r>
      <w:r w:rsidRPr="0043072E">
        <w:rPr>
          <w:rFonts w:ascii="Calibri" w:hAnsi="Calibri"/>
        </w:rPr>
        <w:t>paragraaf</w:t>
      </w:r>
      <w:r>
        <w:rPr>
          <w:rFonts w:ascii="Calibri" w:hAnsi="Calibri"/>
        </w:rPr>
        <w:t xml:space="preserve"> </w:t>
      </w:r>
      <w:r>
        <w:rPr>
          <w:rFonts w:ascii="Calibri" w:hAnsi="Calibri"/>
        </w:rPr>
        <w:fldChar w:fldCharType="begin"/>
      </w:r>
      <w:r>
        <w:rPr>
          <w:rFonts w:ascii="Calibri" w:hAnsi="Calibri"/>
        </w:rPr>
        <w:instrText xml:space="preserve"> REF _Ref38876717 \r \h </w:instrText>
      </w:r>
      <w:r>
        <w:rPr>
          <w:rFonts w:ascii="Calibri" w:hAnsi="Calibri"/>
        </w:rPr>
      </w:r>
      <w:r>
        <w:rPr>
          <w:rFonts w:ascii="Calibri" w:hAnsi="Calibri"/>
        </w:rPr>
        <w:fldChar w:fldCharType="separate"/>
      </w:r>
      <w:r w:rsidR="00964FA9">
        <w:rPr>
          <w:rFonts w:ascii="Calibri" w:hAnsi="Calibri"/>
        </w:rPr>
        <w:t>1.1.1.22</w:t>
      </w:r>
      <w:r>
        <w:rPr>
          <w:rFonts w:ascii="Calibri" w:hAnsi="Calibri"/>
        </w:rPr>
        <w:fldChar w:fldCharType="end"/>
      </w:r>
      <w:r>
        <w:rPr>
          <w:rFonts w:ascii="Calibri" w:hAnsi="Calibri"/>
        </w:rPr>
        <w:t xml:space="preserve">, werd ook voor de gereguleerde activiteit </w:t>
      </w:r>
      <w:r w:rsidR="007A084F">
        <w:rPr>
          <w:rFonts w:ascii="Calibri" w:hAnsi="Calibri"/>
        </w:rPr>
        <w:t>‘</w:t>
      </w:r>
      <w:r>
        <w:rPr>
          <w:rFonts w:ascii="Calibri" w:hAnsi="Calibri"/>
        </w:rPr>
        <w:t>aardgas</w:t>
      </w:r>
      <w:r w:rsidR="007A084F">
        <w:rPr>
          <w:rFonts w:ascii="Calibri" w:hAnsi="Calibri"/>
        </w:rPr>
        <w:t>’</w:t>
      </w:r>
      <w:r>
        <w:rPr>
          <w:rFonts w:ascii="Calibri" w:hAnsi="Calibri"/>
        </w:rPr>
        <w:t xml:space="preserve"> i</w:t>
      </w:r>
      <w:r w:rsidR="00712C96" w:rsidRPr="0043072E">
        <w:rPr>
          <w:rFonts w:ascii="Calibri" w:hAnsi="Calibri"/>
        </w:rPr>
        <w:t>n het verleden door de CREG een éénmalige meerwaarde op basis van de historische indexatie</w:t>
      </w:r>
      <w:r w:rsidR="00712C96" w:rsidRPr="0043072E">
        <w:rPr>
          <w:rStyle w:val="Voetnootmarkering"/>
          <w:rFonts w:ascii="Calibri" w:hAnsi="Calibri"/>
        </w:rPr>
        <w:footnoteReference w:id="9"/>
      </w:r>
      <w:r w:rsidR="00712C96" w:rsidRPr="0043072E">
        <w:rPr>
          <w:rFonts w:ascii="Calibri" w:hAnsi="Calibri"/>
        </w:rPr>
        <w:t xml:space="preserve"> goedgekeurd. </w:t>
      </w:r>
      <w:r>
        <w:rPr>
          <w:rFonts w:ascii="Calibri" w:hAnsi="Calibri"/>
        </w:rPr>
        <w:t xml:space="preserve">Ook deze </w:t>
      </w:r>
      <w:r w:rsidR="00712C96" w:rsidRPr="0043072E">
        <w:rPr>
          <w:rFonts w:ascii="Calibri" w:hAnsi="Calibri"/>
        </w:rPr>
        <w:t xml:space="preserve">meerwaarden werden jaarlijks afgeschreven volgens een ritme dat verondersteld werd een weergave te zijn van de gemiddelde jaarlijkse desinvesteringen. Hierbij werd in de tarieven-KB’s 2008 bepaald dat de meerwaarde werd afgeboekt en in de kosten werd opgenomen à rato van 2% per jaar in de eerste reguleringsperiode (2009-2012). Na afloop van het derde jaar van elke reguleringsperiode werd het voortschrijdend gemiddelde van de buitendienststellingen over de voorbije 4 jaren bepaald en dit voortschrijdend gemiddelde werd vervolgens toegepast in de eerstvolgende reguleringsperiode. Het was dus de bedoeling om het percentage van 2% steeds te verfijnen op basis van de werkelijk vastgestelde buitendienststellingen bij de distributienetbeheerders. Om die reden was er een uitdrukkelijke attestering van de bedrijfsrevisor met betrekking tot de gebruikte methodiek en daadwerkelijke naleving ervan inzake buitendienst gestelde materiële vaste activa noodzakelijk. </w:t>
      </w:r>
    </w:p>
    <w:p w14:paraId="458BA028" w14:textId="6A33AE4A" w:rsidR="00B23C7D" w:rsidRPr="0043072E" w:rsidRDefault="00B23C7D" w:rsidP="00B23C7D">
      <w:pPr>
        <w:rPr>
          <w:rFonts w:ascii="Calibri" w:hAnsi="Calibri"/>
        </w:rPr>
      </w:pPr>
      <w:r w:rsidRPr="0043072E">
        <w:rPr>
          <w:rFonts w:ascii="Calibri" w:hAnsi="Calibri"/>
        </w:rPr>
        <w:t>Voor de reguleringsperiode</w:t>
      </w:r>
      <w:r>
        <w:rPr>
          <w:rFonts w:ascii="Calibri" w:hAnsi="Calibri"/>
        </w:rPr>
        <w:t>n</w:t>
      </w:r>
      <w:r w:rsidRPr="0043072E">
        <w:rPr>
          <w:rFonts w:ascii="Calibri" w:hAnsi="Calibri"/>
        </w:rPr>
        <w:t xml:space="preserve"> 2017-2020 </w:t>
      </w:r>
      <w:r>
        <w:rPr>
          <w:rFonts w:ascii="Calibri" w:hAnsi="Calibri"/>
        </w:rPr>
        <w:t xml:space="preserve">en 2021-2024 </w:t>
      </w:r>
      <w:r w:rsidRPr="0043072E">
        <w:rPr>
          <w:rFonts w:ascii="Calibri" w:hAnsi="Calibri"/>
        </w:rPr>
        <w:t>stel</w:t>
      </w:r>
      <w:r>
        <w:rPr>
          <w:rFonts w:ascii="Calibri" w:hAnsi="Calibri"/>
        </w:rPr>
        <w:t>de</w:t>
      </w:r>
      <w:r w:rsidRPr="0043072E">
        <w:rPr>
          <w:rFonts w:ascii="Calibri" w:hAnsi="Calibri"/>
        </w:rPr>
        <w:t xml:space="preserve"> de VREG </w:t>
      </w:r>
      <w:r>
        <w:rPr>
          <w:rFonts w:ascii="Calibri" w:hAnsi="Calibri"/>
        </w:rPr>
        <w:t xml:space="preserve">eveneens </w:t>
      </w:r>
      <w:r w:rsidRPr="0043072E">
        <w:rPr>
          <w:rFonts w:ascii="Calibri" w:hAnsi="Calibri"/>
        </w:rPr>
        <w:t xml:space="preserve">een vast jaarlijks </w:t>
      </w:r>
      <w:r>
        <w:rPr>
          <w:rFonts w:ascii="Calibri" w:hAnsi="Calibri"/>
        </w:rPr>
        <w:t>afschrijvings</w:t>
      </w:r>
      <w:r w:rsidRPr="0043072E">
        <w:rPr>
          <w:rFonts w:ascii="Calibri" w:hAnsi="Calibri"/>
        </w:rPr>
        <w:t>percentage van 2% vast</w:t>
      </w:r>
      <w:r>
        <w:rPr>
          <w:rFonts w:ascii="Calibri" w:hAnsi="Calibri"/>
        </w:rPr>
        <w:t xml:space="preserve">. </w:t>
      </w:r>
      <w:r w:rsidRPr="0043072E">
        <w:rPr>
          <w:rFonts w:ascii="Calibri" w:hAnsi="Calibri"/>
        </w:rPr>
        <w:t xml:space="preserve">Ook wenst de VREG aldus de voormelde jaarlijkse attestering van de bedrijfsrevisor aan te houden teneinde de kwaliteit van de methodiek inzake buitendienststellingen te blijven garanderen (zie Bijlage 6 van de tariefmethodologie voor verdere informatie m.b.t. oplevering van deze attestering). </w:t>
      </w:r>
    </w:p>
    <w:p w14:paraId="74C1D541" w14:textId="1F21A923" w:rsidR="00644E5A" w:rsidRDefault="00B23C7D" w:rsidP="00644E5A">
      <w:pPr>
        <w:rPr>
          <w:rFonts w:ascii="Calibri" w:hAnsi="Calibri"/>
        </w:rPr>
      </w:pPr>
      <w:r w:rsidRPr="0043072E">
        <w:rPr>
          <w:rFonts w:ascii="Calibri" w:hAnsi="Calibri"/>
        </w:rPr>
        <w:t>In deze tabel wordt dus de evolutie van de meerwaarde op basis van de historische indexatie voor de gereguleerde activiteit ‘</w:t>
      </w:r>
      <w:r w:rsidR="007A084F">
        <w:rPr>
          <w:rFonts w:ascii="Calibri" w:hAnsi="Calibri"/>
        </w:rPr>
        <w:t>aardgas</w:t>
      </w:r>
      <w:r w:rsidRPr="0043072E">
        <w:rPr>
          <w:rFonts w:ascii="Calibri" w:hAnsi="Calibri"/>
        </w:rPr>
        <w:t xml:space="preserve">’ weergegeven door middel van een duidelijke opbouw van de nettoboekwaarde per jaar. </w:t>
      </w:r>
      <w:r w:rsidR="00644E5A" w:rsidRPr="0043072E">
        <w:rPr>
          <w:rFonts w:ascii="Calibri" w:hAnsi="Calibri"/>
        </w:rPr>
        <w:t xml:space="preserve">Deze evolutie kan enkel </w:t>
      </w:r>
      <w:r w:rsidR="00644E5A">
        <w:rPr>
          <w:rFonts w:ascii="Calibri" w:hAnsi="Calibri"/>
        </w:rPr>
        <w:t xml:space="preserve">transfers tussen activarubrieken, </w:t>
      </w:r>
      <w:r w:rsidR="00644E5A" w:rsidRPr="0043072E">
        <w:rPr>
          <w:rFonts w:ascii="Calibri" w:hAnsi="Calibri"/>
        </w:rPr>
        <w:t xml:space="preserve">afschrijvingen en </w:t>
      </w:r>
      <w:r w:rsidR="00644E5A">
        <w:rPr>
          <w:rFonts w:ascii="Calibri" w:hAnsi="Calibri"/>
        </w:rPr>
        <w:t>desinvesteringen</w:t>
      </w:r>
      <w:r w:rsidR="00A85B35">
        <w:rPr>
          <w:rFonts w:ascii="Calibri" w:hAnsi="Calibri"/>
        </w:rPr>
        <w:t xml:space="preserve"> (n.a.v. verkoop of structuurwijzigingen van de distributienetbeheerder)</w:t>
      </w:r>
      <w:r w:rsidR="00644E5A">
        <w:rPr>
          <w:rFonts w:ascii="Calibri" w:hAnsi="Calibri"/>
        </w:rPr>
        <w:t xml:space="preserve"> </w:t>
      </w:r>
      <w:r w:rsidR="00644E5A" w:rsidRPr="0043072E">
        <w:rPr>
          <w:rFonts w:ascii="Calibri" w:hAnsi="Calibri"/>
        </w:rPr>
        <w:t xml:space="preserve">omvatten. </w:t>
      </w:r>
    </w:p>
    <w:p w14:paraId="188C015D" w14:textId="5C611B8D" w:rsidR="00B23C7D" w:rsidRPr="0043072E" w:rsidRDefault="00644E5A" w:rsidP="00644E5A">
      <w:pPr>
        <w:rPr>
          <w:rFonts w:ascii="Calibri" w:hAnsi="Calibri"/>
        </w:rPr>
      </w:pPr>
      <w:r>
        <w:rPr>
          <w:rFonts w:ascii="Calibri" w:hAnsi="Calibri"/>
        </w:rPr>
        <w:t xml:space="preserve">De </w:t>
      </w:r>
      <w:r w:rsidR="0083170B">
        <w:rPr>
          <w:rFonts w:ascii="Calibri" w:hAnsi="Calibri"/>
        </w:rPr>
        <w:t xml:space="preserve">eventuele </w:t>
      </w:r>
      <w:r>
        <w:rPr>
          <w:rFonts w:ascii="Calibri" w:hAnsi="Calibri"/>
        </w:rPr>
        <w:t>transfers die door de distributienetbeheerder in het betreffende boekjaar tussen de verschillende activarubrieken werden doorgevoerd, dienen in een afzonderlijk verklarende nota uitgebreid te worden gemotiveerd.</w:t>
      </w:r>
    </w:p>
    <w:p w14:paraId="18154531" w14:textId="4E1D16AA" w:rsidR="00712C96" w:rsidRPr="0043072E" w:rsidRDefault="00B23C7D" w:rsidP="00B23C7D">
      <w:pPr>
        <w:rPr>
          <w:rFonts w:ascii="Calibri" w:hAnsi="Calibri"/>
        </w:rPr>
      </w:pPr>
      <w:r w:rsidRPr="0043072E">
        <w:rPr>
          <w:rFonts w:ascii="Calibri" w:hAnsi="Calibri"/>
        </w:rPr>
        <w:lastRenderedPageBreak/>
        <w:t>Indien in de kolomhoofden een ‘+’-teken is opgenomen, dienen positieve waarden in deze kolom worden opgegeven, en omgekeerd.</w:t>
      </w:r>
    </w:p>
    <w:p w14:paraId="030C196F" w14:textId="361388A9" w:rsidR="00712C96" w:rsidRPr="005D0A79" w:rsidRDefault="00712C96" w:rsidP="00712C96">
      <w:pPr>
        <w:pStyle w:val="Kop4"/>
      </w:pPr>
      <w:r w:rsidRPr="0043072E">
        <w:t xml:space="preserve"> </w:t>
      </w:r>
      <w:bookmarkStart w:id="66" w:name="_Toc81512455"/>
      <w:r w:rsidRPr="0043072E">
        <w:t xml:space="preserve">TABEL </w:t>
      </w:r>
      <w:r w:rsidR="00D1416B">
        <w:t>1</w:t>
      </w:r>
      <w:r w:rsidR="00CC7E02">
        <w:t>3</w:t>
      </w:r>
      <w:r w:rsidR="00BC0D1C">
        <w:t>D</w:t>
      </w:r>
      <w:r w:rsidRPr="0043072E">
        <w:t>: Afschrijvingen van de meerwaarde op basis van de iRAB (materiële vaste activa) - gas</w:t>
      </w:r>
      <w:bookmarkEnd w:id="66"/>
    </w:p>
    <w:p w14:paraId="155D95FF" w14:textId="5FAF0C2A" w:rsidR="00BC0D1C" w:rsidRPr="0043072E" w:rsidRDefault="00BC0D1C" w:rsidP="00BC0D1C">
      <w:pPr>
        <w:rPr>
          <w:rFonts w:ascii="Calibri" w:hAnsi="Calibri"/>
        </w:rPr>
      </w:pPr>
      <w:r w:rsidRPr="0043072E">
        <w:rPr>
          <w:rFonts w:ascii="Calibri" w:hAnsi="Calibri"/>
        </w:rPr>
        <w:t>Vergelijkbaar met paragraaf</w:t>
      </w:r>
      <w:r>
        <w:rPr>
          <w:rFonts w:ascii="Calibri" w:hAnsi="Calibri"/>
        </w:rPr>
        <w:t xml:space="preserve"> </w:t>
      </w:r>
      <w:r>
        <w:rPr>
          <w:rFonts w:ascii="Calibri" w:hAnsi="Calibri"/>
        </w:rPr>
        <w:fldChar w:fldCharType="begin"/>
      </w:r>
      <w:r>
        <w:rPr>
          <w:rFonts w:ascii="Calibri" w:hAnsi="Calibri"/>
        </w:rPr>
        <w:instrText xml:space="preserve"> REF _Ref38883184 \r \h </w:instrText>
      </w:r>
      <w:r>
        <w:rPr>
          <w:rFonts w:ascii="Calibri" w:hAnsi="Calibri"/>
        </w:rPr>
      </w:r>
      <w:r>
        <w:rPr>
          <w:rFonts w:ascii="Calibri" w:hAnsi="Calibri"/>
        </w:rPr>
        <w:fldChar w:fldCharType="separate"/>
      </w:r>
      <w:r w:rsidR="00964FA9">
        <w:rPr>
          <w:rFonts w:ascii="Calibri" w:hAnsi="Calibri"/>
        </w:rPr>
        <w:t>1.1.1.24</w:t>
      </w:r>
      <w:r>
        <w:rPr>
          <w:rFonts w:ascii="Calibri" w:hAnsi="Calibri"/>
        </w:rPr>
        <w:fldChar w:fldCharType="end"/>
      </w:r>
      <w:r>
        <w:rPr>
          <w:rFonts w:ascii="Calibri" w:hAnsi="Calibri"/>
        </w:rPr>
        <w:fldChar w:fldCharType="begin"/>
      </w:r>
      <w:r>
        <w:rPr>
          <w:rFonts w:ascii="Calibri" w:hAnsi="Calibri"/>
        </w:rPr>
        <w:instrText xml:space="preserve"> REF _Ref38876717 \r \h </w:instrText>
      </w:r>
      <w:r>
        <w:rPr>
          <w:rFonts w:ascii="Calibri" w:hAnsi="Calibri"/>
        </w:rPr>
      </w:r>
      <w:r>
        <w:rPr>
          <w:rFonts w:ascii="Calibri" w:hAnsi="Calibri"/>
        </w:rPr>
        <w:fldChar w:fldCharType="separate"/>
      </w:r>
      <w:r w:rsidR="00964FA9">
        <w:rPr>
          <w:rFonts w:ascii="Calibri" w:hAnsi="Calibri"/>
        </w:rPr>
        <w:t>1.1.1.22</w:t>
      </w:r>
      <w:r>
        <w:rPr>
          <w:rFonts w:ascii="Calibri" w:hAnsi="Calibri"/>
        </w:rPr>
        <w:fldChar w:fldCharType="end"/>
      </w:r>
      <w:r w:rsidRPr="0043072E">
        <w:rPr>
          <w:rFonts w:ascii="Calibri" w:hAnsi="Calibri"/>
        </w:rPr>
        <w:t>, werd door de CREG in het verleden voor elke distributienetbeheerder een meerwaarde goedgekeurd op basis van de initiële waarde van het gereguleerd actief per 31 december 2001 voor de gereguleerde activiteit ‘</w:t>
      </w:r>
      <w:r w:rsidR="00A27984">
        <w:rPr>
          <w:rFonts w:ascii="Calibri" w:hAnsi="Calibri"/>
        </w:rPr>
        <w:t>aardgas</w:t>
      </w:r>
      <w:r w:rsidRPr="0043072E">
        <w:rPr>
          <w:rFonts w:ascii="Calibri" w:hAnsi="Calibri"/>
        </w:rPr>
        <w:t>’ (iRAB). Analoog met de meerwaarde op de historische indexatie werd ook deze meerwaarde afgeboekt aan een percentage dat verondersteld werd een weergave te zijn van de invloed van de gemiddelde jaarlijkse desinvesteringen. Voor de reguleringsperiode</w:t>
      </w:r>
      <w:r>
        <w:rPr>
          <w:rFonts w:ascii="Calibri" w:hAnsi="Calibri"/>
        </w:rPr>
        <w:t>n</w:t>
      </w:r>
      <w:r w:rsidRPr="0043072E">
        <w:rPr>
          <w:rFonts w:ascii="Calibri" w:hAnsi="Calibri"/>
        </w:rPr>
        <w:t xml:space="preserve"> 2017-2020 </w:t>
      </w:r>
      <w:r>
        <w:rPr>
          <w:rFonts w:ascii="Calibri" w:hAnsi="Calibri"/>
        </w:rPr>
        <w:t xml:space="preserve">en 2021-2024 </w:t>
      </w:r>
      <w:r w:rsidRPr="0043072E">
        <w:rPr>
          <w:rFonts w:ascii="Calibri" w:hAnsi="Calibri"/>
        </w:rPr>
        <w:t>stel</w:t>
      </w:r>
      <w:r>
        <w:rPr>
          <w:rFonts w:ascii="Calibri" w:hAnsi="Calibri"/>
        </w:rPr>
        <w:t>de</w:t>
      </w:r>
      <w:r w:rsidRPr="0043072E">
        <w:rPr>
          <w:rFonts w:ascii="Calibri" w:hAnsi="Calibri"/>
        </w:rPr>
        <w:t xml:space="preserve"> de VREG </w:t>
      </w:r>
      <w:r>
        <w:rPr>
          <w:rFonts w:ascii="Calibri" w:hAnsi="Calibri"/>
        </w:rPr>
        <w:t xml:space="preserve">eveneens </w:t>
      </w:r>
      <w:r w:rsidRPr="0043072E">
        <w:rPr>
          <w:rFonts w:ascii="Calibri" w:hAnsi="Calibri"/>
        </w:rPr>
        <w:t xml:space="preserve">een vast jaarlijks </w:t>
      </w:r>
      <w:r>
        <w:rPr>
          <w:rFonts w:ascii="Calibri" w:hAnsi="Calibri"/>
        </w:rPr>
        <w:t>afschrijvings</w:t>
      </w:r>
      <w:r w:rsidRPr="0043072E">
        <w:rPr>
          <w:rFonts w:ascii="Calibri" w:hAnsi="Calibri"/>
        </w:rPr>
        <w:t xml:space="preserve">percentage van 2% vast. Zoals reeds eerder vermeld, wenst de VREG daarom de hieraan gekoppelde jaarlijkse attestering van de bedrijfsrevisor aan te houden teneinde </w:t>
      </w:r>
      <w:r w:rsidR="00F914D5">
        <w:rPr>
          <w:rFonts w:ascii="Calibri" w:hAnsi="Calibri"/>
        </w:rPr>
        <w:t xml:space="preserve">de </w:t>
      </w:r>
      <w:r w:rsidRPr="0043072E">
        <w:rPr>
          <w:rFonts w:ascii="Calibri" w:hAnsi="Calibri"/>
        </w:rPr>
        <w:t>kwaliteit van de methodiek inzake buitendienststellingen te blijven garanderen (zie Bijlage 6 van de tariefmethodologie voor verdere informatie m.b.t. oplevering van deze attestering).</w:t>
      </w:r>
    </w:p>
    <w:p w14:paraId="4A2A12D6" w14:textId="02F22333" w:rsidR="00835982" w:rsidRDefault="00BC0D1C" w:rsidP="00835982">
      <w:pPr>
        <w:rPr>
          <w:rFonts w:ascii="Calibri" w:hAnsi="Calibri"/>
        </w:rPr>
      </w:pPr>
      <w:r w:rsidRPr="0043072E">
        <w:rPr>
          <w:rFonts w:ascii="Calibri" w:hAnsi="Calibri"/>
        </w:rPr>
        <w:t>Deze tabel geeft dus de evolutie van de meerwaarde op basis van de initiële RAB voor de gereguleerde activiteit ‘</w:t>
      </w:r>
      <w:r>
        <w:rPr>
          <w:rFonts w:ascii="Calibri" w:hAnsi="Calibri"/>
        </w:rPr>
        <w:t>aardgas</w:t>
      </w:r>
      <w:r w:rsidRPr="0043072E">
        <w:rPr>
          <w:rFonts w:ascii="Calibri" w:hAnsi="Calibri"/>
        </w:rPr>
        <w:t xml:space="preserve">’ weer door middel van de duidelijke opbouw van de nettoboekwaarde per jaar. </w:t>
      </w:r>
      <w:r w:rsidR="00835982" w:rsidRPr="0043072E">
        <w:rPr>
          <w:rFonts w:ascii="Calibri" w:hAnsi="Calibri"/>
        </w:rPr>
        <w:t xml:space="preserve">Deze evolutie kan enkel </w:t>
      </w:r>
      <w:r w:rsidR="00835982">
        <w:rPr>
          <w:rFonts w:ascii="Calibri" w:hAnsi="Calibri"/>
        </w:rPr>
        <w:t xml:space="preserve">transfers tussen activarubrieken, </w:t>
      </w:r>
      <w:r w:rsidR="00835982" w:rsidRPr="0043072E">
        <w:rPr>
          <w:rFonts w:ascii="Calibri" w:hAnsi="Calibri"/>
        </w:rPr>
        <w:t xml:space="preserve">afschrijvingen en </w:t>
      </w:r>
      <w:r w:rsidR="00835982">
        <w:rPr>
          <w:rFonts w:ascii="Calibri" w:hAnsi="Calibri"/>
        </w:rPr>
        <w:t xml:space="preserve">desinvesteringen </w:t>
      </w:r>
      <w:r w:rsidR="00A85B35">
        <w:rPr>
          <w:rFonts w:ascii="Calibri" w:hAnsi="Calibri"/>
        </w:rPr>
        <w:t xml:space="preserve">(n.a.v. verkoop of structuurwijzigingen van de distributienetbeheerder) </w:t>
      </w:r>
      <w:r w:rsidR="00835982" w:rsidRPr="0043072E">
        <w:rPr>
          <w:rFonts w:ascii="Calibri" w:hAnsi="Calibri"/>
        </w:rPr>
        <w:t xml:space="preserve">omvatten. </w:t>
      </w:r>
    </w:p>
    <w:p w14:paraId="42502663" w14:textId="62EA360C" w:rsidR="00BC0D1C" w:rsidRPr="0043072E" w:rsidRDefault="00835982" w:rsidP="00835982">
      <w:pPr>
        <w:rPr>
          <w:rFonts w:ascii="Calibri" w:hAnsi="Calibri"/>
        </w:rPr>
      </w:pPr>
      <w:r>
        <w:rPr>
          <w:rFonts w:ascii="Calibri" w:hAnsi="Calibri"/>
        </w:rPr>
        <w:t xml:space="preserve">De </w:t>
      </w:r>
      <w:r w:rsidR="0083170B">
        <w:rPr>
          <w:rFonts w:ascii="Calibri" w:hAnsi="Calibri"/>
        </w:rPr>
        <w:t xml:space="preserve">eventuele </w:t>
      </w:r>
      <w:r>
        <w:rPr>
          <w:rFonts w:ascii="Calibri" w:hAnsi="Calibri"/>
        </w:rPr>
        <w:t>transfers die door de distributienetbeheerder in het betreffende boekjaar tussen de verschillende activarubrieken werden doorgevoerd, dienen in een afzonderlijk verklarende nota uitgebreid te worden gemotiveerd.</w:t>
      </w:r>
      <w:r w:rsidR="00BC0D1C" w:rsidRPr="0043072E">
        <w:rPr>
          <w:rFonts w:ascii="Calibri" w:hAnsi="Calibri"/>
        </w:rPr>
        <w:t xml:space="preserve"> </w:t>
      </w:r>
    </w:p>
    <w:p w14:paraId="1A2759A1" w14:textId="27D08632" w:rsidR="00712C96" w:rsidRDefault="00BC0D1C" w:rsidP="00BC0D1C">
      <w:pPr>
        <w:rPr>
          <w:rFonts w:ascii="Calibri" w:hAnsi="Calibri"/>
        </w:rPr>
      </w:pPr>
      <w:r w:rsidRPr="0043072E">
        <w:rPr>
          <w:rFonts w:ascii="Calibri" w:hAnsi="Calibri"/>
        </w:rPr>
        <w:t>Indien in de kolomhoofden een ‘+’-teken is opgenomen, dienen positieve waarden in deze kolom worden opgegeven, en omgekeerd.</w:t>
      </w:r>
    </w:p>
    <w:p w14:paraId="2325C8B2" w14:textId="6F98795B" w:rsidR="00BC0D1C" w:rsidRPr="0043072E" w:rsidRDefault="00BC0D1C" w:rsidP="00BC0D1C">
      <w:pPr>
        <w:pStyle w:val="Kop4"/>
      </w:pPr>
      <w:bookmarkStart w:id="67" w:name="_Toc81512456"/>
      <w:r w:rsidRPr="0043072E">
        <w:t xml:space="preserve">TABEL </w:t>
      </w:r>
      <w:r w:rsidR="00CC7E02">
        <w:t>14</w:t>
      </w:r>
      <w:r w:rsidRPr="0043072E">
        <w:t xml:space="preserve">: </w:t>
      </w:r>
      <w:r w:rsidR="00241EFB">
        <w:t>Kapitaalkostvergoeding herwaarderingsmeerwaarden</w:t>
      </w:r>
      <w:bookmarkEnd w:id="67"/>
    </w:p>
    <w:p w14:paraId="05B8F1ED" w14:textId="40B1497B" w:rsidR="00BC0D1C" w:rsidRDefault="00BC0D1C" w:rsidP="00BC0D1C">
      <w:pPr>
        <w:rPr>
          <w:rFonts w:ascii="Calibri" w:hAnsi="Calibri"/>
        </w:rPr>
      </w:pPr>
      <w:r w:rsidRPr="0043072E">
        <w:rPr>
          <w:rFonts w:ascii="Calibri" w:hAnsi="Calibri"/>
        </w:rPr>
        <w:t xml:space="preserve">Deze tabel geeft </w:t>
      </w:r>
      <w:r w:rsidR="00077F70">
        <w:rPr>
          <w:rFonts w:ascii="Calibri" w:hAnsi="Calibri"/>
        </w:rPr>
        <w:t>de kapitaalkostvergoeding op de RAB-waarde m.b.t. herwaarderingsmeerwaarden</w:t>
      </w:r>
      <w:r w:rsidRPr="0043072E">
        <w:rPr>
          <w:rFonts w:ascii="Calibri" w:hAnsi="Calibri"/>
        </w:rPr>
        <w:t xml:space="preserve"> weer. </w:t>
      </w:r>
      <w:r w:rsidR="00613A9A">
        <w:rPr>
          <w:rFonts w:ascii="Calibri" w:hAnsi="Calibri"/>
        </w:rPr>
        <w:t xml:space="preserve">De evolutie van de RAB-waarde </w:t>
      </w:r>
      <w:r w:rsidRPr="0043072E">
        <w:rPr>
          <w:rFonts w:ascii="Calibri" w:hAnsi="Calibri"/>
        </w:rPr>
        <w:t xml:space="preserve">wordt automatisch berekend op basis van de </w:t>
      </w:r>
      <w:r w:rsidR="005E7C52">
        <w:rPr>
          <w:rFonts w:ascii="Calibri" w:hAnsi="Calibri"/>
        </w:rPr>
        <w:t xml:space="preserve">respectievelijke </w:t>
      </w:r>
      <w:r w:rsidRPr="0043072E">
        <w:rPr>
          <w:rFonts w:ascii="Calibri" w:hAnsi="Calibri"/>
        </w:rPr>
        <w:t xml:space="preserve">gegevens die in </w:t>
      </w:r>
      <w:r w:rsidR="005E7C52">
        <w:rPr>
          <w:rFonts w:ascii="Calibri" w:hAnsi="Calibri"/>
        </w:rPr>
        <w:t>‘tabel 1</w:t>
      </w:r>
      <w:r w:rsidR="00CC7E02">
        <w:rPr>
          <w:rFonts w:ascii="Calibri" w:hAnsi="Calibri"/>
        </w:rPr>
        <w:t>3</w:t>
      </w:r>
      <w:r w:rsidR="005E7C52">
        <w:rPr>
          <w:rFonts w:ascii="Calibri" w:hAnsi="Calibri"/>
        </w:rPr>
        <w:t>A’ (elektriciteit – historische indexatie), ‘tabel 1</w:t>
      </w:r>
      <w:r w:rsidR="00CC7E02">
        <w:rPr>
          <w:rFonts w:ascii="Calibri" w:hAnsi="Calibri"/>
        </w:rPr>
        <w:t>3</w:t>
      </w:r>
      <w:r w:rsidR="005E7C52">
        <w:rPr>
          <w:rFonts w:ascii="Calibri" w:hAnsi="Calibri"/>
        </w:rPr>
        <w:t>B’ (elektriciteit – iRAB), ‘tabel 1</w:t>
      </w:r>
      <w:r w:rsidR="00CC7E02">
        <w:rPr>
          <w:rFonts w:ascii="Calibri" w:hAnsi="Calibri"/>
        </w:rPr>
        <w:t>3</w:t>
      </w:r>
      <w:r w:rsidR="005E7C52">
        <w:rPr>
          <w:rFonts w:ascii="Calibri" w:hAnsi="Calibri"/>
        </w:rPr>
        <w:t>C’ (gas – historische indexatie) en ‘tabel 1</w:t>
      </w:r>
      <w:r w:rsidR="00CC7E02">
        <w:rPr>
          <w:rFonts w:ascii="Calibri" w:hAnsi="Calibri"/>
        </w:rPr>
        <w:t>3</w:t>
      </w:r>
      <w:r w:rsidR="005E7C52">
        <w:rPr>
          <w:rFonts w:ascii="Calibri" w:hAnsi="Calibri"/>
        </w:rPr>
        <w:t xml:space="preserve">D’ (gas – iRAB) </w:t>
      </w:r>
      <w:r w:rsidRPr="0043072E">
        <w:rPr>
          <w:rFonts w:ascii="Calibri" w:hAnsi="Calibri"/>
        </w:rPr>
        <w:t xml:space="preserve">werden gerapporteerd. Op basis van deze data wordt dan </w:t>
      </w:r>
      <w:r w:rsidR="00A27984">
        <w:rPr>
          <w:rFonts w:ascii="Calibri" w:hAnsi="Calibri"/>
        </w:rPr>
        <w:t>de</w:t>
      </w:r>
      <w:r w:rsidRPr="0043072E">
        <w:rPr>
          <w:rFonts w:ascii="Calibri" w:hAnsi="Calibri"/>
        </w:rPr>
        <w:t xml:space="preserve"> gemiddelde RAB-waarde </w:t>
      </w:r>
      <w:r w:rsidR="00756C4F">
        <w:rPr>
          <w:rFonts w:ascii="Calibri" w:hAnsi="Calibri"/>
        </w:rPr>
        <w:t xml:space="preserve">m.b.t. herwaarderingsmeerwaarden </w:t>
      </w:r>
      <w:r w:rsidRPr="0043072E">
        <w:rPr>
          <w:rFonts w:ascii="Calibri" w:hAnsi="Calibri"/>
        </w:rPr>
        <w:t>voor boekjaar 20</w:t>
      </w:r>
      <w:r w:rsidR="00756C4F">
        <w:rPr>
          <w:rFonts w:ascii="Calibri" w:hAnsi="Calibri"/>
        </w:rPr>
        <w:t>21</w:t>
      </w:r>
      <w:r w:rsidRPr="0043072E">
        <w:rPr>
          <w:rFonts w:ascii="Calibri" w:hAnsi="Calibri"/>
        </w:rPr>
        <w:t xml:space="preserve"> berekend.</w:t>
      </w:r>
    </w:p>
    <w:p w14:paraId="34DA956E" w14:textId="7F63ACBC" w:rsidR="00EE5CD7" w:rsidRDefault="00756C4F" w:rsidP="00BC0D1C">
      <w:pPr>
        <w:rPr>
          <w:rFonts w:ascii="Calibri" w:hAnsi="Calibri"/>
        </w:rPr>
      </w:pPr>
      <w:r>
        <w:rPr>
          <w:rFonts w:ascii="Calibri" w:hAnsi="Calibri"/>
        </w:rPr>
        <w:t>Vervolgens wordt het toepasselijke kapitaalkostpercentage in rekening genomen teneinde zowel op ex-ante</w:t>
      </w:r>
      <w:r w:rsidR="005F14A8">
        <w:rPr>
          <w:rFonts w:ascii="Calibri" w:hAnsi="Calibri"/>
        </w:rPr>
        <w:t xml:space="preserve"> (budget)</w:t>
      </w:r>
      <w:r>
        <w:rPr>
          <w:rFonts w:ascii="Calibri" w:hAnsi="Calibri"/>
        </w:rPr>
        <w:t xml:space="preserve"> als ex-post </w:t>
      </w:r>
      <w:r w:rsidR="005F14A8">
        <w:rPr>
          <w:rFonts w:ascii="Calibri" w:hAnsi="Calibri"/>
        </w:rPr>
        <w:t xml:space="preserve">(realiteit) </w:t>
      </w:r>
      <w:r>
        <w:rPr>
          <w:rFonts w:ascii="Calibri" w:hAnsi="Calibri"/>
        </w:rPr>
        <w:t xml:space="preserve">basis de kapitaalkostvergoeding voor de </w:t>
      </w:r>
      <w:r w:rsidR="005E7C52">
        <w:rPr>
          <w:rFonts w:ascii="Calibri" w:hAnsi="Calibri"/>
        </w:rPr>
        <w:t xml:space="preserve">RAB-waarde m.b.t. </w:t>
      </w:r>
      <w:r w:rsidR="005F14A8">
        <w:rPr>
          <w:rFonts w:ascii="Calibri" w:hAnsi="Calibri"/>
        </w:rPr>
        <w:t>herwaarderingsmeerwaarden te bepalen.</w:t>
      </w:r>
      <w:r w:rsidR="001A2DA5">
        <w:rPr>
          <w:rFonts w:ascii="Calibri" w:hAnsi="Calibri"/>
        </w:rPr>
        <w:br/>
      </w:r>
    </w:p>
    <w:p w14:paraId="6DC7C7E5" w14:textId="45D29A03" w:rsidR="00EE5CD7" w:rsidRPr="009A5CF6" w:rsidRDefault="00EE5CD7" w:rsidP="00EE5CD7">
      <w:pPr>
        <w:pStyle w:val="Kop2"/>
      </w:pPr>
      <w:bookmarkStart w:id="68" w:name="_Ref39576237"/>
      <w:bookmarkStart w:id="69" w:name="_Toc81512457"/>
      <w:r w:rsidRPr="009A5CF6">
        <w:t>Invulinstructie Bijlage 4B: rapporteringsmodel exogene kosten en aanvullende endogene termen 2022-2024</w:t>
      </w:r>
      <w:bookmarkEnd w:id="68"/>
      <w:bookmarkEnd w:id="69"/>
    </w:p>
    <w:p w14:paraId="244C86F7" w14:textId="77777777" w:rsidR="00EE5CD7" w:rsidRPr="009A5CF6" w:rsidRDefault="00EE5CD7" w:rsidP="00EE5CD7">
      <w:pPr>
        <w:rPr>
          <w:rFonts w:ascii="Calibri" w:hAnsi="Calibri"/>
        </w:rPr>
      </w:pPr>
      <w:r w:rsidRPr="009A5CF6">
        <w:rPr>
          <w:rFonts w:ascii="Calibri" w:hAnsi="Calibri"/>
        </w:rPr>
        <w:lastRenderedPageBreak/>
        <w:t>Dit rapporteringsmodel heeft als doel om via een standaardformaat tegemoet te komen aan de informatiebehoeften van de VREG teneinde voor elke distributienetbeheerder een toegelaten inkomen m.b.t. de exogene kosten enerzijds en de aanvullende endogene termen anderzijds te bepalen.</w:t>
      </w:r>
    </w:p>
    <w:p w14:paraId="26E2856D" w14:textId="1AF754ED" w:rsidR="00EE5CD7" w:rsidRPr="002D5A49" w:rsidRDefault="00EE5CD7" w:rsidP="00EE5CD7">
      <w:pPr>
        <w:rPr>
          <w:rFonts w:ascii="Calibri" w:hAnsi="Calibri"/>
        </w:rPr>
      </w:pPr>
      <w:r w:rsidRPr="002D5A49">
        <w:rPr>
          <w:rFonts w:ascii="Calibri" w:hAnsi="Calibri"/>
        </w:rPr>
        <w:t xml:space="preserve">Waar in paragraaf </w:t>
      </w:r>
      <w:r w:rsidR="00FA7AF5" w:rsidRPr="002D5A49">
        <w:rPr>
          <w:rFonts w:ascii="Calibri" w:hAnsi="Calibri"/>
        </w:rPr>
        <w:fldChar w:fldCharType="begin"/>
      </w:r>
      <w:r w:rsidR="00FA7AF5" w:rsidRPr="002D5A49">
        <w:rPr>
          <w:rFonts w:ascii="Calibri" w:hAnsi="Calibri"/>
        </w:rPr>
        <w:instrText xml:space="preserve"> REF _Ref39576237 \r \h </w:instrText>
      </w:r>
      <w:r w:rsidR="009A5CF6" w:rsidRPr="002D5A49">
        <w:rPr>
          <w:rFonts w:ascii="Calibri" w:hAnsi="Calibri"/>
        </w:rPr>
        <w:instrText xml:space="preserve"> \* MERGEFORMAT </w:instrText>
      </w:r>
      <w:r w:rsidR="00FA7AF5" w:rsidRPr="002D5A49">
        <w:rPr>
          <w:rFonts w:ascii="Calibri" w:hAnsi="Calibri"/>
        </w:rPr>
      </w:r>
      <w:r w:rsidR="00FA7AF5" w:rsidRPr="002D5A49">
        <w:rPr>
          <w:rFonts w:ascii="Calibri" w:hAnsi="Calibri"/>
        </w:rPr>
        <w:fldChar w:fldCharType="separate"/>
      </w:r>
      <w:r w:rsidR="00964FA9">
        <w:rPr>
          <w:rFonts w:ascii="Calibri" w:hAnsi="Calibri"/>
        </w:rPr>
        <w:t>1.2</w:t>
      </w:r>
      <w:r w:rsidR="00FA7AF5" w:rsidRPr="002D5A49">
        <w:rPr>
          <w:rFonts w:ascii="Calibri" w:hAnsi="Calibri"/>
        </w:rPr>
        <w:fldChar w:fldCharType="end"/>
      </w:r>
      <w:r w:rsidRPr="002D5A49">
        <w:rPr>
          <w:rFonts w:ascii="Calibri" w:hAnsi="Calibri"/>
        </w:rPr>
        <w:t xml:space="preserve"> vermelding wordt gemaakt van boekjaar 20XX dient dit te worden begrepen als het boekjaar </w:t>
      </w:r>
      <w:r w:rsidR="0071268A">
        <w:rPr>
          <w:rFonts w:ascii="Calibri" w:hAnsi="Calibri"/>
        </w:rPr>
        <w:t>in</w:t>
      </w:r>
      <w:r w:rsidR="006836FF" w:rsidRPr="002D5A49">
        <w:rPr>
          <w:rFonts w:ascii="Calibri" w:hAnsi="Calibri"/>
        </w:rPr>
        <w:t xml:space="preserve"> de periode 2022-2024</w:t>
      </w:r>
      <w:r w:rsidRPr="002D5A49">
        <w:rPr>
          <w:rFonts w:ascii="Calibri" w:hAnsi="Calibri"/>
        </w:rPr>
        <w:t xml:space="preserve"> waarover door de distributienetbeheerder wordt gerapporteerd. </w:t>
      </w:r>
    </w:p>
    <w:p w14:paraId="5B257C50" w14:textId="77777777" w:rsidR="00EE5CD7" w:rsidRPr="002D5A49" w:rsidRDefault="00EE5CD7" w:rsidP="00EE5CD7">
      <w:pPr>
        <w:rPr>
          <w:rFonts w:ascii="Calibri" w:hAnsi="Calibri"/>
        </w:rPr>
      </w:pPr>
      <w:r w:rsidRPr="002D5A49">
        <w:rPr>
          <w:rFonts w:ascii="Calibri" w:hAnsi="Calibri"/>
        </w:rPr>
        <w:t>Het rapporteringsmodel bestaat uit een Excel bestand met de volgende werkbladen:</w:t>
      </w:r>
    </w:p>
    <w:p w14:paraId="481F0179" w14:textId="77777777" w:rsidR="00EE5CD7" w:rsidRPr="002D5A49" w:rsidRDefault="00EE5CD7" w:rsidP="00EE5CD7">
      <w:pPr>
        <w:numPr>
          <w:ilvl w:val="0"/>
          <w:numId w:val="11"/>
        </w:numPr>
        <w:spacing w:before="0" w:line="240" w:lineRule="auto"/>
        <w:ind w:left="1418" w:hanging="425"/>
        <w:jc w:val="both"/>
        <w:rPr>
          <w:rFonts w:ascii="Calibri" w:hAnsi="Calibri"/>
          <w:b/>
        </w:rPr>
      </w:pPr>
      <w:r w:rsidRPr="002D5A49">
        <w:rPr>
          <w:rFonts w:ascii="Calibri" w:hAnsi="Calibri"/>
        </w:rPr>
        <w:t>TITELBLAD</w:t>
      </w:r>
    </w:p>
    <w:p w14:paraId="688854D3" w14:textId="7E94D65E" w:rsidR="00EE5CD7" w:rsidRPr="002D5A49" w:rsidRDefault="00EE5CD7" w:rsidP="00EE5CD7">
      <w:pPr>
        <w:numPr>
          <w:ilvl w:val="0"/>
          <w:numId w:val="11"/>
        </w:numPr>
        <w:spacing w:before="0" w:line="240" w:lineRule="auto"/>
        <w:ind w:left="1418" w:hanging="425"/>
        <w:jc w:val="both"/>
        <w:rPr>
          <w:rFonts w:ascii="Calibri" w:hAnsi="Calibri"/>
          <w:b/>
        </w:rPr>
      </w:pPr>
      <w:r w:rsidRPr="002D5A49">
        <w:rPr>
          <w:rFonts w:ascii="Calibri" w:hAnsi="Calibri"/>
        </w:rPr>
        <w:t>TABEL 1</w:t>
      </w:r>
      <w:r w:rsidRPr="002D5A49">
        <w:rPr>
          <w:rFonts w:ascii="Calibri" w:hAnsi="Calibri"/>
        </w:rPr>
        <w:tab/>
        <w:t>Resultatenrekening (algemene boekhouding) voor boekjaar 20</w:t>
      </w:r>
      <w:r w:rsidR="00682754" w:rsidRPr="002D5A49">
        <w:rPr>
          <w:rFonts w:ascii="Calibri" w:hAnsi="Calibri"/>
        </w:rPr>
        <w:t>XX</w:t>
      </w:r>
      <w:r w:rsidRPr="002D5A49">
        <w:rPr>
          <w:rFonts w:ascii="Calibri" w:hAnsi="Calibri"/>
        </w:rPr>
        <w:t xml:space="preserve"> (waarden boekhouding)</w:t>
      </w:r>
    </w:p>
    <w:p w14:paraId="512B02A2" w14:textId="77777777" w:rsidR="00EE5CD7" w:rsidRPr="002D5A49" w:rsidRDefault="00EE5CD7" w:rsidP="00EE5CD7">
      <w:pPr>
        <w:numPr>
          <w:ilvl w:val="0"/>
          <w:numId w:val="11"/>
        </w:numPr>
        <w:spacing w:before="0" w:line="240" w:lineRule="auto"/>
        <w:ind w:left="1418" w:right="-2" w:hanging="425"/>
        <w:jc w:val="both"/>
        <w:rPr>
          <w:rFonts w:ascii="Calibri" w:hAnsi="Calibri"/>
          <w:b/>
        </w:rPr>
      </w:pPr>
      <w:r w:rsidRPr="002D5A49">
        <w:rPr>
          <w:rFonts w:ascii="Calibri" w:hAnsi="Calibri"/>
        </w:rPr>
        <w:t>TABEL 2</w:t>
      </w:r>
      <w:r w:rsidRPr="002D5A49">
        <w:rPr>
          <w:rFonts w:ascii="Calibri" w:hAnsi="Calibri"/>
        </w:rPr>
        <w:tab/>
      </w:r>
      <w:r w:rsidRPr="002D5A49">
        <w:rPr>
          <w:rFonts w:ascii="Calibri" w:hAnsi="Calibri"/>
        </w:rPr>
        <w:tab/>
        <w:t>Algemeen overzicht exogene kosten</w:t>
      </w:r>
    </w:p>
    <w:p w14:paraId="7A10F4D6" w14:textId="77777777" w:rsidR="00EE5CD7" w:rsidRPr="002D5A49" w:rsidRDefault="00EE5CD7" w:rsidP="00EE5CD7">
      <w:pPr>
        <w:numPr>
          <w:ilvl w:val="0"/>
          <w:numId w:val="11"/>
        </w:numPr>
        <w:spacing w:before="0" w:line="240" w:lineRule="auto"/>
        <w:ind w:left="1418" w:right="-2" w:hanging="425"/>
        <w:jc w:val="both"/>
        <w:rPr>
          <w:rFonts w:ascii="Calibri" w:hAnsi="Calibri"/>
          <w:b/>
        </w:rPr>
      </w:pPr>
      <w:r w:rsidRPr="002D5A49">
        <w:rPr>
          <w:rFonts w:ascii="Calibri" w:hAnsi="Calibri"/>
        </w:rPr>
        <w:t>TABEL 3</w:t>
      </w:r>
      <w:r w:rsidRPr="002D5A49">
        <w:rPr>
          <w:rFonts w:ascii="Calibri" w:hAnsi="Calibri"/>
        </w:rPr>
        <w:tab/>
      </w:r>
      <w:r w:rsidRPr="002D5A49">
        <w:rPr>
          <w:rFonts w:ascii="Calibri" w:hAnsi="Calibri"/>
        </w:rPr>
        <w:tab/>
        <w:t>Detail inzake samenstelling exogene kosten</w:t>
      </w:r>
    </w:p>
    <w:p w14:paraId="778DBCD6" w14:textId="2EF0C597" w:rsidR="00EE5CD7" w:rsidRPr="002D5A49" w:rsidRDefault="00EE5CD7" w:rsidP="00EE5CD7">
      <w:pPr>
        <w:numPr>
          <w:ilvl w:val="0"/>
          <w:numId w:val="11"/>
        </w:numPr>
        <w:spacing w:before="0" w:line="240" w:lineRule="auto"/>
        <w:ind w:left="1418" w:right="-2" w:hanging="425"/>
        <w:jc w:val="both"/>
        <w:rPr>
          <w:rFonts w:ascii="Calibri" w:hAnsi="Calibri"/>
          <w:b/>
        </w:rPr>
      </w:pPr>
      <w:r w:rsidRPr="002D5A49">
        <w:rPr>
          <w:rFonts w:ascii="Calibri" w:hAnsi="Calibri"/>
        </w:rPr>
        <w:t>TABEL 4A</w:t>
      </w:r>
      <w:r w:rsidRPr="002D5A49">
        <w:rPr>
          <w:rFonts w:ascii="Calibri" w:hAnsi="Calibri"/>
        </w:rPr>
        <w:tab/>
      </w:r>
      <w:r w:rsidRPr="002D5A49">
        <w:rPr>
          <w:rFonts w:ascii="Calibri" w:hAnsi="Calibri"/>
        </w:rPr>
        <w:tab/>
        <w:t xml:space="preserve">Opvolging regulatoir saldo inzake exogene kosten </w:t>
      </w:r>
    </w:p>
    <w:p w14:paraId="13924AC4" w14:textId="77C8CD31" w:rsidR="00EE5CD7" w:rsidRPr="002D5A49" w:rsidRDefault="00EE5CD7" w:rsidP="00EE5CD7">
      <w:pPr>
        <w:numPr>
          <w:ilvl w:val="0"/>
          <w:numId w:val="11"/>
        </w:numPr>
        <w:spacing w:before="0" w:line="240" w:lineRule="auto"/>
        <w:ind w:left="1418" w:right="-2" w:hanging="425"/>
        <w:jc w:val="both"/>
        <w:rPr>
          <w:rFonts w:ascii="Calibri" w:hAnsi="Calibri"/>
          <w:b/>
        </w:rPr>
      </w:pPr>
      <w:r w:rsidRPr="002D5A49">
        <w:rPr>
          <w:rFonts w:ascii="Calibri" w:hAnsi="Calibri"/>
        </w:rPr>
        <w:t>TABEL 4B</w:t>
      </w:r>
      <w:r w:rsidRPr="002D5A49">
        <w:rPr>
          <w:rFonts w:ascii="Calibri" w:hAnsi="Calibri"/>
        </w:rPr>
        <w:tab/>
      </w:r>
      <w:r w:rsidRPr="002D5A49">
        <w:rPr>
          <w:rFonts w:ascii="Calibri" w:hAnsi="Calibri"/>
        </w:rPr>
        <w:tab/>
        <w:t>Overzicht regulatoir saldo inzake exogene kosten per tariefcomponent</w:t>
      </w:r>
    </w:p>
    <w:p w14:paraId="4E42F5BE" w14:textId="77777777" w:rsidR="00EE5CD7" w:rsidRPr="002D5A49" w:rsidRDefault="00EE5CD7" w:rsidP="00EE5CD7">
      <w:pPr>
        <w:numPr>
          <w:ilvl w:val="0"/>
          <w:numId w:val="11"/>
        </w:numPr>
        <w:spacing w:before="0" w:line="240" w:lineRule="auto"/>
        <w:ind w:left="1418" w:right="-2" w:hanging="425"/>
        <w:jc w:val="both"/>
        <w:rPr>
          <w:rFonts w:ascii="Calibri" w:hAnsi="Calibri"/>
          <w:b/>
        </w:rPr>
      </w:pPr>
      <w:r w:rsidRPr="002D5A49">
        <w:rPr>
          <w:rFonts w:ascii="Calibri" w:hAnsi="Calibri"/>
        </w:rPr>
        <w:t>TABEL 5A</w:t>
      </w:r>
      <w:r w:rsidRPr="002D5A49">
        <w:rPr>
          <w:rFonts w:ascii="Calibri" w:hAnsi="Calibri"/>
        </w:rPr>
        <w:tab/>
      </w:r>
      <w:r w:rsidRPr="002D5A49">
        <w:rPr>
          <w:rFonts w:ascii="Calibri" w:hAnsi="Calibri"/>
        </w:rPr>
        <w:tab/>
        <w:t>Opvolging regulatoir saldo inzake volumerisico endogeen budget</w:t>
      </w:r>
    </w:p>
    <w:p w14:paraId="79DA5775" w14:textId="1F9BF68C" w:rsidR="00EE5CD7" w:rsidRPr="002D5A49" w:rsidRDefault="00EE5CD7" w:rsidP="00EE5CD7">
      <w:pPr>
        <w:numPr>
          <w:ilvl w:val="0"/>
          <w:numId w:val="11"/>
        </w:numPr>
        <w:spacing w:before="0" w:line="240" w:lineRule="auto"/>
        <w:ind w:left="1418" w:right="-2" w:hanging="425"/>
        <w:jc w:val="both"/>
        <w:rPr>
          <w:rFonts w:ascii="Calibri" w:hAnsi="Calibri"/>
          <w:b/>
        </w:rPr>
      </w:pPr>
      <w:r w:rsidRPr="002D5A49">
        <w:rPr>
          <w:rFonts w:ascii="Calibri" w:hAnsi="Calibri"/>
        </w:rPr>
        <w:t>TABEL 5B</w:t>
      </w:r>
      <w:r w:rsidRPr="002D5A49">
        <w:rPr>
          <w:rFonts w:ascii="Calibri" w:hAnsi="Calibri"/>
        </w:rPr>
        <w:tab/>
      </w:r>
      <w:r w:rsidRPr="002D5A49">
        <w:rPr>
          <w:rFonts w:ascii="Calibri" w:hAnsi="Calibri"/>
        </w:rPr>
        <w:tab/>
      </w:r>
      <w:r w:rsidR="009A5CF6" w:rsidRPr="002D5A49">
        <w:rPr>
          <w:rFonts w:ascii="Calibri" w:hAnsi="Calibri"/>
        </w:rPr>
        <w:t xml:space="preserve">Overzicht </w:t>
      </w:r>
      <w:r w:rsidRPr="002D5A49">
        <w:rPr>
          <w:rFonts w:ascii="Calibri" w:hAnsi="Calibri"/>
        </w:rPr>
        <w:t xml:space="preserve">regulatoir saldo inzake volumerisico endogeen budget per tariefcomponent </w:t>
      </w:r>
    </w:p>
    <w:p w14:paraId="485A10C0" w14:textId="4D302C5D" w:rsidR="00EE5CD7" w:rsidRPr="002D5A49" w:rsidRDefault="00EE5CD7" w:rsidP="00EE5CD7">
      <w:pPr>
        <w:numPr>
          <w:ilvl w:val="0"/>
          <w:numId w:val="11"/>
        </w:numPr>
        <w:spacing w:before="0" w:line="240" w:lineRule="auto"/>
        <w:ind w:left="1418" w:right="-2" w:hanging="425"/>
        <w:jc w:val="both"/>
        <w:rPr>
          <w:rFonts w:ascii="Calibri" w:hAnsi="Calibri"/>
          <w:b/>
        </w:rPr>
      </w:pPr>
      <w:r w:rsidRPr="002D5A49">
        <w:rPr>
          <w:rFonts w:ascii="Calibri" w:hAnsi="Calibri"/>
        </w:rPr>
        <w:t>TABEL 5C</w:t>
      </w:r>
      <w:r w:rsidRPr="002D5A49">
        <w:rPr>
          <w:rFonts w:ascii="Calibri" w:hAnsi="Calibri"/>
        </w:rPr>
        <w:tab/>
      </w:r>
      <w:r w:rsidRPr="002D5A49">
        <w:rPr>
          <w:rFonts w:ascii="Calibri" w:hAnsi="Calibri"/>
        </w:rPr>
        <w:tab/>
        <w:t>Werkelijke opbrengsten uit periodieke distributienettarieven in boekjaar 20</w:t>
      </w:r>
      <w:r w:rsidR="00304606" w:rsidRPr="002D5A49">
        <w:rPr>
          <w:rFonts w:ascii="Calibri" w:hAnsi="Calibri"/>
        </w:rPr>
        <w:t>XX</w:t>
      </w:r>
      <w:r w:rsidRPr="002D5A49">
        <w:rPr>
          <w:rFonts w:ascii="Calibri" w:hAnsi="Calibri"/>
        </w:rPr>
        <w:t xml:space="preserve"> (elektriciteit – afname)</w:t>
      </w:r>
    </w:p>
    <w:p w14:paraId="4241694C" w14:textId="575CD528" w:rsidR="00EE5CD7" w:rsidRPr="002D5A49" w:rsidRDefault="00EE5CD7" w:rsidP="00EE5CD7">
      <w:pPr>
        <w:numPr>
          <w:ilvl w:val="0"/>
          <w:numId w:val="11"/>
        </w:numPr>
        <w:spacing w:before="0" w:line="240" w:lineRule="auto"/>
        <w:ind w:left="1418" w:right="-2" w:hanging="425"/>
        <w:jc w:val="both"/>
        <w:rPr>
          <w:rFonts w:ascii="Calibri" w:hAnsi="Calibri"/>
          <w:b/>
        </w:rPr>
      </w:pPr>
      <w:r w:rsidRPr="002D5A49">
        <w:rPr>
          <w:rFonts w:ascii="Calibri" w:hAnsi="Calibri"/>
        </w:rPr>
        <w:t>TABEL 5D</w:t>
      </w:r>
      <w:r w:rsidRPr="002D5A49">
        <w:rPr>
          <w:rFonts w:ascii="Calibri" w:hAnsi="Calibri"/>
        </w:rPr>
        <w:tab/>
      </w:r>
      <w:r w:rsidRPr="002D5A49">
        <w:rPr>
          <w:rFonts w:ascii="Calibri" w:hAnsi="Calibri"/>
        </w:rPr>
        <w:tab/>
        <w:t>Werkelijke opbrengsten uit periodieke distributienettarieven in boekjaar 20</w:t>
      </w:r>
      <w:r w:rsidR="00304606" w:rsidRPr="002D5A49">
        <w:rPr>
          <w:rFonts w:ascii="Calibri" w:hAnsi="Calibri"/>
        </w:rPr>
        <w:t>XX</w:t>
      </w:r>
      <w:r w:rsidRPr="002D5A49">
        <w:rPr>
          <w:rFonts w:ascii="Calibri" w:hAnsi="Calibri"/>
        </w:rPr>
        <w:t xml:space="preserve"> (elektriciteit – injectie)</w:t>
      </w:r>
    </w:p>
    <w:p w14:paraId="62715064" w14:textId="2ADFFC98" w:rsidR="00EE5CD7" w:rsidRPr="002D5A49" w:rsidRDefault="00EE5CD7" w:rsidP="00EE5CD7">
      <w:pPr>
        <w:numPr>
          <w:ilvl w:val="0"/>
          <w:numId w:val="11"/>
        </w:numPr>
        <w:spacing w:before="0" w:line="240" w:lineRule="auto"/>
        <w:ind w:left="1418" w:right="-2" w:hanging="425"/>
        <w:jc w:val="both"/>
        <w:rPr>
          <w:rFonts w:ascii="Calibri" w:hAnsi="Calibri"/>
          <w:b/>
        </w:rPr>
      </w:pPr>
      <w:r w:rsidRPr="002D5A49">
        <w:rPr>
          <w:rFonts w:ascii="Calibri" w:hAnsi="Calibri"/>
        </w:rPr>
        <w:t>TABEL 5E</w:t>
      </w:r>
      <w:r w:rsidRPr="002D5A49">
        <w:rPr>
          <w:rFonts w:ascii="Calibri" w:hAnsi="Calibri"/>
        </w:rPr>
        <w:tab/>
      </w:r>
      <w:r w:rsidRPr="002D5A49">
        <w:rPr>
          <w:rFonts w:ascii="Calibri" w:hAnsi="Calibri"/>
        </w:rPr>
        <w:tab/>
        <w:t>Werkelijke opbrengsten uit periodieke distributienettarieven in boekjaar 20</w:t>
      </w:r>
      <w:r w:rsidR="00304606" w:rsidRPr="002D5A49">
        <w:rPr>
          <w:rFonts w:ascii="Calibri" w:hAnsi="Calibri"/>
        </w:rPr>
        <w:t>XX</w:t>
      </w:r>
      <w:r w:rsidRPr="002D5A49">
        <w:rPr>
          <w:rFonts w:ascii="Calibri" w:hAnsi="Calibri"/>
        </w:rPr>
        <w:t xml:space="preserve"> (gas – afname)</w:t>
      </w:r>
    </w:p>
    <w:p w14:paraId="3025E69E" w14:textId="08BA614F" w:rsidR="00EE5CD7" w:rsidRPr="002D5A49" w:rsidRDefault="00EE5CD7" w:rsidP="00EE5CD7">
      <w:pPr>
        <w:numPr>
          <w:ilvl w:val="0"/>
          <w:numId w:val="11"/>
        </w:numPr>
        <w:spacing w:before="0" w:line="240" w:lineRule="auto"/>
        <w:ind w:left="1418" w:right="-2" w:hanging="425"/>
        <w:jc w:val="both"/>
        <w:rPr>
          <w:rFonts w:ascii="Calibri" w:hAnsi="Calibri"/>
          <w:b/>
        </w:rPr>
      </w:pPr>
      <w:r w:rsidRPr="002D5A49">
        <w:rPr>
          <w:rFonts w:ascii="Calibri" w:hAnsi="Calibri"/>
        </w:rPr>
        <w:t>TABEL 5F</w:t>
      </w:r>
      <w:r w:rsidRPr="002D5A49">
        <w:rPr>
          <w:rFonts w:ascii="Calibri" w:hAnsi="Calibri"/>
        </w:rPr>
        <w:tab/>
      </w:r>
      <w:r w:rsidRPr="002D5A49">
        <w:rPr>
          <w:rFonts w:ascii="Calibri" w:hAnsi="Calibri"/>
        </w:rPr>
        <w:tab/>
        <w:t>Werkelijke opbrengsten uit periodieke distributienettarieven in boekjaar 20</w:t>
      </w:r>
      <w:r w:rsidR="00304606" w:rsidRPr="002D5A49">
        <w:rPr>
          <w:rFonts w:ascii="Calibri" w:hAnsi="Calibri"/>
        </w:rPr>
        <w:t>XX</w:t>
      </w:r>
      <w:r w:rsidRPr="002D5A49">
        <w:rPr>
          <w:rFonts w:ascii="Calibri" w:hAnsi="Calibri"/>
        </w:rPr>
        <w:t xml:space="preserve"> (gas – injectie)</w:t>
      </w:r>
    </w:p>
    <w:p w14:paraId="390D1085" w14:textId="77777777" w:rsidR="00EE5CD7" w:rsidRPr="002D5A49" w:rsidRDefault="00EE5CD7" w:rsidP="00EE5CD7">
      <w:pPr>
        <w:numPr>
          <w:ilvl w:val="0"/>
          <w:numId w:val="11"/>
        </w:numPr>
        <w:spacing w:before="0" w:line="240" w:lineRule="auto"/>
        <w:ind w:left="1418" w:right="-2" w:hanging="425"/>
        <w:jc w:val="both"/>
        <w:rPr>
          <w:rFonts w:ascii="Calibri" w:hAnsi="Calibri"/>
          <w:b/>
        </w:rPr>
      </w:pPr>
      <w:r w:rsidRPr="002D5A49">
        <w:rPr>
          <w:rFonts w:ascii="Calibri" w:hAnsi="Calibri"/>
        </w:rPr>
        <w:t>TABEL 6A</w:t>
      </w:r>
      <w:r w:rsidRPr="002D5A49">
        <w:rPr>
          <w:rFonts w:ascii="Calibri" w:hAnsi="Calibri"/>
        </w:rPr>
        <w:tab/>
      </w:r>
      <w:r w:rsidRPr="002D5A49">
        <w:rPr>
          <w:rFonts w:ascii="Calibri" w:hAnsi="Calibri"/>
        </w:rPr>
        <w:tab/>
        <w:t>Opvolging regulatoir saldo inzake herindexering van het budget voor endogene kosten</w:t>
      </w:r>
    </w:p>
    <w:p w14:paraId="453F7EFB" w14:textId="77777777" w:rsidR="00EE5CD7" w:rsidRPr="002D5A49" w:rsidRDefault="00EE5CD7" w:rsidP="00EE5CD7">
      <w:pPr>
        <w:numPr>
          <w:ilvl w:val="0"/>
          <w:numId w:val="11"/>
        </w:numPr>
        <w:spacing w:before="0" w:line="240" w:lineRule="auto"/>
        <w:ind w:left="1418" w:right="-2" w:hanging="425"/>
        <w:jc w:val="both"/>
        <w:rPr>
          <w:rFonts w:ascii="Calibri" w:hAnsi="Calibri"/>
          <w:b/>
        </w:rPr>
      </w:pPr>
      <w:r w:rsidRPr="002D5A49">
        <w:rPr>
          <w:rFonts w:ascii="Calibri" w:hAnsi="Calibri"/>
        </w:rPr>
        <w:t>TABEL 6B</w:t>
      </w:r>
      <w:r w:rsidRPr="002D5A49">
        <w:rPr>
          <w:rFonts w:ascii="Calibri" w:hAnsi="Calibri"/>
        </w:rPr>
        <w:tab/>
      </w:r>
      <w:r w:rsidRPr="002D5A49">
        <w:rPr>
          <w:rFonts w:ascii="Calibri" w:hAnsi="Calibri"/>
        </w:rPr>
        <w:tab/>
        <w:t>Overzicht regulatoir saldo inzake herindexering van het budget voor endogene kosten per tariefcomponent</w:t>
      </w:r>
    </w:p>
    <w:p w14:paraId="2FF733A8" w14:textId="77777777" w:rsidR="00EE5CD7" w:rsidRPr="002D5A49" w:rsidRDefault="00EE5CD7" w:rsidP="00EE5CD7">
      <w:pPr>
        <w:numPr>
          <w:ilvl w:val="0"/>
          <w:numId w:val="11"/>
        </w:numPr>
        <w:spacing w:before="0" w:line="240" w:lineRule="auto"/>
        <w:ind w:left="1418" w:right="-2" w:hanging="425"/>
        <w:jc w:val="both"/>
        <w:rPr>
          <w:rFonts w:ascii="Calibri" w:hAnsi="Calibri"/>
          <w:b/>
        </w:rPr>
      </w:pPr>
      <w:r w:rsidRPr="002D5A49">
        <w:rPr>
          <w:rFonts w:ascii="Calibri" w:hAnsi="Calibri"/>
        </w:rPr>
        <w:t>TABEL 7</w:t>
      </w:r>
      <w:r w:rsidRPr="002D5A49">
        <w:rPr>
          <w:rFonts w:ascii="Calibri" w:hAnsi="Calibri"/>
        </w:rPr>
        <w:tab/>
      </w:r>
      <w:r w:rsidRPr="002D5A49">
        <w:rPr>
          <w:rFonts w:ascii="Calibri" w:hAnsi="Calibri"/>
        </w:rPr>
        <w:tab/>
        <w:t>Opvolging regulatoir saldo inzake vennootschapsbelasting</w:t>
      </w:r>
    </w:p>
    <w:p w14:paraId="39859105" w14:textId="77777777" w:rsidR="00EE5CD7" w:rsidRPr="002D5A49" w:rsidRDefault="00EE5CD7" w:rsidP="00EE5CD7">
      <w:pPr>
        <w:numPr>
          <w:ilvl w:val="0"/>
          <w:numId w:val="11"/>
        </w:numPr>
        <w:spacing w:before="0" w:line="240" w:lineRule="auto"/>
        <w:ind w:left="1418" w:right="-2" w:hanging="425"/>
        <w:jc w:val="both"/>
        <w:rPr>
          <w:rFonts w:ascii="Calibri" w:hAnsi="Calibri"/>
          <w:b/>
        </w:rPr>
      </w:pPr>
      <w:r w:rsidRPr="002D5A49">
        <w:rPr>
          <w:rFonts w:ascii="Calibri" w:hAnsi="Calibri"/>
        </w:rPr>
        <w:t>TABEL 8</w:t>
      </w:r>
      <w:r w:rsidRPr="002D5A49">
        <w:rPr>
          <w:rFonts w:ascii="Calibri" w:hAnsi="Calibri"/>
        </w:rPr>
        <w:tab/>
      </w:r>
      <w:r w:rsidRPr="002D5A49">
        <w:rPr>
          <w:rFonts w:ascii="Calibri" w:hAnsi="Calibri"/>
        </w:rPr>
        <w:tab/>
        <w:t xml:space="preserve">Opvolging regulatoir saldo inzake herwaarderingsmeerwaarden </w:t>
      </w:r>
    </w:p>
    <w:p w14:paraId="655CF35F" w14:textId="203470E2" w:rsidR="00EE5CD7" w:rsidRPr="002D5A49" w:rsidRDefault="00EE5CD7" w:rsidP="00EE5CD7">
      <w:pPr>
        <w:numPr>
          <w:ilvl w:val="0"/>
          <w:numId w:val="11"/>
        </w:numPr>
        <w:spacing w:before="0" w:line="240" w:lineRule="auto"/>
        <w:ind w:left="1418" w:right="-2" w:hanging="425"/>
        <w:jc w:val="both"/>
        <w:rPr>
          <w:rFonts w:ascii="Calibri" w:hAnsi="Calibri"/>
          <w:b/>
        </w:rPr>
      </w:pPr>
      <w:r w:rsidRPr="002D5A49">
        <w:rPr>
          <w:rFonts w:ascii="Calibri" w:hAnsi="Calibri"/>
        </w:rPr>
        <w:t xml:space="preserve">TABEL </w:t>
      </w:r>
      <w:r w:rsidR="00E72738">
        <w:rPr>
          <w:rFonts w:ascii="Calibri" w:hAnsi="Calibri"/>
        </w:rPr>
        <w:t>9</w:t>
      </w:r>
      <w:r w:rsidRPr="002D5A49">
        <w:rPr>
          <w:rFonts w:ascii="Calibri" w:hAnsi="Calibri"/>
        </w:rPr>
        <w:tab/>
      </w:r>
      <w:r w:rsidRPr="002D5A49">
        <w:rPr>
          <w:rFonts w:ascii="Calibri" w:hAnsi="Calibri"/>
        </w:rPr>
        <w:tab/>
        <w:t>Algemeen overzicht aanvullende endogene termen</w:t>
      </w:r>
    </w:p>
    <w:p w14:paraId="39F16179" w14:textId="77DF34DC" w:rsidR="00EE5CD7" w:rsidRPr="002D5A49" w:rsidRDefault="00EE5CD7" w:rsidP="00EE5CD7">
      <w:pPr>
        <w:numPr>
          <w:ilvl w:val="0"/>
          <w:numId w:val="11"/>
        </w:numPr>
        <w:spacing w:before="0" w:line="240" w:lineRule="auto"/>
        <w:ind w:left="1418" w:right="-2" w:hanging="425"/>
        <w:jc w:val="both"/>
        <w:rPr>
          <w:rFonts w:ascii="Calibri" w:hAnsi="Calibri"/>
          <w:b/>
        </w:rPr>
      </w:pPr>
      <w:r w:rsidRPr="002D5A49">
        <w:rPr>
          <w:rFonts w:ascii="Calibri" w:hAnsi="Calibri"/>
        </w:rPr>
        <w:t>TABEL 1</w:t>
      </w:r>
      <w:r w:rsidR="00E72738">
        <w:rPr>
          <w:rFonts w:ascii="Calibri" w:hAnsi="Calibri"/>
        </w:rPr>
        <w:t>0</w:t>
      </w:r>
      <w:r w:rsidRPr="002D5A49">
        <w:rPr>
          <w:rFonts w:ascii="Calibri" w:hAnsi="Calibri"/>
        </w:rPr>
        <w:tab/>
      </w:r>
      <w:r w:rsidRPr="002D5A49">
        <w:rPr>
          <w:rFonts w:ascii="Calibri" w:hAnsi="Calibri"/>
        </w:rPr>
        <w:tab/>
        <w:t>Fiscaal niet-aftrekbare afschrijvingen op herwaarderingsmeerwaarden</w:t>
      </w:r>
    </w:p>
    <w:p w14:paraId="1981032B" w14:textId="2D15CFCE" w:rsidR="00DC6767" w:rsidRPr="00DC6767" w:rsidRDefault="00DC6767" w:rsidP="00EE5CD7">
      <w:pPr>
        <w:numPr>
          <w:ilvl w:val="0"/>
          <w:numId w:val="11"/>
        </w:numPr>
        <w:spacing w:before="0" w:line="240" w:lineRule="auto"/>
        <w:ind w:left="1418" w:right="-2" w:hanging="425"/>
        <w:jc w:val="both"/>
        <w:rPr>
          <w:rFonts w:ascii="Calibri" w:hAnsi="Calibri"/>
          <w:b/>
        </w:rPr>
      </w:pPr>
      <w:r>
        <w:rPr>
          <w:rFonts w:ascii="Calibri" w:hAnsi="Calibri"/>
          <w:bCs/>
        </w:rPr>
        <w:t>TABEL 11</w:t>
      </w:r>
      <w:r>
        <w:rPr>
          <w:rFonts w:ascii="Calibri" w:hAnsi="Calibri"/>
          <w:bCs/>
        </w:rPr>
        <w:tab/>
      </w:r>
      <w:r>
        <w:rPr>
          <w:rFonts w:ascii="Calibri" w:hAnsi="Calibri"/>
          <w:bCs/>
        </w:rPr>
        <w:tab/>
        <w:t>Fiscaal niet-aftrekbare heffing volgens het Decreet houdende het Grootsch</w:t>
      </w:r>
      <w:r w:rsidR="0072602B">
        <w:rPr>
          <w:rFonts w:ascii="Calibri" w:hAnsi="Calibri"/>
          <w:bCs/>
        </w:rPr>
        <w:t>alig Referentiebestand</w:t>
      </w:r>
    </w:p>
    <w:p w14:paraId="7C353040" w14:textId="10048C24" w:rsidR="00EE5CD7" w:rsidRPr="002D5A49" w:rsidRDefault="00EE5CD7" w:rsidP="00EE5CD7">
      <w:pPr>
        <w:numPr>
          <w:ilvl w:val="0"/>
          <w:numId w:val="11"/>
        </w:numPr>
        <w:spacing w:before="0" w:line="240" w:lineRule="auto"/>
        <w:ind w:left="1418" w:right="-2" w:hanging="425"/>
        <w:jc w:val="both"/>
        <w:rPr>
          <w:rFonts w:ascii="Calibri" w:hAnsi="Calibri"/>
          <w:b/>
        </w:rPr>
      </w:pPr>
      <w:r w:rsidRPr="002D5A49">
        <w:rPr>
          <w:rFonts w:ascii="Calibri" w:hAnsi="Calibri"/>
        </w:rPr>
        <w:t>TABEL 1</w:t>
      </w:r>
      <w:r w:rsidR="00DC6767">
        <w:rPr>
          <w:rFonts w:ascii="Calibri" w:hAnsi="Calibri"/>
        </w:rPr>
        <w:t>2</w:t>
      </w:r>
      <w:r w:rsidRPr="002D5A49">
        <w:rPr>
          <w:rFonts w:ascii="Calibri" w:hAnsi="Calibri"/>
        </w:rPr>
        <w:tab/>
      </w:r>
      <w:r w:rsidRPr="002D5A49">
        <w:rPr>
          <w:rFonts w:ascii="Calibri" w:hAnsi="Calibri"/>
        </w:rPr>
        <w:tab/>
        <w:t>Notionele intrestaftrek</w:t>
      </w:r>
    </w:p>
    <w:p w14:paraId="1F890A87" w14:textId="47FBCCC8" w:rsidR="00EE5CD7" w:rsidRPr="002D5A49" w:rsidRDefault="00EE5CD7" w:rsidP="00EE5CD7">
      <w:pPr>
        <w:numPr>
          <w:ilvl w:val="0"/>
          <w:numId w:val="11"/>
        </w:numPr>
        <w:spacing w:before="0" w:line="240" w:lineRule="auto"/>
        <w:ind w:left="1418" w:right="-2" w:hanging="425"/>
        <w:jc w:val="both"/>
        <w:rPr>
          <w:rFonts w:ascii="Calibri" w:hAnsi="Calibri"/>
          <w:b/>
        </w:rPr>
      </w:pPr>
      <w:r w:rsidRPr="002D5A49">
        <w:rPr>
          <w:rFonts w:ascii="Calibri" w:hAnsi="Calibri"/>
        </w:rPr>
        <w:t>TABEL 1</w:t>
      </w:r>
      <w:r w:rsidR="00DC6767">
        <w:rPr>
          <w:rFonts w:ascii="Calibri" w:hAnsi="Calibri"/>
        </w:rPr>
        <w:t>3</w:t>
      </w:r>
      <w:r w:rsidRPr="002D5A49">
        <w:rPr>
          <w:rFonts w:ascii="Calibri" w:hAnsi="Calibri"/>
        </w:rPr>
        <w:t>A</w:t>
      </w:r>
      <w:r w:rsidRPr="002D5A49">
        <w:rPr>
          <w:rFonts w:ascii="Calibri" w:hAnsi="Calibri"/>
        </w:rPr>
        <w:tab/>
        <w:t>Afschrijvingen van de meerwaarde op basis van de historische indexatie (materiële vaste activa) – elektriciteit</w:t>
      </w:r>
    </w:p>
    <w:p w14:paraId="67659982" w14:textId="75655612" w:rsidR="00EE5CD7" w:rsidRPr="007575B6" w:rsidRDefault="00EE5CD7" w:rsidP="00EE5CD7">
      <w:pPr>
        <w:numPr>
          <w:ilvl w:val="0"/>
          <w:numId w:val="11"/>
        </w:numPr>
        <w:spacing w:before="0" w:line="240" w:lineRule="auto"/>
        <w:ind w:left="1418" w:right="-2" w:hanging="425"/>
        <w:jc w:val="both"/>
        <w:rPr>
          <w:rFonts w:ascii="Calibri" w:hAnsi="Calibri"/>
          <w:b/>
        </w:rPr>
      </w:pPr>
      <w:r w:rsidRPr="002D5A49">
        <w:rPr>
          <w:rFonts w:ascii="Calibri" w:hAnsi="Calibri"/>
        </w:rPr>
        <w:t>TABEL 1</w:t>
      </w:r>
      <w:r w:rsidR="00DC6767">
        <w:rPr>
          <w:rFonts w:ascii="Calibri" w:hAnsi="Calibri"/>
        </w:rPr>
        <w:t>3</w:t>
      </w:r>
      <w:r w:rsidRPr="002D5A49">
        <w:rPr>
          <w:rFonts w:ascii="Calibri" w:hAnsi="Calibri"/>
        </w:rPr>
        <w:t>B</w:t>
      </w:r>
      <w:r w:rsidRPr="002D5A49">
        <w:rPr>
          <w:rFonts w:ascii="Calibri" w:hAnsi="Calibri"/>
        </w:rPr>
        <w:tab/>
        <w:t xml:space="preserve">Afschrijvingen van de meerwaarde op basis van de iRAB (materiële vaste activa) </w:t>
      </w:r>
      <w:r w:rsidRPr="007575B6">
        <w:rPr>
          <w:rFonts w:ascii="Calibri" w:hAnsi="Calibri"/>
        </w:rPr>
        <w:t>– elektriciteit</w:t>
      </w:r>
    </w:p>
    <w:p w14:paraId="3FBF0078" w14:textId="691B746E" w:rsidR="00EE5CD7" w:rsidRPr="007575B6" w:rsidRDefault="00EE5CD7" w:rsidP="00EE5CD7">
      <w:pPr>
        <w:numPr>
          <w:ilvl w:val="0"/>
          <w:numId w:val="11"/>
        </w:numPr>
        <w:spacing w:before="0" w:line="240" w:lineRule="auto"/>
        <w:ind w:left="1418" w:right="-2" w:hanging="425"/>
        <w:jc w:val="both"/>
        <w:rPr>
          <w:rFonts w:ascii="Calibri" w:hAnsi="Calibri"/>
          <w:b/>
        </w:rPr>
      </w:pPr>
      <w:r w:rsidRPr="007575B6">
        <w:rPr>
          <w:rFonts w:ascii="Calibri" w:hAnsi="Calibri"/>
        </w:rPr>
        <w:t>TABEL 1</w:t>
      </w:r>
      <w:r w:rsidR="00DC6767">
        <w:rPr>
          <w:rFonts w:ascii="Calibri" w:hAnsi="Calibri"/>
        </w:rPr>
        <w:t>3</w:t>
      </w:r>
      <w:r w:rsidRPr="007575B6">
        <w:rPr>
          <w:rFonts w:ascii="Calibri" w:hAnsi="Calibri"/>
        </w:rPr>
        <w:t>C</w:t>
      </w:r>
      <w:r w:rsidRPr="007575B6">
        <w:rPr>
          <w:rFonts w:ascii="Calibri" w:hAnsi="Calibri"/>
        </w:rPr>
        <w:tab/>
        <w:t>Afschrijvingen van de meerwaarde op basis van de historische indexatie (materiële vaste activa) – gas</w:t>
      </w:r>
    </w:p>
    <w:p w14:paraId="1D81D92E" w14:textId="28BD06F6" w:rsidR="00EE5CD7" w:rsidRPr="007575B6" w:rsidRDefault="00EE5CD7" w:rsidP="00EE5CD7">
      <w:pPr>
        <w:numPr>
          <w:ilvl w:val="0"/>
          <w:numId w:val="11"/>
        </w:numPr>
        <w:spacing w:before="0" w:line="240" w:lineRule="auto"/>
        <w:ind w:left="1418" w:right="-2" w:hanging="425"/>
        <w:jc w:val="both"/>
        <w:rPr>
          <w:rFonts w:ascii="Calibri" w:hAnsi="Calibri"/>
          <w:b/>
        </w:rPr>
      </w:pPr>
      <w:r w:rsidRPr="007575B6">
        <w:rPr>
          <w:rFonts w:ascii="Calibri" w:hAnsi="Calibri"/>
        </w:rPr>
        <w:t>TABEL 1</w:t>
      </w:r>
      <w:r w:rsidR="00DC6767">
        <w:rPr>
          <w:rFonts w:ascii="Calibri" w:hAnsi="Calibri"/>
        </w:rPr>
        <w:t>3</w:t>
      </w:r>
      <w:r w:rsidRPr="007575B6">
        <w:rPr>
          <w:rFonts w:ascii="Calibri" w:hAnsi="Calibri"/>
        </w:rPr>
        <w:t>D</w:t>
      </w:r>
      <w:r w:rsidRPr="007575B6">
        <w:rPr>
          <w:rFonts w:ascii="Calibri" w:hAnsi="Calibri"/>
        </w:rPr>
        <w:tab/>
        <w:t>Afschrijvingen van de meerwaarde op basis van de iRAB (materiële vaste activa) – gas</w:t>
      </w:r>
    </w:p>
    <w:p w14:paraId="19758E88" w14:textId="60935A85" w:rsidR="00EE5CD7" w:rsidRPr="007575B6" w:rsidRDefault="00EE5CD7" w:rsidP="00EE5CD7">
      <w:pPr>
        <w:numPr>
          <w:ilvl w:val="0"/>
          <w:numId w:val="11"/>
        </w:numPr>
        <w:spacing w:before="0" w:line="240" w:lineRule="auto"/>
        <w:ind w:left="1418" w:right="-2" w:hanging="425"/>
        <w:jc w:val="both"/>
        <w:rPr>
          <w:rFonts w:ascii="Calibri" w:hAnsi="Calibri"/>
          <w:b/>
        </w:rPr>
      </w:pPr>
      <w:r w:rsidRPr="007575B6">
        <w:rPr>
          <w:rFonts w:ascii="Calibri" w:hAnsi="Calibri"/>
        </w:rPr>
        <w:t xml:space="preserve">TABEL </w:t>
      </w:r>
      <w:r w:rsidR="00E72738">
        <w:rPr>
          <w:rFonts w:ascii="Calibri" w:hAnsi="Calibri"/>
        </w:rPr>
        <w:t>1</w:t>
      </w:r>
      <w:r w:rsidR="00DC6767">
        <w:rPr>
          <w:rFonts w:ascii="Calibri" w:hAnsi="Calibri"/>
        </w:rPr>
        <w:t>4</w:t>
      </w:r>
      <w:r w:rsidRPr="007575B6">
        <w:rPr>
          <w:rFonts w:ascii="Calibri" w:hAnsi="Calibri"/>
        </w:rPr>
        <w:tab/>
      </w:r>
      <w:r w:rsidRPr="007575B6">
        <w:rPr>
          <w:rFonts w:ascii="Calibri" w:hAnsi="Calibri"/>
        </w:rPr>
        <w:tab/>
        <w:t>Kapitaalkostvergoeding herwaarderingsmeerwaarden</w:t>
      </w:r>
    </w:p>
    <w:p w14:paraId="4DE9C28F" w14:textId="77777777" w:rsidR="00EE5CD7" w:rsidRPr="007575B6" w:rsidRDefault="00EE5CD7" w:rsidP="00EE5CD7">
      <w:pPr>
        <w:ind w:right="-2"/>
        <w:rPr>
          <w:rFonts w:ascii="Calibri" w:hAnsi="Calibri" w:cs="Tahoma"/>
        </w:rPr>
      </w:pPr>
      <w:r w:rsidRPr="007575B6">
        <w:rPr>
          <w:rFonts w:ascii="Calibri" w:hAnsi="Calibri" w:cs="Tahoma"/>
        </w:rPr>
        <w:t xml:space="preserve">Het Excel bestand is voorzien van een aantal automatisch berekende waarden teneinde de verwerking van het rapporteringsmodel, zowel voor de distributienetbeheerder als voor de VREG, </w:t>
      </w:r>
      <w:r w:rsidRPr="007575B6">
        <w:rPr>
          <w:rFonts w:ascii="Calibri" w:hAnsi="Calibri" w:cs="Tahoma"/>
        </w:rPr>
        <w:lastRenderedPageBreak/>
        <w:t>efficiënt te laten verlopen. Deze waarden werden door de VREG dan ook beveiligd. Het rapporteringsmodel dient door de distributienetbeheerder in één afgedrukt exemplaar te worden opgeleverd, alsook onder elektronische vorm (Excel-formaat). In de elektronische vorm zijn geen verwijzingen naar externe bestanden (koppelingen) toegelaten.</w:t>
      </w:r>
    </w:p>
    <w:p w14:paraId="1BD9C8E9" w14:textId="77777777" w:rsidR="00EE5CD7" w:rsidRPr="007575B6" w:rsidRDefault="00EE5CD7" w:rsidP="00EE5CD7">
      <w:pPr>
        <w:ind w:right="-2"/>
        <w:rPr>
          <w:rFonts w:ascii="Calibri" w:hAnsi="Calibri"/>
        </w:rPr>
      </w:pPr>
      <w:r w:rsidRPr="007575B6">
        <w:rPr>
          <w:rFonts w:ascii="Calibri" w:hAnsi="Calibri"/>
        </w:rPr>
        <w:t xml:space="preserve">Het rapporteringsmodel dient te worden ingevuld met inachtneming van de regulatoire boekhoudkundige voorschriften die in paragraaf 13 van de hoofdtekst van de tariefmethodologie zijn opgenomen. Eventuele afwijkingen tussen de boekhoudkundige waarden en de waarden opgenomen in het rapporteringsmodel dienen door de distributienetbeheerder in een afzonderlijke nota in detail worden verklaard. </w:t>
      </w:r>
    </w:p>
    <w:p w14:paraId="0CFD47C6" w14:textId="77777777" w:rsidR="00EE5CD7" w:rsidRPr="007575B6" w:rsidRDefault="00EE5CD7" w:rsidP="00EE5CD7">
      <w:pPr>
        <w:ind w:right="-2"/>
        <w:rPr>
          <w:rFonts w:ascii="Calibri" w:hAnsi="Calibri"/>
        </w:rPr>
      </w:pPr>
      <w:r w:rsidRPr="007575B6">
        <w:rPr>
          <w:rFonts w:ascii="Calibri" w:hAnsi="Calibri"/>
        </w:rPr>
        <w:t>Voor de rapportering inzake de exogene kosten en de aanvullende endogene termen kan een onderscheid gemaakt worden tussen volgende tijdstippen:</w:t>
      </w:r>
      <w:r w:rsidRPr="007575B6">
        <w:rPr>
          <w:rFonts w:ascii="Calibri" w:hAnsi="Calibri"/>
        </w:rPr>
        <w:br/>
      </w:r>
    </w:p>
    <w:p w14:paraId="6BB72216" w14:textId="77777777" w:rsidR="00EE5CD7" w:rsidRPr="007575B6" w:rsidRDefault="00EE5CD7" w:rsidP="00EE5CD7">
      <w:pPr>
        <w:numPr>
          <w:ilvl w:val="0"/>
          <w:numId w:val="16"/>
        </w:numPr>
        <w:spacing w:before="0" w:line="240" w:lineRule="auto"/>
        <w:ind w:right="-2" w:hanging="438"/>
        <w:jc w:val="both"/>
        <w:rPr>
          <w:rFonts w:ascii="Calibri" w:hAnsi="Calibri"/>
        </w:rPr>
      </w:pPr>
      <w:r w:rsidRPr="007575B6">
        <w:rPr>
          <w:rFonts w:ascii="Calibri" w:hAnsi="Calibri"/>
        </w:rPr>
        <w:t xml:space="preserve">Ex-ante rapportering: </w:t>
      </w:r>
    </w:p>
    <w:p w14:paraId="6BA397CE" w14:textId="5F3E7FAF" w:rsidR="00EE5CD7" w:rsidRPr="007575B6" w:rsidRDefault="00EE5CD7" w:rsidP="00EE5CD7">
      <w:pPr>
        <w:spacing w:before="0" w:line="240" w:lineRule="auto"/>
        <w:ind w:left="2190" w:right="-2"/>
        <w:jc w:val="both"/>
        <w:rPr>
          <w:rFonts w:ascii="Calibri" w:hAnsi="Calibri"/>
        </w:rPr>
      </w:pPr>
      <w:r w:rsidRPr="007575B6">
        <w:rPr>
          <w:rFonts w:ascii="Calibri" w:hAnsi="Calibri"/>
        </w:rPr>
        <w:t>In het jaar voorafgaand aan het jaar 20</w:t>
      </w:r>
      <w:r w:rsidR="00A5028D" w:rsidRPr="007575B6">
        <w:rPr>
          <w:rFonts w:ascii="Calibri" w:hAnsi="Calibri"/>
        </w:rPr>
        <w:t>XX</w:t>
      </w:r>
      <w:r w:rsidRPr="007575B6">
        <w:rPr>
          <w:rFonts w:ascii="Calibri" w:hAnsi="Calibri"/>
        </w:rPr>
        <w:t xml:space="preserve"> dient de distributienetbeheerder de </w:t>
      </w:r>
      <w:r w:rsidRPr="007575B6">
        <w:rPr>
          <w:rFonts w:ascii="Calibri" w:hAnsi="Calibri"/>
          <w:b/>
        </w:rPr>
        <w:t>gebudgetteerde waarden</w:t>
      </w:r>
      <w:r w:rsidRPr="007575B6">
        <w:rPr>
          <w:rFonts w:ascii="Calibri" w:hAnsi="Calibri"/>
        </w:rPr>
        <w:t xml:space="preserve"> voor het boekjaar 20</w:t>
      </w:r>
      <w:r w:rsidR="00A5028D" w:rsidRPr="007575B6">
        <w:rPr>
          <w:rFonts w:ascii="Calibri" w:hAnsi="Calibri"/>
        </w:rPr>
        <w:t>XX</w:t>
      </w:r>
      <w:r w:rsidRPr="007575B6">
        <w:rPr>
          <w:rFonts w:ascii="Calibri" w:hAnsi="Calibri"/>
        </w:rPr>
        <w:t xml:space="preserve"> te rapporteren, dewelke als basis dienen voor de bepaling van </w:t>
      </w:r>
      <w:r w:rsidR="00E15E6F">
        <w:rPr>
          <w:rFonts w:ascii="Calibri" w:hAnsi="Calibri"/>
        </w:rPr>
        <w:t>het toegelaten inkomen</w:t>
      </w:r>
      <w:r w:rsidRPr="007575B6">
        <w:rPr>
          <w:rFonts w:ascii="Calibri" w:hAnsi="Calibri"/>
        </w:rPr>
        <w:t xml:space="preserve"> voor het boekjaar 20</w:t>
      </w:r>
      <w:r w:rsidR="00A5028D" w:rsidRPr="007575B6">
        <w:rPr>
          <w:rFonts w:ascii="Calibri" w:hAnsi="Calibri"/>
        </w:rPr>
        <w:t>XX</w:t>
      </w:r>
      <w:r w:rsidRPr="007575B6">
        <w:rPr>
          <w:rFonts w:ascii="Calibri" w:hAnsi="Calibri"/>
        </w:rPr>
        <w:t xml:space="preserve"> inzake exogene kosten enerzijds en aanvullende endogene termen anderzijds. </w:t>
      </w:r>
    </w:p>
    <w:p w14:paraId="7E03B6BD" w14:textId="77777777" w:rsidR="00EE5CD7" w:rsidRPr="007575B6" w:rsidRDefault="00EE5CD7" w:rsidP="00EE5CD7">
      <w:pPr>
        <w:spacing w:before="0" w:line="240" w:lineRule="auto"/>
        <w:ind w:left="2190" w:right="-2"/>
        <w:jc w:val="both"/>
        <w:rPr>
          <w:rFonts w:ascii="Calibri" w:hAnsi="Calibri"/>
        </w:rPr>
      </w:pPr>
    </w:p>
    <w:p w14:paraId="6F866911" w14:textId="77777777" w:rsidR="00EE5CD7" w:rsidRPr="007575B6" w:rsidRDefault="00EE5CD7" w:rsidP="00EE5CD7">
      <w:pPr>
        <w:numPr>
          <w:ilvl w:val="0"/>
          <w:numId w:val="16"/>
        </w:numPr>
        <w:spacing w:before="0" w:line="240" w:lineRule="auto"/>
        <w:ind w:right="-2"/>
        <w:jc w:val="both"/>
        <w:rPr>
          <w:rFonts w:ascii="Calibri" w:hAnsi="Calibri"/>
        </w:rPr>
      </w:pPr>
      <w:r w:rsidRPr="007575B6">
        <w:rPr>
          <w:rFonts w:ascii="Calibri" w:hAnsi="Calibri"/>
        </w:rPr>
        <w:t>Ex-post rapportering:</w:t>
      </w:r>
    </w:p>
    <w:p w14:paraId="1279AD7C" w14:textId="16907E37" w:rsidR="00EE5CD7" w:rsidRPr="007575B6" w:rsidRDefault="00EE5CD7" w:rsidP="00EE5CD7">
      <w:pPr>
        <w:spacing w:before="0" w:line="240" w:lineRule="auto"/>
        <w:ind w:left="2190" w:right="-2"/>
        <w:jc w:val="both"/>
        <w:rPr>
          <w:rFonts w:ascii="Calibri" w:hAnsi="Calibri"/>
        </w:rPr>
      </w:pPr>
      <w:r w:rsidRPr="007575B6">
        <w:rPr>
          <w:rFonts w:ascii="Calibri" w:hAnsi="Calibri"/>
        </w:rPr>
        <w:t>In het jaar volgend op het jaar 20</w:t>
      </w:r>
      <w:r w:rsidR="00A5028D" w:rsidRPr="007575B6">
        <w:rPr>
          <w:rFonts w:ascii="Calibri" w:hAnsi="Calibri"/>
        </w:rPr>
        <w:t>XX</w:t>
      </w:r>
      <w:r w:rsidRPr="007575B6">
        <w:rPr>
          <w:rFonts w:ascii="Calibri" w:hAnsi="Calibri"/>
        </w:rPr>
        <w:t xml:space="preserve"> dient de distributienetbeheerder de </w:t>
      </w:r>
      <w:r w:rsidRPr="007575B6">
        <w:rPr>
          <w:rFonts w:ascii="Calibri" w:hAnsi="Calibri"/>
          <w:b/>
        </w:rPr>
        <w:t>werkelijke waarden</w:t>
      </w:r>
      <w:r w:rsidRPr="007575B6">
        <w:rPr>
          <w:rFonts w:ascii="Calibri" w:hAnsi="Calibri"/>
        </w:rPr>
        <w:t xml:space="preserve"> inzake exogene kosten en aanvullende endogene termen voor het boekjaar 20</w:t>
      </w:r>
      <w:r w:rsidR="00C076B3" w:rsidRPr="007575B6">
        <w:rPr>
          <w:rFonts w:ascii="Calibri" w:hAnsi="Calibri"/>
        </w:rPr>
        <w:t>XX</w:t>
      </w:r>
      <w:r w:rsidRPr="007575B6">
        <w:rPr>
          <w:rFonts w:ascii="Calibri" w:hAnsi="Calibri"/>
        </w:rPr>
        <w:t xml:space="preserve"> te rapporteren. Deze werkelijke waarden laten toe om de regulatoire saldi voor het boekjaar te bepalen. Deze regulatoire saldi worden vervolgens doorgerekend in de periodieke distributienettarieven van de daarop volgende jaren en dit conform de bepalingen omtrent de afbouw van deze regulatoire saldi zoals beschreven in paragraaf 5.6.7 van de hoofdtekst van de tariefmethodologie.</w:t>
      </w:r>
    </w:p>
    <w:p w14:paraId="61012EB5" w14:textId="171C7006" w:rsidR="00EE5CD7" w:rsidRPr="00746302" w:rsidRDefault="00EE5CD7" w:rsidP="00EE5CD7">
      <w:pPr>
        <w:ind w:right="-2"/>
        <w:rPr>
          <w:rFonts w:ascii="Calibri" w:hAnsi="Calibri"/>
        </w:rPr>
      </w:pPr>
      <w:r w:rsidRPr="00746302">
        <w:rPr>
          <w:rFonts w:ascii="Calibri" w:hAnsi="Calibri"/>
        </w:rPr>
        <w:t xml:space="preserve">De wijze waarop het rapporteringsmodel dient te worden ingevuld, is beschreven in paragraaf </w:t>
      </w:r>
      <w:r w:rsidR="00F8549F" w:rsidRPr="00746302">
        <w:rPr>
          <w:rFonts w:ascii="Calibri" w:hAnsi="Calibri"/>
        </w:rPr>
        <w:fldChar w:fldCharType="begin"/>
      </w:r>
      <w:r w:rsidR="00F8549F" w:rsidRPr="00746302">
        <w:rPr>
          <w:rFonts w:ascii="Calibri" w:hAnsi="Calibri"/>
        </w:rPr>
        <w:instrText xml:space="preserve"> REF _Ref39576928 \r \h </w:instrText>
      </w:r>
      <w:r w:rsidR="007575B6" w:rsidRPr="00746302">
        <w:rPr>
          <w:rFonts w:ascii="Calibri" w:hAnsi="Calibri"/>
        </w:rPr>
        <w:instrText xml:space="preserve"> \* MERGEFORMAT </w:instrText>
      </w:r>
      <w:r w:rsidR="00F8549F" w:rsidRPr="00746302">
        <w:rPr>
          <w:rFonts w:ascii="Calibri" w:hAnsi="Calibri"/>
        </w:rPr>
      </w:r>
      <w:r w:rsidR="00F8549F" w:rsidRPr="00746302">
        <w:rPr>
          <w:rFonts w:ascii="Calibri" w:hAnsi="Calibri"/>
        </w:rPr>
        <w:fldChar w:fldCharType="separate"/>
      </w:r>
      <w:r w:rsidR="00964FA9">
        <w:rPr>
          <w:rFonts w:ascii="Calibri" w:hAnsi="Calibri"/>
        </w:rPr>
        <w:t>1.2.1</w:t>
      </w:r>
      <w:r w:rsidR="00F8549F" w:rsidRPr="00746302">
        <w:rPr>
          <w:rFonts w:ascii="Calibri" w:hAnsi="Calibri"/>
        </w:rPr>
        <w:fldChar w:fldCharType="end"/>
      </w:r>
      <w:r w:rsidRPr="00746302">
        <w:rPr>
          <w:rFonts w:ascii="Calibri" w:hAnsi="Calibri"/>
        </w:rPr>
        <w:t xml:space="preserve"> van deze instructie. </w:t>
      </w:r>
    </w:p>
    <w:p w14:paraId="0569CC98" w14:textId="27DC0330" w:rsidR="00EE5CD7" w:rsidRPr="00746302" w:rsidRDefault="00EE5CD7" w:rsidP="00EE5CD7">
      <w:pPr>
        <w:ind w:right="-2"/>
        <w:rPr>
          <w:rFonts w:ascii="Calibri" w:hAnsi="Calibri"/>
        </w:rPr>
      </w:pPr>
      <w:r w:rsidRPr="00746302">
        <w:rPr>
          <w:rFonts w:ascii="Calibri" w:hAnsi="Calibri"/>
        </w:rPr>
        <w:t xml:space="preserve">Het ingevulde ex-post rapporteringsmodel inzake exogene kosten en aanvullende endogene termen dient bovendien te zijn gewaarmerkt door een verslag van feitelijke bevindingen van de commissaris van de distributienetbeheerder, conform de bepalingen in paragraaf </w:t>
      </w:r>
      <w:r w:rsidRPr="00746302">
        <w:rPr>
          <w:rFonts w:ascii="Calibri" w:hAnsi="Calibri"/>
        </w:rPr>
        <w:fldChar w:fldCharType="begin"/>
      </w:r>
      <w:r w:rsidRPr="00746302">
        <w:rPr>
          <w:rFonts w:ascii="Calibri" w:hAnsi="Calibri"/>
        </w:rPr>
        <w:instrText xml:space="preserve"> REF _Ref442793011 \r \h  \* MERGEFORMAT </w:instrText>
      </w:r>
      <w:r w:rsidRPr="00746302">
        <w:rPr>
          <w:rFonts w:ascii="Calibri" w:hAnsi="Calibri"/>
        </w:rPr>
      </w:r>
      <w:r w:rsidRPr="00746302">
        <w:rPr>
          <w:rFonts w:ascii="Calibri" w:hAnsi="Calibri"/>
        </w:rPr>
        <w:fldChar w:fldCharType="separate"/>
      </w:r>
      <w:r w:rsidR="00964FA9">
        <w:rPr>
          <w:rFonts w:ascii="Calibri" w:hAnsi="Calibri"/>
        </w:rPr>
        <w:t>3</w:t>
      </w:r>
      <w:r w:rsidRPr="00746302">
        <w:rPr>
          <w:rFonts w:ascii="Calibri" w:hAnsi="Calibri"/>
        </w:rPr>
        <w:fldChar w:fldCharType="end"/>
      </w:r>
      <w:r w:rsidRPr="00746302">
        <w:rPr>
          <w:rFonts w:ascii="Calibri" w:hAnsi="Calibri"/>
        </w:rPr>
        <w:t>.</w:t>
      </w:r>
    </w:p>
    <w:p w14:paraId="46DA99D7" w14:textId="77777777" w:rsidR="00EE5CD7" w:rsidRPr="00746302" w:rsidRDefault="00EE5CD7" w:rsidP="00EE5CD7">
      <w:pPr>
        <w:pStyle w:val="Kop3"/>
      </w:pPr>
      <w:bookmarkStart w:id="70" w:name="_Ref39576928"/>
      <w:bookmarkStart w:id="71" w:name="_Toc81512458"/>
      <w:r w:rsidRPr="00746302">
        <w:t>Algemene invulinstructie</w:t>
      </w:r>
      <w:bookmarkEnd w:id="70"/>
      <w:bookmarkEnd w:id="71"/>
    </w:p>
    <w:p w14:paraId="4B4CB6E7" w14:textId="77777777" w:rsidR="00EE5CD7" w:rsidRPr="00746302" w:rsidRDefault="00EE5CD7" w:rsidP="00EE5CD7">
      <w:pPr>
        <w:ind w:right="-2"/>
        <w:rPr>
          <w:rFonts w:ascii="Calibri" w:hAnsi="Calibri"/>
        </w:rPr>
      </w:pPr>
      <w:r w:rsidRPr="00746302">
        <w:rPr>
          <w:rFonts w:ascii="Calibri" w:hAnsi="Calibri"/>
        </w:rPr>
        <w:t>De opmaak van de werkbladen en de in het model aangebrachte formules en verwijzingen mogen niet worden verwijderd of gewijzigd. Om die reden werden alle niet-geel gemarkeerde cellen dan ook beveiligd. Alleen de geel gekleurde cellen kunnen dus door de distributienetbeheerder worden ingevuld. De witte, blauwe en gearceerde cellen mogen niet worden ingevuld of gewijzigd, zoals onderstaande legenda ook aangeeft.</w:t>
      </w:r>
    </w:p>
    <w:p w14:paraId="5911A80A" w14:textId="546F7DD1" w:rsidR="00EE5CD7" w:rsidRPr="00746302" w:rsidRDefault="000D1CD5" w:rsidP="00EE5CD7">
      <w:pPr>
        <w:ind w:right="-2"/>
        <w:rPr>
          <w:rFonts w:ascii="Calibri" w:hAnsi="Calibri"/>
        </w:rPr>
      </w:pPr>
      <w:r w:rsidRPr="000D1CD5">
        <w:rPr>
          <w:noProof/>
        </w:rPr>
        <w:lastRenderedPageBreak/>
        <w:drawing>
          <wp:inline distT="0" distB="0" distL="0" distR="0" wp14:anchorId="543A8E65" wp14:editId="17B669F5">
            <wp:extent cx="6061125" cy="998806"/>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18814" cy="1008313"/>
                    </a:xfrm>
                    <a:prstGeom prst="rect">
                      <a:avLst/>
                    </a:prstGeom>
                  </pic:spPr>
                </pic:pic>
              </a:graphicData>
            </a:graphic>
          </wp:inline>
        </w:drawing>
      </w:r>
    </w:p>
    <w:p w14:paraId="15686599" w14:textId="77777777" w:rsidR="00EE5CD7" w:rsidRPr="00746302" w:rsidRDefault="00EE5CD7" w:rsidP="00EE5CD7">
      <w:pPr>
        <w:rPr>
          <w:rFonts w:ascii="Calibri" w:hAnsi="Calibri"/>
        </w:rPr>
      </w:pPr>
      <w:r w:rsidRPr="00746302">
        <w:rPr>
          <w:rFonts w:ascii="Calibri" w:hAnsi="Calibri"/>
        </w:rPr>
        <w:t>Het toevoegen van opmerkingen bij de gegevens is uitsluitend toegestaan aan de hand van een afzonderlijk verklarende nota die aan het rapporteringsmodel moet worden toegevoegd. Indien in de verklarende nota een verwijzing naar gerapporteerde waarden wordt gemaakt, verzoekt de VREG om duidelijk aan te geven naar welke cellen wordt gerefereerd.</w:t>
      </w:r>
    </w:p>
    <w:p w14:paraId="610E4984" w14:textId="77777777" w:rsidR="00EE5CD7" w:rsidRPr="00746302" w:rsidRDefault="00EE5CD7" w:rsidP="00EE5CD7">
      <w:pPr>
        <w:rPr>
          <w:rFonts w:ascii="Calibri" w:hAnsi="Calibri"/>
        </w:rPr>
      </w:pPr>
      <w:r w:rsidRPr="00746302">
        <w:rPr>
          <w:rFonts w:ascii="Calibri" w:hAnsi="Calibri"/>
        </w:rPr>
        <w:t xml:space="preserve">In de volgende paragrafen wordt de invulinstructie verder gedetailleerd en dit voor elke tabel afzonderlijk. Op die manier tracht de VREG zijn referentiekader op een zo volledig mogelijke manier te omschrijven. </w:t>
      </w:r>
    </w:p>
    <w:p w14:paraId="7C2729DC" w14:textId="32924B8C" w:rsidR="00EE5CD7" w:rsidRPr="00746302" w:rsidRDefault="00EE5CD7" w:rsidP="00EE5CD7">
      <w:pPr>
        <w:rPr>
          <w:rFonts w:ascii="Calibri" w:hAnsi="Calibri"/>
        </w:rPr>
      </w:pPr>
      <w:r w:rsidRPr="00746302">
        <w:rPr>
          <w:rFonts w:ascii="Calibri" w:hAnsi="Calibri"/>
        </w:rPr>
        <w:t xml:space="preserve">Voor de gewestgrensoverschrijdende distributienetbeheerders, voor zover nog van toepassing, dient te worden opgemerkt dat het rapporteringsmodel, zowel ex-ante als ex-post, dient te worden ingevuld met louter de beschouwing van het Vlaamse Gewest (zowel voor activa, passiva, kosten als opbrengsten m.b.t. </w:t>
      </w:r>
      <w:r w:rsidR="00900C30">
        <w:rPr>
          <w:rFonts w:ascii="Calibri" w:hAnsi="Calibri"/>
        </w:rPr>
        <w:t>de gereguleerde activiteiten elektriciteit en aardgas</w:t>
      </w:r>
      <w:r w:rsidRPr="00746302">
        <w:rPr>
          <w:rFonts w:ascii="Calibri" w:hAnsi="Calibri"/>
        </w:rPr>
        <w:t xml:space="preserve">), m.a.w. de waarden nà toepassing van de verdeelsleutels die het aandeel van het Vlaamse Gewest en </w:t>
      </w:r>
      <w:r w:rsidR="00900C30">
        <w:rPr>
          <w:rFonts w:ascii="Calibri" w:hAnsi="Calibri"/>
        </w:rPr>
        <w:t xml:space="preserve">overige gewest(en) </w:t>
      </w:r>
      <w:r w:rsidRPr="00746302">
        <w:rPr>
          <w:rFonts w:ascii="Calibri" w:hAnsi="Calibri"/>
        </w:rPr>
        <w:t>onderscheiden.</w:t>
      </w:r>
    </w:p>
    <w:p w14:paraId="057DE61F" w14:textId="77777777" w:rsidR="00EE5CD7" w:rsidRPr="00746302" w:rsidRDefault="00EE5CD7" w:rsidP="00EE5CD7">
      <w:pPr>
        <w:rPr>
          <w:rFonts w:ascii="Calibri" w:hAnsi="Calibri"/>
        </w:rPr>
      </w:pPr>
      <w:r w:rsidRPr="00746302">
        <w:rPr>
          <w:rFonts w:ascii="Calibri" w:hAnsi="Calibri"/>
        </w:rPr>
        <w:t>Indien u nadere vragen heeft over de wijze waarop dit model dient worden ingevuld, kunt u contact opnemen met volgende contactpersonen:</w:t>
      </w:r>
    </w:p>
    <w:p w14:paraId="49F1D6DA" w14:textId="64DE16D8" w:rsidR="00EE5CD7" w:rsidRPr="00746302" w:rsidRDefault="00EE5CD7" w:rsidP="00EE5CD7">
      <w:pPr>
        <w:pStyle w:val="Lijstalinea"/>
        <w:rPr>
          <w:lang w:val="en-GB"/>
        </w:rPr>
      </w:pPr>
      <w:r w:rsidRPr="00746302">
        <w:rPr>
          <w:lang w:val="en-GB"/>
        </w:rPr>
        <w:t xml:space="preserve">Bert Stockman: </w:t>
      </w:r>
      <w:r w:rsidRPr="00746302">
        <w:rPr>
          <w:lang w:val="en-GB"/>
        </w:rPr>
        <w:tab/>
      </w:r>
      <w:r w:rsidRPr="00746302">
        <w:rPr>
          <w:lang w:val="en-GB"/>
        </w:rPr>
        <w:tab/>
      </w:r>
      <w:r w:rsidRPr="00746302">
        <w:rPr>
          <w:lang w:val="en-GB"/>
        </w:rPr>
        <w:tab/>
      </w:r>
      <w:hyperlink r:id="rId15" w:history="1">
        <w:r w:rsidR="00C3170A" w:rsidRPr="00C50B8E">
          <w:rPr>
            <w:rStyle w:val="Hyperlink"/>
            <w:lang w:val="en-GB"/>
          </w:rPr>
          <w:t>bert.stockman@vreg.be</w:t>
        </w:r>
      </w:hyperlink>
      <w:r w:rsidRPr="00746302">
        <w:rPr>
          <w:lang w:val="en-GB"/>
        </w:rPr>
        <w:t xml:space="preserve"> </w:t>
      </w:r>
    </w:p>
    <w:p w14:paraId="5DCC4DBF" w14:textId="77777777" w:rsidR="00EE5CD7" w:rsidRPr="001552D9" w:rsidRDefault="00EE5CD7" w:rsidP="00EE5CD7">
      <w:pPr>
        <w:pStyle w:val="Lijstalinea"/>
      </w:pPr>
      <w:r w:rsidRPr="001552D9">
        <w:t>Jonas De Smit:</w:t>
      </w:r>
      <w:r w:rsidRPr="001552D9">
        <w:tab/>
      </w:r>
      <w:r w:rsidRPr="001552D9">
        <w:tab/>
      </w:r>
      <w:r w:rsidRPr="001552D9">
        <w:tab/>
      </w:r>
      <w:hyperlink r:id="rId16" w:history="1">
        <w:r w:rsidRPr="001552D9">
          <w:rPr>
            <w:rStyle w:val="Hyperlink"/>
          </w:rPr>
          <w:t>jonas.desmit@vreg.be</w:t>
        </w:r>
      </w:hyperlink>
    </w:p>
    <w:p w14:paraId="01CF8F74" w14:textId="77777777" w:rsidR="00EE5CD7" w:rsidRPr="00746302" w:rsidRDefault="00EE5CD7" w:rsidP="00EE5CD7">
      <w:pPr>
        <w:pStyle w:val="Lijstalinea"/>
        <w:rPr>
          <w:lang w:val="en-GB"/>
        </w:rPr>
      </w:pPr>
      <w:r w:rsidRPr="00746302">
        <w:rPr>
          <w:lang w:val="en-GB"/>
        </w:rPr>
        <w:t>Marc Michiels:</w:t>
      </w:r>
      <w:r w:rsidRPr="00746302">
        <w:rPr>
          <w:lang w:val="en-GB"/>
        </w:rPr>
        <w:tab/>
      </w:r>
      <w:r w:rsidRPr="00746302">
        <w:rPr>
          <w:lang w:val="en-GB"/>
        </w:rPr>
        <w:tab/>
      </w:r>
      <w:r w:rsidRPr="00746302">
        <w:rPr>
          <w:lang w:val="en-GB"/>
        </w:rPr>
        <w:tab/>
      </w:r>
      <w:hyperlink r:id="rId17" w:history="1">
        <w:r w:rsidRPr="00746302">
          <w:rPr>
            <w:rStyle w:val="Hyperlink"/>
            <w:lang w:val="en-GB"/>
          </w:rPr>
          <w:t>marc.michiels@vreg.be</w:t>
        </w:r>
      </w:hyperlink>
      <w:r w:rsidRPr="00746302">
        <w:rPr>
          <w:lang w:val="en-GB"/>
        </w:rPr>
        <w:t xml:space="preserve"> </w:t>
      </w:r>
    </w:p>
    <w:p w14:paraId="12BEFA4F" w14:textId="77777777" w:rsidR="00EE5CD7" w:rsidRPr="00746302" w:rsidRDefault="00EE5CD7" w:rsidP="00EE5CD7">
      <w:pPr>
        <w:pStyle w:val="Kop4"/>
      </w:pPr>
      <w:bookmarkStart w:id="72" w:name="_Toc81512459"/>
      <w:r w:rsidRPr="00746302">
        <w:t>TITELBLAD</w:t>
      </w:r>
      <w:bookmarkEnd w:id="72"/>
    </w:p>
    <w:p w14:paraId="43955FC6" w14:textId="77777777" w:rsidR="00EE5CD7" w:rsidRPr="00746302" w:rsidRDefault="00EE5CD7" w:rsidP="00EE5CD7">
      <w:pPr>
        <w:rPr>
          <w:rFonts w:ascii="Calibri" w:hAnsi="Calibri"/>
        </w:rPr>
      </w:pPr>
      <w:r w:rsidRPr="00746302">
        <w:rPr>
          <w:rFonts w:ascii="Calibri" w:hAnsi="Calibri"/>
        </w:rPr>
        <w:t>In het titelblad dient de distributienetbeheerder de volgende velden in te vullen:</w:t>
      </w:r>
    </w:p>
    <w:p w14:paraId="54880CD0" w14:textId="77777777" w:rsidR="00EE5CD7" w:rsidRPr="00746302" w:rsidRDefault="00EE5CD7" w:rsidP="00EE5CD7">
      <w:pPr>
        <w:numPr>
          <w:ilvl w:val="0"/>
          <w:numId w:val="12"/>
        </w:numPr>
        <w:spacing w:before="0" w:line="240" w:lineRule="auto"/>
        <w:jc w:val="both"/>
        <w:rPr>
          <w:rFonts w:ascii="Calibri" w:hAnsi="Calibri"/>
        </w:rPr>
      </w:pPr>
      <w:r w:rsidRPr="00746302">
        <w:rPr>
          <w:rFonts w:ascii="Calibri" w:hAnsi="Calibri"/>
        </w:rPr>
        <w:t>Naam van de distributienetbeheerder</w:t>
      </w:r>
    </w:p>
    <w:p w14:paraId="02607842" w14:textId="77777777" w:rsidR="00EE5CD7" w:rsidRPr="00746302" w:rsidRDefault="00EE5CD7" w:rsidP="00EE5CD7">
      <w:pPr>
        <w:numPr>
          <w:ilvl w:val="0"/>
          <w:numId w:val="12"/>
        </w:numPr>
        <w:spacing w:before="0" w:line="240" w:lineRule="auto"/>
        <w:jc w:val="both"/>
        <w:rPr>
          <w:rFonts w:ascii="Calibri" w:hAnsi="Calibri"/>
        </w:rPr>
      </w:pPr>
      <w:r w:rsidRPr="00746302">
        <w:rPr>
          <w:rFonts w:ascii="Calibri" w:hAnsi="Calibri"/>
        </w:rPr>
        <w:t>Ondernemingsnummer</w:t>
      </w:r>
    </w:p>
    <w:p w14:paraId="49F236A5" w14:textId="77777777" w:rsidR="00EE5CD7" w:rsidRPr="00746302" w:rsidRDefault="00EE5CD7" w:rsidP="00EE5CD7">
      <w:pPr>
        <w:numPr>
          <w:ilvl w:val="0"/>
          <w:numId w:val="12"/>
        </w:numPr>
        <w:spacing w:before="0" w:line="240" w:lineRule="auto"/>
        <w:jc w:val="both"/>
        <w:rPr>
          <w:rFonts w:ascii="Calibri" w:hAnsi="Calibri"/>
        </w:rPr>
      </w:pPr>
      <w:r w:rsidRPr="00746302">
        <w:rPr>
          <w:rFonts w:ascii="Calibri" w:hAnsi="Calibri"/>
        </w:rPr>
        <w:t>Gereguleerde activiteit (distributie van elektriciteit of aardgas)</w:t>
      </w:r>
    </w:p>
    <w:p w14:paraId="6C273A66" w14:textId="77777777" w:rsidR="00EE5CD7" w:rsidRPr="00746302" w:rsidRDefault="00EE5CD7" w:rsidP="00EE5CD7">
      <w:pPr>
        <w:numPr>
          <w:ilvl w:val="0"/>
          <w:numId w:val="12"/>
        </w:numPr>
        <w:spacing w:before="0" w:line="240" w:lineRule="auto"/>
        <w:jc w:val="both"/>
        <w:rPr>
          <w:rFonts w:ascii="Calibri" w:hAnsi="Calibri"/>
        </w:rPr>
      </w:pPr>
      <w:r w:rsidRPr="00746302">
        <w:rPr>
          <w:rFonts w:ascii="Calibri" w:hAnsi="Calibri"/>
        </w:rPr>
        <w:t>Boekjaar waarover wordt gerapporteerd</w:t>
      </w:r>
    </w:p>
    <w:p w14:paraId="37F83F76" w14:textId="77777777" w:rsidR="00EE5CD7" w:rsidRPr="00746302" w:rsidRDefault="00EE5CD7" w:rsidP="00EE5CD7">
      <w:pPr>
        <w:numPr>
          <w:ilvl w:val="0"/>
          <w:numId w:val="12"/>
        </w:numPr>
        <w:spacing w:before="0" w:line="240" w:lineRule="auto"/>
        <w:jc w:val="both"/>
        <w:rPr>
          <w:rFonts w:ascii="Calibri" w:hAnsi="Calibri"/>
        </w:rPr>
      </w:pPr>
      <w:r w:rsidRPr="00746302">
        <w:rPr>
          <w:rFonts w:ascii="Calibri" w:hAnsi="Calibri"/>
        </w:rPr>
        <w:t>Tijdstip van rapportering (ex-ante of ex-post)</w:t>
      </w:r>
    </w:p>
    <w:p w14:paraId="49A754A1" w14:textId="77777777" w:rsidR="00EE5CD7" w:rsidRPr="00746302" w:rsidRDefault="00EE5CD7" w:rsidP="00EE5CD7">
      <w:pPr>
        <w:rPr>
          <w:rFonts w:ascii="Calibri" w:hAnsi="Calibri"/>
        </w:rPr>
      </w:pPr>
      <w:r w:rsidRPr="00746302">
        <w:rPr>
          <w:rFonts w:ascii="Calibri" w:hAnsi="Calibri"/>
        </w:rPr>
        <w:t xml:space="preserve">In de volgende tabellen van het rapporteringsmodel zijn de vergelijkbare velden gelinkt aan dit titelblad. De in deze cellen ingevulde waarden worden in de volgende werkbladen dus automatisch overgenomen. </w:t>
      </w:r>
    </w:p>
    <w:p w14:paraId="33667842" w14:textId="27DA16DD" w:rsidR="00EE5CD7" w:rsidRDefault="00EE5CD7" w:rsidP="00EE5CD7">
      <w:pPr>
        <w:rPr>
          <w:rFonts w:ascii="Calibri" w:hAnsi="Calibri"/>
        </w:rPr>
      </w:pPr>
      <w:r w:rsidRPr="00746302">
        <w:rPr>
          <w:rFonts w:ascii="Calibri" w:hAnsi="Calibri"/>
        </w:rPr>
        <w:t>Verder omvat het titelblad een herhaling van de richtlijnen met betrekking tot het invullen en de interpretatie van het rapporteringsmodel, de legende met betrekking tot de celkleuren en een overzicht van de verschillende tabellen die in het rapporteringsmodel zijn opgenomen.</w:t>
      </w:r>
    </w:p>
    <w:p w14:paraId="7D2058A9" w14:textId="11215F6E" w:rsidR="00EE5CD7" w:rsidRPr="008320F7" w:rsidRDefault="00EE5CD7" w:rsidP="00EE5CD7">
      <w:pPr>
        <w:pStyle w:val="Kop4"/>
      </w:pPr>
      <w:bookmarkStart w:id="73" w:name="_Toc81512460"/>
      <w:r w:rsidRPr="008320F7">
        <w:t>TABEL 1: Resultatenrekening (algemene boekhouding) voor boekjaar 20</w:t>
      </w:r>
      <w:r w:rsidR="006836FF" w:rsidRPr="008320F7">
        <w:t>XX</w:t>
      </w:r>
      <w:r w:rsidRPr="008320F7">
        <w:t xml:space="preserve"> (waarden boekhouding)</w:t>
      </w:r>
      <w:bookmarkEnd w:id="73"/>
    </w:p>
    <w:p w14:paraId="5CF63FAF" w14:textId="66F035B1" w:rsidR="00EE5CD7" w:rsidRPr="008320F7" w:rsidRDefault="00EE5CD7" w:rsidP="00EE5CD7">
      <w:pPr>
        <w:rPr>
          <w:rFonts w:ascii="Calibri" w:hAnsi="Calibri"/>
        </w:rPr>
      </w:pPr>
      <w:r w:rsidRPr="008320F7">
        <w:rPr>
          <w:rFonts w:ascii="Calibri" w:hAnsi="Calibri"/>
        </w:rPr>
        <w:lastRenderedPageBreak/>
        <w:t>In deze tabel rapporteert de distributienetbeheerder de boekhoudkundige waarden van de resultatenrekening voor boekjaar 20</w:t>
      </w:r>
      <w:r w:rsidR="008320F7">
        <w:rPr>
          <w:rFonts w:ascii="Calibri" w:hAnsi="Calibri"/>
        </w:rPr>
        <w:t>XX</w:t>
      </w:r>
      <w:r w:rsidRPr="008320F7">
        <w:rPr>
          <w:rFonts w:ascii="Calibri" w:hAnsi="Calibri"/>
        </w:rPr>
        <w:t>, gesplitst over de verschillende activiteiten (‘netbeheer elektriciteit’, ‘netbeheer gas’ en ‘niet-gereguleerde activiteiten’; waarbij ‘netbeheer elektriciteit’ en ‘netbeheer gas’ verder worden onderverdeeld in endogene kosten/opbrengsten, exogene kosten/opbrengsten, overige kosten/opbrengsten, overdrachten en/of terugnames en niet-gereguleerde activiteiten). De distributienetbeheerder dient deze splitsing op te geven teneinde voor het betreffende boekjaar inzicht te hebben in:</w:t>
      </w:r>
    </w:p>
    <w:p w14:paraId="6DF5F2D0" w14:textId="77777777" w:rsidR="00EE5CD7" w:rsidRPr="008320F7" w:rsidRDefault="00EE5CD7" w:rsidP="00B24526">
      <w:pPr>
        <w:pStyle w:val="Lijstalinea"/>
        <w:ind w:left="851"/>
      </w:pPr>
      <w:r w:rsidRPr="008320F7">
        <w:t>welke kosten en opbrengsten louter betrekking hebben op de uitvoering van de gereguleerde activiteiten in de loop van het boekjaar, en;</w:t>
      </w:r>
    </w:p>
    <w:p w14:paraId="0F711864" w14:textId="77777777" w:rsidR="00EE5CD7" w:rsidRPr="008320F7" w:rsidRDefault="00EE5CD7" w:rsidP="00B24526">
      <w:pPr>
        <w:pStyle w:val="Lijstalinea"/>
        <w:ind w:left="851"/>
      </w:pPr>
      <w:r w:rsidRPr="008320F7">
        <w:t>welke betrekking hebben op:</w:t>
      </w:r>
    </w:p>
    <w:p w14:paraId="00C16D81" w14:textId="77777777" w:rsidR="00EE5CD7" w:rsidRPr="008320F7" w:rsidRDefault="00EE5CD7" w:rsidP="00EE5CD7">
      <w:pPr>
        <w:numPr>
          <w:ilvl w:val="1"/>
          <w:numId w:val="25"/>
        </w:numPr>
        <w:spacing w:before="0" w:line="240" w:lineRule="auto"/>
        <w:jc w:val="both"/>
        <w:rPr>
          <w:rFonts w:ascii="Calibri" w:hAnsi="Calibri"/>
        </w:rPr>
      </w:pPr>
      <w:r w:rsidRPr="008320F7">
        <w:rPr>
          <w:rFonts w:ascii="Calibri" w:hAnsi="Calibri"/>
        </w:rPr>
        <w:t>de niet-gereguleerde activiteiten en</w:t>
      </w:r>
    </w:p>
    <w:p w14:paraId="179291AF" w14:textId="77777777" w:rsidR="00EE5CD7" w:rsidRPr="008320F7" w:rsidRDefault="00EE5CD7" w:rsidP="00EE5CD7">
      <w:pPr>
        <w:numPr>
          <w:ilvl w:val="1"/>
          <w:numId w:val="25"/>
        </w:numPr>
        <w:spacing w:before="0" w:line="240" w:lineRule="auto"/>
        <w:jc w:val="both"/>
        <w:rPr>
          <w:rFonts w:ascii="Calibri" w:hAnsi="Calibri"/>
        </w:rPr>
      </w:pPr>
      <w:r w:rsidRPr="008320F7">
        <w:rPr>
          <w:rFonts w:ascii="Calibri" w:hAnsi="Calibri"/>
        </w:rPr>
        <w:t>de overdrachten en/of terugnames van de regulatoire saldi ontstaan in:</w:t>
      </w:r>
    </w:p>
    <w:p w14:paraId="6CEB934E" w14:textId="77777777" w:rsidR="00EE5CD7" w:rsidRPr="008320F7" w:rsidRDefault="00EE5CD7" w:rsidP="00EE5CD7">
      <w:pPr>
        <w:numPr>
          <w:ilvl w:val="2"/>
          <w:numId w:val="25"/>
        </w:numPr>
        <w:spacing w:before="0" w:line="240" w:lineRule="auto"/>
        <w:jc w:val="both"/>
        <w:rPr>
          <w:rFonts w:ascii="Calibri" w:hAnsi="Calibri"/>
        </w:rPr>
      </w:pPr>
      <w:r w:rsidRPr="008320F7">
        <w:rPr>
          <w:rFonts w:ascii="Calibri" w:hAnsi="Calibri"/>
        </w:rPr>
        <w:t>het huidige boekjaar en/of;</w:t>
      </w:r>
    </w:p>
    <w:p w14:paraId="247F0D8A" w14:textId="77777777" w:rsidR="00EE5CD7" w:rsidRPr="008320F7" w:rsidRDefault="00EE5CD7" w:rsidP="00EE5CD7">
      <w:pPr>
        <w:numPr>
          <w:ilvl w:val="2"/>
          <w:numId w:val="25"/>
        </w:numPr>
        <w:spacing w:before="0" w:line="240" w:lineRule="auto"/>
        <w:jc w:val="both"/>
        <w:rPr>
          <w:rFonts w:ascii="Calibri" w:hAnsi="Calibri"/>
        </w:rPr>
      </w:pPr>
      <w:r w:rsidRPr="008320F7">
        <w:rPr>
          <w:rFonts w:ascii="Calibri" w:hAnsi="Calibri"/>
        </w:rPr>
        <w:t>de vorige boekjaren.</w:t>
      </w:r>
    </w:p>
    <w:p w14:paraId="39371C1C" w14:textId="77777777" w:rsidR="00EE5CD7" w:rsidRPr="008320F7" w:rsidRDefault="00EE5CD7" w:rsidP="00775178">
      <w:pPr>
        <w:ind w:left="1988"/>
        <w:rPr>
          <w:rFonts w:ascii="Calibri" w:hAnsi="Calibri"/>
        </w:rPr>
      </w:pPr>
      <w:r w:rsidRPr="008320F7">
        <w:rPr>
          <w:rFonts w:ascii="Calibri" w:hAnsi="Calibri"/>
        </w:rPr>
        <w:t>Deze overdrachten en/of terugnames dienen in deze tabel als één bedrag te worden gerapporteerd.</w:t>
      </w:r>
    </w:p>
    <w:p w14:paraId="123E21C3" w14:textId="77777777" w:rsidR="00EE5CD7" w:rsidRPr="008320F7" w:rsidRDefault="00EE5CD7" w:rsidP="00EE5CD7">
      <w:pPr>
        <w:rPr>
          <w:rFonts w:ascii="Calibri" w:hAnsi="Calibri"/>
        </w:rPr>
      </w:pPr>
      <w:r w:rsidRPr="008320F7">
        <w:rPr>
          <w:rFonts w:ascii="Calibri" w:hAnsi="Calibri"/>
        </w:rPr>
        <w:t>Deze tabel kan enkel op ex-post basis gerapporteerd worden waarbij de totaalwaarden dienen overeen te komen met de gepubliceerde jaarrekening</w:t>
      </w:r>
      <w:r w:rsidRPr="008320F7">
        <w:rPr>
          <w:rStyle w:val="Voetnootmarkering"/>
          <w:rFonts w:ascii="Calibri" w:hAnsi="Calibri"/>
        </w:rPr>
        <w:footnoteReference w:id="10"/>
      </w:r>
      <w:r w:rsidRPr="008320F7">
        <w:rPr>
          <w:rFonts w:ascii="Calibri" w:hAnsi="Calibri"/>
        </w:rPr>
        <w:t xml:space="preserve">. </w:t>
      </w:r>
    </w:p>
    <w:p w14:paraId="74A1E32B" w14:textId="77777777" w:rsidR="00EE5CD7" w:rsidRPr="008320F7" w:rsidRDefault="00EE5CD7" w:rsidP="00EE5CD7">
      <w:pPr>
        <w:rPr>
          <w:rFonts w:ascii="Calibri" w:hAnsi="Calibri"/>
        </w:rPr>
      </w:pPr>
      <w:r w:rsidRPr="008320F7">
        <w:rPr>
          <w:rFonts w:ascii="Calibri" w:hAnsi="Calibri"/>
        </w:rPr>
        <w:t>Bijkomend kan worden opgemerkt dat zowel voor de kosten (indien debetsaldo) als voor de opbrengsten (indien creditsaldo) positieve waarden moeten worden ingevuld.</w:t>
      </w:r>
    </w:p>
    <w:p w14:paraId="48169F70" w14:textId="52BD790E" w:rsidR="00EE5CD7" w:rsidRPr="00FD0E20" w:rsidRDefault="00EE5CD7" w:rsidP="00EE5CD7">
      <w:pPr>
        <w:pStyle w:val="Kop4"/>
      </w:pPr>
      <w:bookmarkStart w:id="74" w:name="_Toc81512461"/>
      <w:r w:rsidRPr="00FD0E20">
        <w:t>TABEL 2: Algemeen overzicht</w:t>
      </w:r>
      <w:r w:rsidR="00A85DA6">
        <w:t xml:space="preserve"> exogene kosten</w:t>
      </w:r>
      <w:bookmarkEnd w:id="74"/>
    </w:p>
    <w:p w14:paraId="26EF618F" w14:textId="5F6D2CB1" w:rsidR="00EE5CD7" w:rsidRDefault="00EE5CD7" w:rsidP="00EE5CD7">
      <w:pPr>
        <w:rPr>
          <w:rFonts w:ascii="Calibri" w:hAnsi="Calibri"/>
        </w:rPr>
      </w:pPr>
      <w:r w:rsidRPr="00FD0E20">
        <w:rPr>
          <w:rFonts w:ascii="Calibri" w:hAnsi="Calibri"/>
        </w:rPr>
        <w:t>Deze tabel geeft een algemeen overzicht van de gerapporteerde waarden</w:t>
      </w:r>
      <w:r w:rsidR="00A85DA6">
        <w:rPr>
          <w:rFonts w:ascii="Calibri" w:hAnsi="Calibri"/>
        </w:rPr>
        <w:t xml:space="preserve"> inzake exogene kosten</w:t>
      </w:r>
      <w:r w:rsidRPr="00FD0E20">
        <w:rPr>
          <w:rFonts w:ascii="Calibri" w:hAnsi="Calibri"/>
        </w:rPr>
        <w:t xml:space="preserve"> zowel op ex-ante als ex-post basis, opgesplitst per tariefcomponent. De gerapporteerde waarden op ex-ante basis voor boekjaar 20</w:t>
      </w:r>
      <w:r w:rsidR="00BC1CA0">
        <w:rPr>
          <w:rFonts w:ascii="Calibri" w:hAnsi="Calibri"/>
        </w:rPr>
        <w:t>XX</w:t>
      </w:r>
      <w:r w:rsidRPr="00FD0E20">
        <w:rPr>
          <w:rFonts w:ascii="Calibri" w:hAnsi="Calibri"/>
        </w:rPr>
        <w:t xml:space="preserve"> (cfr paragraaf </w:t>
      </w:r>
      <w:r w:rsidR="00BC1CA0">
        <w:rPr>
          <w:rFonts w:ascii="Calibri" w:hAnsi="Calibri"/>
        </w:rPr>
        <w:fldChar w:fldCharType="begin"/>
      </w:r>
      <w:r w:rsidR="00BC1CA0">
        <w:rPr>
          <w:rFonts w:ascii="Calibri" w:hAnsi="Calibri"/>
        </w:rPr>
        <w:instrText xml:space="preserve"> REF _Ref39034915 \r \h </w:instrText>
      </w:r>
      <w:r w:rsidR="00BC1CA0">
        <w:rPr>
          <w:rFonts w:ascii="Calibri" w:hAnsi="Calibri"/>
        </w:rPr>
      </w:r>
      <w:r w:rsidR="00BC1CA0">
        <w:rPr>
          <w:rFonts w:ascii="Calibri" w:hAnsi="Calibri"/>
        </w:rPr>
        <w:fldChar w:fldCharType="separate"/>
      </w:r>
      <w:r w:rsidR="00964FA9">
        <w:rPr>
          <w:rFonts w:ascii="Calibri" w:hAnsi="Calibri"/>
        </w:rPr>
        <w:t>1.2.1.4</w:t>
      </w:r>
      <w:r w:rsidR="00BC1CA0">
        <w:rPr>
          <w:rFonts w:ascii="Calibri" w:hAnsi="Calibri"/>
        </w:rPr>
        <w:fldChar w:fldCharType="end"/>
      </w:r>
      <w:r w:rsidRPr="00FD0E20">
        <w:rPr>
          <w:rFonts w:ascii="Calibri" w:hAnsi="Calibri"/>
        </w:rPr>
        <w:t>) vormen, mits controle en goedkeuring door de VREG, het toegelaten inkomen inzake exogene kosten voor boekjaar 20</w:t>
      </w:r>
      <w:r w:rsidR="00BC1CA0">
        <w:rPr>
          <w:rFonts w:ascii="Calibri" w:hAnsi="Calibri"/>
        </w:rPr>
        <w:t>XX</w:t>
      </w:r>
      <w:r w:rsidRPr="00FD0E20">
        <w:rPr>
          <w:rFonts w:ascii="Calibri" w:hAnsi="Calibri"/>
        </w:rPr>
        <w:t>, hetgeen op haar beurt door de distributienetbeheerder in rekening moet worden genomen bij de opmaak van zijn tariefvoorstel voor boekjaar 20</w:t>
      </w:r>
      <w:r w:rsidR="00BC1CA0">
        <w:rPr>
          <w:rFonts w:ascii="Calibri" w:hAnsi="Calibri"/>
        </w:rPr>
        <w:t>XX</w:t>
      </w:r>
      <w:r w:rsidRPr="00FD0E20">
        <w:rPr>
          <w:rFonts w:ascii="Calibri" w:hAnsi="Calibri"/>
        </w:rPr>
        <w:t xml:space="preserve">, rekening houdende met de opsplitsing per tariefcomponent. </w:t>
      </w:r>
    </w:p>
    <w:p w14:paraId="3C25E881" w14:textId="704F6CF3" w:rsidR="00A91563" w:rsidRDefault="00A91563" w:rsidP="00EE5CD7">
      <w:pPr>
        <w:rPr>
          <w:rFonts w:ascii="Calibri" w:hAnsi="Calibri"/>
        </w:rPr>
      </w:pPr>
      <w:r>
        <w:rPr>
          <w:rFonts w:ascii="Calibri" w:hAnsi="Calibri"/>
        </w:rPr>
        <w:t xml:space="preserve">Vervolgens wordt </w:t>
      </w:r>
      <w:r w:rsidR="00662BEF">
        <w:rPr>
          <w:rFonts w:ascii="Calibri" w:hAnsi="Calibri"/>
        </w:rPr>
        <w:t xml:space="preserve">voor het betreffende boekjaar </w:t>
      </w:r>
      <w:r>
        <w:rPr>
          <w:rFonts w:ascii="Calibri" w:hAnsi="Calibri"/>
        </w:rPr>
        <w:t>in deze tabel</w:t>
      </w:r>
      <w:r w:rsidR="00662BEF">
        <w:rPr>
          <w:rFonts w:ascii="Calibri" w:hAnsi="Calibri"/>
        </w:rPr>
        <w:t>, naast de exogene kosten,</w:t>
      </w:r>
      <w:r>
        <w:rPr>
          <w:rFonts w:ascii="Calibri" w:hAnsi="Calibri"/>
        </w:rPr>
        <w:t xml:space="preserve"> ook </w:t>
      </w:r>
      <w:r w:rsidR="00F37D70">
        <w:rPr>
          <w:rFonts w:ascii="Calibri" w:hAnsi="Calibri"/>
        </w:rPr>
        <w:t xml:space="preserve">per tariefcomponent </w:t>
      </w:r>
      <w:r>
        <w:rPr>
          <w:rFonts w:ascii="Calibri" w:hAnsi="Calibri"/>
        </w:rPr>
        <w:t>een overzi</w:t>
      </w:r>
      <w:r w:rsidR="00F37D70">
        <w:rPr>
          <w:rFonts w:ascii="Calibri" w:hAnsi="Calibri"/>
        </w:rPr>
        <w:t xml:space="preserve">cht opgenomen van de werkelijke ontvangsten uit periodieke distributienettarieven voor exogene kosten en het regulatoir saldo inzake exogene kosten dat daaruit voortvloeit. </w:t>
      </w:r>
    </w:p>
    <w:p w14:paraId="4828506D" w14:textId="77777777" w:rsidR="00EA4789" w:rsidRPr="00EA4789" w:rsidRDefault="000A1130" w:rsidP="00124B59">
      <w:r w:rsidRPr="00EA4789">
        <w:t>[</w:t>
      </w:r>
      <w:r w:rsidR="000759C1" w:rsidRPr="00EA4789">
        <w:t xml:space="preserve">Aangezien </w:t>
      </w:r>
      <w:r w:rsidR="000A5CD6" w:rsidRPr="00EA4789">
        <w:t xml:space="preserve">vanaf 2022H2 een </w:t>
      </w:r>
      <w:r w:rsidR="000759C1" w:rsidRPr="00EA4789">
        <w:t xml:space="preserve">nieuwe tariefstructuur voor de periodieke elektriciteitsdistributienettarieven </w:t>
      </w:r>
      <w:r w:rsidR="002D3DC3" w:rsidRPr="00EA4789">
        <w:t xml:space="preserve">wordt ingevoerd, </w:t>
      </w:r>
      <w:r w:rsidR="007446CF" w:rsidRPr="00EA4789">
        <w:t>wordt</w:t>
      </w:r>
      <w:r w:rsidR="00C95884" w:rsidRPr="00EA4789">
        <w:t xml:space="preserve"> in deze tabel</w:t>
      </w:r>
      <w:r w:rsidR="007446CF" w:rsidRPr="00EA4789">
        <w:t xml:space="preserve"> voor het boekjaar 2022 ook een </w:t>
      </w:r>
      <w:r w:rsidR="004976A2" w:rsidRPr="00EA4789">
        <w:t xml:space="preserve">afzonderlijke </w:t>
      </w:r>
      <w:r w:rsidR="007446CF" w:rsidRPr="00EA4789">
        <w:t xml:space="preserve">opdeling van de ex-ante waarden inzake exogene kosten </w:t>
      </w:r>
      <w:r w:rsidR="00181795" w:rsidRPr="00EA4789">
        <w:t xml:space="preserve">per tariefcomponent </w:t>
      </w:r>
      <w:r w:rsidR="004976A2" w:rsidRPr="00EA4789">
        <w:t xml:space="preserve">volgens de </w:t>
      </w:r>
      <w:r w:rsidR="00246ABF" w:rsidRPr="00EA4789">
        <w:t>tariefstructuur voor 2022H1</w:t>
      </w:r>
      <w:r w:rsidR="004976A2" w:rsidRPr="00EA4789">
        <w:t xml:space="preserve"> </w:t>
      </w:r>
      <w:r w:rsidR="00181795" w:rsidRPr="00EA4789">
        <w:t xml:space="preserve">voorzien. </w:t>
      </w:r>
      <w:r w:rsidR="00710287" w:rsidRPr="00EA4789">
        <w:t xml:space="preserve">Dit laat de distributienetbeheerder toe om zijn tariefvoorstel voor </w:t>
      </w:r>
      <w:r w:rsidR="00576A32" w:rsidRPr="00EA4789">
        <w:t>2022H1</w:t>
      </w:r>
      <w:r w:rsidR="00710287" w:rsidRPr="00EA4789">
        <w:t xml:space="preserve"> op te maken, rekening houdende met de opsplitsing per tariefcomponent volgens de van toepassing zijnde tariefstructuur.</w:t>
      </w:r>
      <w:r w:rsidR="00635E04" w:rsidRPr="00EA4789">
        <w:t xml:space="preserve"> </w:t>
      </w:r>
      <w:r w:rsidR="0086450B" w:rsidRPr="00EA4789">
        <w:t xml:space="preserve">Merk op dat de regulatoire saldi voor het boekjaar 2022 </w:t>
      </w:r>
      <w:r w:rsidR="009D0638" w:rsidRPr="00EA4789">
        <w:t xml:space="preserve">voor de elektriciteitsdistributienetbeheerder </w:t>
      </w:r>
      <w:r w:rsidR="0086450B" w:rsidRPr="00EA4789">
        <w:lastRenderedPageBreak/>
        <w:t xml:space="preserve">worden bepaald o.b.v. de nieuwe tariefstructuur zoals </w:t>
      </w:r>
      <w:r w:rsidR="00576A32" w:rsidRPr="00EA4789">
        <w:t>voor 2022H2</w:t>
      </w:r>
      <w:r w:rsidR="0086450B" w:rsidRPr="00EA4789">
        <w:t xml:space="preserve"> van toepassing, dus ongeacht dat voor </w:t>
      </w:r>
      <w:r w:rsidR="006460C6" w:rsidRPr="00EA4789">
        <w:t xml:space="preserve">2022H1 </w:t>
      </w:r>
      <w:r w:rsidR="0086450B" w:rsidRPr="00EA4789">
        <w:t>nog de voormalige tariefstructuur werd toegepast.</w:t>
      </w:r>
      <w:r w:rsidR="004036DA" w:rsidRPr="00EA4789">
        <w:t>]</w:t>
      </w:r>
      <w:r w:rsidR="004036DA" w:rsidRPr="00EA4789">
        <w:rPr>
          <w:rStyle w:val="Voetnootmarkering"/>
          <w:rFonts w:asciiTheme="majorHAnsi" w:hAnsiTheme="majorHAnsi" w:cstheme="majorHAnsi"/>
        </w:rPr>
        <w:footnoteReference w:id="11"/>
      </w:r>
      <w:bookmarkStart w:id="75" w:name="_Ref39034915"/>
      <w:bookmarkStart w:id="76" w:name="_Ref39065608"/>
      <w:bookmarkStart w:id="77" w:name="_Ref39138140"/>
    </w:p>
    <w:p w14:paraId="487E7008" w14:textId="1D650973" w:rsidR="00EE5CD7" w:rsidRPr="008165CD" w:rsidRDefault="00EE5CD7" w:rsidP="00EE5CD7">
      <w:pPr>
        <w:pStyle w:val="Kop4"/>
      </w:pPr>
      <w:bookmarkStart w:id="78" w:name="_Toc81512462"/>
      <w:r w:rsidRPr="008165CD">
        <w:t>TABEL 3: Detail inzake samenstelling exogene kosten</w:t>
      </w:r>
      <w:bookmarkEnd w:id="75"/>
      <w:bookmarkEnd w:id="76"/>
      <w:bookmarkEnd w:id="77"/>
      <w:bookmarkEnd w:id="78"/>
    </w:p>
    <w:p w14:paraId="14F9EE99" w14:textId="77777777" w:rsidR="0086450B" w:rsidRDefault="00EE5CD7" w:rsidP="00EE5CD7">
      <w:pPr>
        <w:rPr>
          <w:rFonts w:ascii="Calibri" w:hAnsi="Calibri"/>
        </w:rPr>
      </w:pPr>
      <w:r w:rsidRPr="008165CD">
        <w:rPr>
          <w:rFonts w:ascii="Calibri" w:hAnsi="Calibri"/>
        </w:rPr>
        <w:t>In deze tabel wordt een detail gegeven van de verschillende kostenrubrieken die als exogeen worden beschouwd. Deze tabel dient zowel voor de rapportering van de exogene kosten op ex-ante als ex-post basis. Voor de ex-ante rapportering fungeert deze tabel, uiteraard mits controle door de VREG, als basis voor de bepaling van het toegelaten inkomen inzake exogene kosten voor boekjaar 20</w:t>
      </w:r>
      <w:r w:rsidR="008165CD" w:rsidRPr="008165CD">
        <w:rPr>
          <w:rFonts w:ascii="Calibri" w:hAnsi="Calibri"/>
        </w:rPr>
        <w:t>XX</w:t>
      </w:r>
      <w:r w:rsidRPr="008165CD">
        <w:rPr>
          <w:rFonts w:ascii="Calibri" w:hAnsi="Calibri"/>
        </w:rPr>
        <w:t>. Voor de ex-post rapportering resulteert uit deze tabel het regulatoir saldo inzake exogene kosten voor boekjaar 20</w:t>
      </w:r>
      <w:r w:rsidR="008165CD" w:rsidRPr="008165CD">
        <w:rPr>
          <w:rFonts w:ascii="Calibri" w:hAnsi="Calibri"/>
        </w:rPr>
        <w:t>XX</w:t>
      </w:r>
      <w:r w:rsidRPr="008165CD">
        <w:rPr>
          <w:rFonts w:ascii="Calibri" w:hAnsi="Calibri"/>
        </w:rPr>
        <w:t>.</w:t>
      </w:r>
    </w:p>
    <w:p w14:paraId="5BB95DC3" w14:textId="5C6E77E2" w:rsidR="00EE5CD7" w:rsidRPr="003344BD" w:rsidRDefault="00EE5CD7" w:rsidP="00EE5CD7">
      <w:pPr>
        <w:rPr>
          <w:rFonts w:ascii="Calibri" w:hAnsi="Calibri"/>
        </w:rPr>
      </w:pPr>
      <w:r w:rsidRPr="003344BD">
        <w:rPr>
          <w:rFonts w:ascii="Calibri" w:hAnsi="Calibri"/>
        </w:rPr>
        <w:t xml:space="preserve">De distributienetbeheerder moet een waarde rapporteren voor elk van de opgegeven kostenrubrieken. Dit betekent dat er in één specifieke kostenrubriek aldus geen subtotaal </w:t>
      </w:r>
      <w:r w:rsidR="00A70C28">
        <w:rPr>
          <w:rFonts w:ascii="Calibri" w:hAnsi="Calibri"/>
        </w:rPr>
        <w:t xml:space="preserve">van meerdere kostenrubrieken </w:t>
      </w:r>
      <w:r w:rsidRPr="003344BD">
        <w:rPr>
          <w:rFonts w:ascii="Calibri" w:hAnsi="Calibri"/>
        </w:rPr>
        <w:t>kan worden opgenomen.</w:t>
      </w:r>
    </w:p>
    <w:p w14:paraId="714EDB60" w14:textId="77777777" w:rsidR="00EE5CD7" w:rsidRPr="007378B3" w:rsidRDefault="00EE5CD7" w:rsidP="00EE5CD7">
      <w:pPr>
        <w:rPr>
          <w:rFonts w:ascii="Calibri" w:hAnsi="Calibri"/>
        </w:rPr>
      </w:pPr>
      <w:r w:rsidRPr="003344BD">
        <w:rPr>
          <w:rFonts w:ascii="Calibri" w:hAnsi="Calibri"/>
        </w:rPr>
        <w:t xml:space="preserve">Bijkomend wordt opgemerkt dat zowel voor de activa (indien debetsaldo), passiva (indien creditsaldo), kosten (indien debetsaldo) als voor de opbrengsten (indien creditsaldo) positieve </w:t>
      </w:r>
      <w:r w:rsidRPr="007378B3">
        <w:rPr>
          <w:rFonts w:ascii="Calibri" w:hAnsi="Calibri"/>
        </w:rPr>
        <w:t>waarden dienen worden ingevuld, tenzij anders wordt aangegeven in ‘kolom B’ van deze tabel.</w:t>
      </w:r>
    </w:p>
    <w:p w14:paraId="7942F466" w14:textId="4F70C688" w:rsidR="00EE5CD7" w:rsidRPr="007378B3" w:rsidRDefault="00EE5CD7" w:rsidP="00EE5CD7">
      <w:pPr>
        <w:rPr>
          <w:rFonts w:ascii="Calibri" w:hAnsi="Calibri"/>
        </w:rPr>
      </w:pPr>
      <w:r w:rsidRPr="007378B3">
        <w:rPr>
          <w:rFonts w:ascii="Calibri" w:hAnsi="Calibri"/>
        </w:rPr>
        <w:t>Hieronder beschouwt de VREG elk</w:t>
      </w:r>
      <w:r w:rsidR="00EC2ECE">
        <w:rPr>
          <w:rFonts w:ascii="Calibri" w:hAnsi="Calibri"/>
        </w:rPr>
        <w:t xml:space="preserve">e </w:t>
      </w:r>
      <w:r w:rsidRPr="007378B3">
        <w:rPr>
          <w:rFonts w:ascii="Calibri" w:hAnsi="Calibri"/>
        </w:rPr>
        <w:t>kostenrubriek in verder detail:</w:t>
      </w:r>
    </w:p>
    <w:p w14:paraId="18A6D715" w14:textId="5F8F0DFC" w:rsidR="00EE5CD7" w:rsidRPr="007378B3" w:rsidRDefault="00EE5CD7" w:rsidP="00EE5CD7">
      <w:pPr>
        <w:numPr>
          <w:ilvl w:val="0"/>
          <w:numId w:val="13"/>
        </w:numPr>
        <w:spacing w:before="0" w:line="240" w:lineRule="auto"/>
        <w:ind w:left="2127" w:hanging="426"/>
        <w:jc w:val="both"/>
        <w:rPr>
          <w:rFonts w:ascii="Calibri" w:hAnsi="Calibri"/>
        </w:rPr>
      </w:pPr>
      <w:r w:rsidRPr="007378B3">
        <w:rPr>
          <w:rFonts w:ascii="Calibri" w:hAnsi="Calibri"/>
        </w:rPr>
        <w:t xml:space="preserve">Afbouw regulatoir saldo inzake exogene kosten </w:t>
      </w:r>
    </w:p>
    <w:p w14:paraId="5395F501" w14:textId="2C5A912A" w:rsidR="00EE5CD7" w:rsidRPr="007378B3" w:rsidRDefault="00EE5CD7" w:rsidP="00EE5CD7">
      <w:pPr>
        <w:numPr>
          <w:ilvl w:val="1"/>
          <w:numId w:val="13"/>
        </w:numPr>
        <w:spacing w:before="0" w:line="240" w:lineRule="auto"/>
        <w:ind w:left="2694"/>
        <w:jc w:val="both"/>
        <w:rPr>
          <w:rFonts w:ascii="Calibri" w:hAnsi="Calibri"/>
        </w:rPr>
      </w:pPr>
      <w:r w:rsidRPr="007378B3">
        <w:rPr>
          <w:rFonts w:ascii="Calibri" w:hAnsi="Calibri"/>
        </w:rPr>
        <w:t xml:space="preserve">Op basis van de automatisch berekende waarden in ‘tabel 4B’ (cfr paragraaf </w:t>
      </w:r>
      <w:r w:rsidR="00A72240" w:rsidRPr="007378B3">
        <w:rPr>
          <w:rFonts w:ascii="Calibri" w:hAnsi="Calibri"/>
        </w:rPr>
        <w:fldChar w:fldCharType="begin"/>
      </w:r>
      <w:r w:rsidR="00A72240" w:rsidRPr="007378B3">
        <w:rPr>
          <w:rFonts w:ascii="Calibri" w:hAnsi="Calibri"/>
        </w:rPr>
        <w:instrText xml:space="preserve"> REF _Ref39040195 \r \h </w:instrText>
      </w:r>
      <w:r w:rsidR="007378B3">
        <w:rPr>
          <w:rFonts w:ascii="Calibri" w:hAnsi="Calibri"/>
        </w:rPr>
        <w:instrText xml:space="preserve"> \* MERGEFORMAT </w:instrText>
      </w:r>
      <w:r w:rsidR="00A72240" w:rsidRPr="007378B3">
        <w:rPr>
          <w:rFonts w:ascii="Calibri" w:hAnsi="Calibri"/>
        </w:rPr>
      </w:r>
      <w:r w:rsidR="00A72240" w:rsidRPr="007378B3">
        <w:rPr>
          <w:rFonts w:ascii="Calibri" w:hAnsi="Calibri"/>
        </w:rPr>
        <w:fldChar w:fldCharType="separate"/>
      </w:r>
      <w:r w:rsidR="00964FA9">
        <w:rPr>
          <w:rFonts w:ascii="Calibri" w:hAnsi="Calibri"/>
        </w:rPr>
        <w:t>1.2.1.6</w:t>
      </w:r>
      <w:r w:rsidR="00A72240" w:rsidRPr="007378B3">
        <w:rPr>
          <w:rFonts w:ascii="Calibri" w:hAnsi="Calibri"/>
        </w:rPr>
        <w:fldChar w:fldCharType="end"/>
      </w:r>
      <w:r w:rsidRPr="007378B3">
        <w:rPr>
          <w:rFonts w:ascii="Calibri" w:hAnsi="Calibri"/>
        </w:rPr>
        <w:t>) worden voor deze rubriek de waarden automatisch aangevuld per tariefcomponent.</w:t>
      </w:r>
    </w:p>
    <w:p w14:paraId="3CA4DA90" w14:textId="627A1486" w:rsidR="00EE5CD7" w:rsidRPr="007378B3" w:rsidRDefault="00EE5CD7" w:rsidP="00EE5CD7">
      <w:pPr>
        <w:numPr>
          <w:ilvl w:val="0"/>
          <w:numId w:val="13"/>
        </w:numPr>
        <w:spacing w:before="0" w:line="240" w:lineRule="auto"/>
        <w:ind w:left="2127" w:hanging="426"/>
        <w:jc w:val="both"/>
        <w:rPr>
          <w:rFonts w:ascii="Calibri" w:hAnsi="Calibri"/>
        </w:rPr>
      </w:pPr>
      <w:r w:rsidRPr="007378B3">
        <w:rPr>
          <w:rFonts w:ascii="Calibri" w:hAnsi="Calibri"/>
        </w:rPr>
        <w:t xml:space="preserve">Afbouw regulatoir saldo inzake </w:t>
      </w:r>
      <w:r w:rsidR="00A72240" w:rsidRPr="007378B3">
        <w:rPr>
          <w:rFonts w:ascii="Calibri" w:hAnsi="Calibri"/>
        </w:rPr>
        <w:t>volumerisico endogeen budget</w:t>
      </w:r>
      <w:r w:rsidRPr="007378B3">
        <w:rPr>
          <w:rFonts w:ascii="Calibri" w:hAnsi="Calibri"/>
        </w:rPr>
        <w:t xml:space="preserve"> </w:t>
      </w:r>
    </w:p>
    <w:p w14:paraId="1B618E2C" w14:textId="241F839F" w:rsidR="00EE5CD7" w:rsidRPr="007378B3" w:rsidRDefault="00EE5CD7" w:rsidP="00EE5CD7">
      <w:pPr>
        <w:numPr>
          <w:ilvl w:val="1"/>
          <w:numId w:val="13"/>
        </w:numPr>
        <w:spacing w:before="0" w:line="240" w:lineRule="auto"/>
        <w:ind w:left="2694"/>
        <w:jc w:val="both"/>
        <w:rPr>
          <w:rFonts w:ascii="Calibri" w:hAnsi="Calibri"/>
        </w:rPr>
      </w:pPr>
      <w:r w:rsidRPr="007378B3">
        <w:rPr>
          <w:rFonts w:ascii="Calibri" w:hAnsi="Calibri"/>
        </w:rPr>
        <w:t>Op basis van de automatisch berekende waarden in ‘tabel 5B’ (cfr paragraaf</w:t>
      </w:r>
      <w:r w:rsidR="0065015C">
        <w:rPr>
          <w:rFonts w:ascii="Calibri" w:hAnsi="Calibri"/>
        </w:rPr>
        <w:t xml:space="preserve"> </w:t>
      </w:r>
      <w:r w:rsidR="0065015C">
        <w:rPr>
          <w:rFonts w:ascii="Calibri" w:hAnsi="Calibri"/>
        </w:rPr>
        <w:fldChar w:fldCharType="begin"/>
      </w:r>
      <w:r w:rsidR="0065015C">
        <w:rPr>
          <w:rFonts w:ascii="Calibri" w:hAnsi="Calibri"/>
        </w:rPr>
        <w:instrText xml:space="preserve"> REF _Ref39040235 \r \h </w:instrText>
      </w:r>
      <w:r w:rsidR="0065015C">
        <w:rPr>
          <w:rFonts w:ascii="Calibri" w:hAnsi="Calibri"/>
        </w:rPr>
      </w:r>
      <w:r w:rsidR="0065015C">
        <w:rPr>
          <w:rFonts w:ascii="Calibri" w:hAnsi="Calibri"/>
        </w:rPr>
        <w:fldChar w:fldCharType="separate"/>
      </w:r>
      <w:r w:rsidR="00964FA9">
        <w:rPr>
          <w:rFonts w:ascii="Calibri" w:hAnsi="Calibri"/>
        </w:rPr>
        <w:t>1.2.1.8</w:t>
      </w:r>
      <w:r w:rsidR="0065015C">
        <w:rPr>
          <w:rFonts w:ascii="Calibri" w:hAnsi="Calibri"/>
        </w:rPr>
        <w:fldChar w:fldCharType="end"/>
      </w:r>
      <w:r w:rsidRPr="007378B3">
        <w:rPr>
          <w:rFonts w:ascii="Calibri" w:hAnsi="Calibri"/>
        </w:rPr>
        <w:t>) worden voor deze rubriek de waarden automatisch aangevuld per tariefcomponent.</w:t>
      </w:r>
    </w:p>
    <w:p w14:paraId="0897E8E2" w14:textId="77777777" w:rsidR="00EE5CD7" w:rsidRPr="007378B3" w:rsidRDefault="00EE5CD7" w:rsidP="00EE5CD7">
      <w:pPr>
        <w:numPr>
          <w:ilvl w:val="0"/>
          <w:numId w:val="13"/>
        </w:numPr>
        <w:spacing w:before="0" w:line="240" w:lineRule="auto"/>
        <w:ind w:left="2127" w:hanging="426"/>
        <w:jc w:val="both"/>
        <w:rPr>
          <w:rFonts w:ascii="Calibri" w:hAnsi="Calibri"/>
        </w:rPr>
      </w:pPr>
      <w:r w:rsidRPr="007378B3">
        <w:rPr>
          <w:rFonts w:ascii="Calibri" w:hAnsi="Calibri"/>
        </w:rPr>
        <w:t>Afbouw regulatoir saldo inzake herindexering van het budget voor endogene kosten</w:t>
      </w:r>
    </w:p>
    <w:p w14:paraId="46CDD0BC" w14:textId="4637DE04" w:rsidR="00EE5CD7" w:rsidRPr="007378B3" w:rsidRDefault="00EE5CD7" w:rsidP="00EE5CD7">
      <w:pPr>
        <w:numPr>
          <w:ilvl w:val="1"/>
          <w:numId w:val="13"/>
        </w:numPr>
        <w:spacing w:before="0" w:line="240" w:lineRule="auto"/>
        <w:ind w:left="2694"/>
        <w:jc w:val="both"/>
        <w:rPr>
          <w:rFonts w:ascii="Calibri" w:hAnsi="Calibri"/>
        </w:rPr>
      </w:pPr>
      <w:r w:rsidRPr="007378B3">
        <w:rPr>
          <w:rFonts w:ascii="Calibri" w:hAnsi="Calibri"/>
        </w:rPr>
        <w:t xml:space="preserve">Op basis van de automatisch berekende waarden in ‘tabel 6B’ (cfr paragraaf </w:t>
      </w:r>
      <w:r w:rsidR="00FA1BAA" w:rsidRPr="007378B3">
        <w:rPr>
          <w:rFonts w:ascii="Calibri" w:hAnsi="Calibri"/>
        </w:rPr>
        <w:fldChar w:fldCharType="begin"/>
      </w:r>
      <w:r w:rsidR="00FA1BAA" w:rsidRPr="007378B3">
        <w:rPr>
          <w:rFonts w:ascii="Calibri" w:hAnsi="Calibri"/>
        </w:rPr>
        <w:instrText xml:space="preserve"> REF _Ref39040434 \r \h </w:instrText>
      </w:r>
      <w:r w:rsidR="007378B3">
        <w:rPr>
          <w:rFonts w:ascii="Calibri" w:hAnsi="Calibri"/>
        </w:rPr>
        <w:instrText xml:space="preserve"> \* MERGEFORMAT </w:instrText>
      </w:r>
      <w:r w:rsidR="00FA1BAA" w:rsidRPr="007378B3">
        <w:rPr>
          <w:rFonts w:ascii="Calibri" w:hAnsi="Calibri"/>
        </w:rPr>
      </w:r>
      <w:r w:rsidR="00FA1BAA" w:rsidRPr="007378B3">
        <w:rPr>
          <w:rFonts w:ascii="Calibri" w:hAnsi="Calibri"/>
        </w:rPr>
        <w:fldChar w:fldCharType="separate"/>
      </w:r>
      <w:r w:rsidR="00964FA9">
        <w:rPr>
          <w:rFonts w:ascii="Calibri" w:hAnsi="Calibri"/>
        </w:rPr>
        <w:t>1.2.1.14</w:t>
      </w:r>
      <w:r w:rsidR="00FA1BAA" w:rsidRPr="007378B3">
        <w:rPr>
          <w:rFonts w:ascii="Calibri" w:hAnsi="Calibri"/>
        </w:rPr>
        <w:fldChar w:fldCharType="end"/>
      </w:r>
      <w:r w:rsidRPr="007378B3">
        <w:rPr>
          <w:rFonts w:ascii="Calibri" w:hAnsi="Calibri"/>
        </w:rPr>
        <w:t xml:space="preserve">) worden voor deze rubriek de waarden automatisch aangevuld per tariefcomponent. </w:t>
      </w:r>
    </w:p>
    <w:p w14:paraId="60CDA3B2" w14:textId="77777777" w:rsidR="00EE5CD7" w:rsidRPr="007378B3" w:rsidRDefault="00EE5CD7" w:rsidP="00EE5CD7">
      <w:pPr>
        <w:numPr>
          <w:ilvl w:val="0"/>
          <w:numId w:val="13"/>
        </w:numPr>
        <w:spacing w:before="0" w:line="240" w:lineRule="auto"/>
        <w:ind w:left="2127" w:hanging="426"/>
        <w:jc w:val="both"/>
        <w:rPr>
          <w:rFonts w:ascii="Calibri" w:hAnsi="Calibri"/>
        </w:rPr>
      </w:pPr>
      <w:r w:rsidRPr="007378B3">
        <w:rPr>
          <w:rFonts w:ascii="Calibri" w:hAnsi="Calibri"/>
        </w:rPr>
        <w:t>Afbouw regulatoir saldo inzake vennootschapsbelasting</w:t>
      </w:r>
    </w:p>
    <w:p w14:paraId="4C0DD6FA" w14:textId="1968ACD5" w:rsidR="00EE5CD7" w:rsidRPr="007378B3" w:rsidRDefault="00EE5CD7" w:rsidP="00EE5CD7">
      <w:pPr>
        <w:numPr>
          <w:ilvl w:val="1"/>
          <w:numId w:val="13"/>
        </w:numPr>
        <w:spacing w:before="0" w:line="240" w:lineRule="auto"/>
        <w:ind w:left="2694"/>
        <w:jc w:val="both"/>
        <w:rPr>
          <w:rFonts w:ascii="Calibri" w:hAnsi="Calibri"/>
        </w:rPr>
      </w:pPr>
      <w:r w:rsidRPr="007378B3">
        <w:rPr>
          <w:rFonts w:ascii="Calibri" w:hAnsi="Calibri"/>
        </w:rPr>
        <w:t xml:space="preserve">Op basis van de automatisch berekende waarden in ‘tabel 7’ (cfr paragraaf </w:t>
      </w:r>
      <w:r w:rsidR="00FA1BAA" w:rsidRPr="007378B3">
        <w:rPr>
          <w:rFonts w:ascii="Calibri" w:hAnsi="Calibri"/>
        </w:rPr>
        <w:fldChar w:fldCharType="begin"/>
      </w:r>
      <w:r w:rsidR="00FA1BAA" w:rsidRPr="007378B3">
        <w:rPr>
          <w:rFonts w:ascii="Calibri" w:hAnsi="Calibri"/>
        </w:rPr>
        <w:instrText xml:space="preserve"> REF _Ref39040449 \r \h </w:instrText>
      </w:r>
      <w:r w:rsidR="007378B3">
        <w:rPr>
          <w:rFonts w:ascii="Calibri" w:hAnsi="Calibri"/>
        </w:rPr>
        <w:instrText xml:space="preserve"> \* MERGEFORMAT </w:instrText>
      </w:r>
      <w:r w:rsidR="00FA1BAA" w:rsidRPr="007378B3">
        <w:rPr>
          <w:rFonts w:ascii="Calibri" w:hAnsi="Calibri"/>
        </w:rPr>
      </w:r>
      <w:r w:rsidR="00FA1BAA" w:rsidRPr="007378B3">
        <w:rPr>
          <w:rFonts w:ascii="Calibri" w:hAnsi="Calibri"/>
        </w:rPr>
        <w:fldChar w:fldCharType="separate"/>
      </w:r>
      <w:r w:rsidR="00964FA9">
        <w:rPr>
          <w:rFonts w:ascii="Calibri" w:hAnsi="Calibri"/>
        </w:rPr>
        <w:t>1.2.1.15</w:t>
      </w:r>
      <w:r w:rsidR="00FA1BAA" w:rsidRPr="007378B3">
        <w:rPr>
          <w:rFonts w:ascii="Calibri" w:hAnsi="Calibri"/>
        </w:rPr>
        <w:fldChar w:fldCharType="end"/>
      </w:r>
      <w:r w:rsidRPr="007378B3">
        <w:rPr>
          <w:rFonts w:ascii="Calibri" w:hAnsi="Calibri"/>
        </w:rPr>
        <w:fldChar w:fldCharType="begin"/>
      </w:r>
      <w:r w:rsidRPr="007378B3">
        <w:rPr>
          <w:rFonts w:ascii="Calibri" w:hAnsi="Calibri"/>
        </w:rPr>
        <w:instrText xml:space="preserve"> REF _Ref445451593 \r \h  \* MERGEFORMAT </w:instrText>
      </w:r>
      <w:r w:rsidRPr="007378B3">
        <w:rPr>
          <w:rFonts w:ascii="Calibri" w:hAnsi="Calibri"/>
        </w:rPr>
      </w:r>
      <w:r w:rsidRPr="007378B3">
        <w:rPr>
          <w:rFonts w:ascii="Calibri" w:hAnsi="Calibri"/>
        </w:rPr>
        <w:fldChar w:fldCharType="separate"/>
      </w:r>
      <w:r w:rsidR="00964FA9">
        <w:rPr>
          <w:rFonts w:ascii="Calibri" w:hAnsi="Calibri"/>
        </w:rPr>
        <w:t>1.1.1.16</w:t>
      </w:r>
      <w:r w:rsidRPr="007378B3">
        <w:rPr>
          <w:rFonts w:ascii="Calibri" w:hAnsi="Calibri"/>
        </w:rPr>
        <w:fldChar w:fldCharType="end"/>
      </w:r>
      <w:r w:rsidRPr="007378B3">
        <w:rPr>
          <w:rFonts w:ascii="Calibri" w:hAnsi="Calibri"/>
        </w:rPr>
        <w:t xml:space="preserve">) wordt voor deze rubriek de waarde automatisch aangevuld. </w:t>
      </w:r>
      <w:r w:rsidR="0004236D" w:rsidRPr="007378B3">
        <w:rPr>
          <w:rFonts w:ascii="Calibri" w:hAnsi="Calibri"/>
        </w:rPr>
        <w:t>De</w:t>
      </w:r>
      <w:r w:rsidRPr="007378B3">
        <w:rPr>
          <w:rFonts w:ascii="Calibri" w:hAnsi="Calibri"/>
        </w:rPr>
        <w:t xml:space="preserve"> kosten inzake vennootschapsbelasting </w:t>
      </w:r>
      <w:r w:rsidR="0004236D" w:rsidRPr="007378B3">
        <w:rPr>
          <w:rFonts w:ascii="Calibri" w:hAnsi="Calibri"/>
        </w:rPr>
        <w:t xml:space="preserve">worden voor de gereguleerde activiteit elektriciteit </w:t>
      </w:r>
      <w:r w:rsidRPr="007378B3">
        <w:rPr>
          <w:rFonts w:ascii="Calibri" w:hAnsi="Calibri"/>
        </w:rPr>
        <w:t xml:space="preserve">integraal toegewezen aan het </w:t>
      </w:r>
      <w:r w:rsidR="0004236D" w:rsidRPr="007378B3">
        <w:rPr>
          <w:rFonts w:ascii="Calibri" w:hAnsi="Calibri"/>
        </w:rPr>
        <w:t>tarief netgebruik</w:t>
      </w:r>
      <w:r w:rsidR="00547562" w:rsidRPr="007378B3">
        <w:rPr>
          <w:rFonts w:ascii="Calibri" w:hAnsi="Calibri"/>
        </w:rPr>
        <w:t xml:space="preserve"> en voor de gereguleerde activiteit aardgas aan het</w:t>
      </w:r>
      <w:r w:rsidR="0004236D" w:rsidRPr="007378B3">
        <w:rPr>
          <w:rFonts w:ascii="Calibri" w:hAnsi="Calibri"/>
        </w:rPr>
        <w:t xml:space="preserve"> </w:t>
      </w:r>
      <w:r w:rsidRPr="007378B3">
        <w:rPr>
          <w:rFonts w:ascii="Calibri" w:hAnsi="Calibri"/>
        </w:rPr>
        <w:t>basistarief voor het gebruik van het net</w:t>
      </w:r>
      <w:r w:rsidR="00547562" w:rsidRPr="007378B3">
        <w:rPr>
          <w:rFonts w:ascii="Calibri" w:hAnsi="Calibri"/>
        </w:rPr>
        <w:t>,</w:t>
      </w:r>
      <w:r w:rsidRPr="007378B3">
        <w:rPr>
          <w:rFonts w:ascii="Calibri" w:hAnsi="Calibri"/>
        </w:rPr>
        <w:t xml:space="preserve"> waardoor ook de afbouw van dit saldo integraal </w:t>
      </w:r>
      <w:r w:rsidR="00547562" w:rsidRPr="007378B3">
        <w:rPr>
          <w:rFonts w:ascii="Calibri" w:hAnsi="Calibri"/>
        </w:rPr>
        <w:t xml:space="preserve">hieraan </w:t>
      </w:r>
      <w:r w:rsidRPr="007378B3">
        <w:rPr>
          <w:rFonts w:ascii="Calibri" w:hAnsi="Calibri"/>
        </w:rPr>
        <w:t xml:space="preserve">wordt toegewezen. </w:t>
      </w:r>
    </w:p>
    <w:p w14:paraId="49FD2390" w14:textId="77777777" w:rsidR="00EE5CD7" w:rsidRPr="007378B3" w:rsidRDefault="00EE5CD7" w:rsidP="00EE5CD7">
      <w:pPr>
        <w:numPr>
          <w:ilvl w:val="0"/>
          <w:numId w:val="13"/>
        </w:numPr>
        <w:spacing w:before="0" w:line="240" w:lineRule="auto"/>
        <w:ind w:left="2127" w:hanging="426"/>
        <w:jc w:val="both"/>
        <w:rPr>
          <w:rFonts w:ascii="Calibri" w:hAnsi="Calibri"/>
        </w:rPr>
      </w:pPr>
      <w:r w:rsidRPr="007378B3">
        <w:rPr>
          <w:rFonts w:ascii="Calibri" w:hAnsi="Calibri"/>
        </w:rPr>
        <w:t>Afbouw regulatoir saldo inzake herwaarderingsmeerwaarden</w:t>
      </w:r>
    </w:p>
    <w:p w14:paraId="0F4A36FD" w14:textId="2C0FC68C" w:rsidR="00EE5CD7" w:rsidRPr="007378B3" w:rsidRDefault="00EE5CD7" w:rsidP="00EE5CD7">
      <w:pPr>
        <w:numPr>
          <w:ilvl w:val="1"/>
          <w:numId w:val="13"/>
        </w:numPr>
        <w:spacing w:before="0" w:line="240" w:lineRule="auto"/>
        <w:ind w:left="2694"/>
        <w:jc w:val="both"/>
        <w:rPr>
          <w:rFonts w:ascii="Calibri" w:hAnsi="Calibri"/>
        </w:rPr>
      </w:pPr>
      <w:r w:rsidRPr="007378B3">
        <w:rPr>
          <w:rFonts w:ascii="Calibri" w:hAnsi="Calibri"/>
        </w:rPr>
        <w:t>Op basis van de automatisch berekende waarden in ‘tabel 8’ (cfr paragraaf</w:t>
      </w:r>
      <w:r w:rsidR="000C7FA0" w:rsidRPr="007378B3">
        <w:rPr>
          <w:rFonts w:ascii="Calibri" w:hAnsi="Calibri"/>
        </w:rPr>
        <w:t xml:space="preserve"> </w:t>
      </w:r>
      <w:r w:rsidR="000C7FA0" w:rsidRPr="007378B3">
        <w:rPr>
          <w:rFonts w:ascii="Calibri" w:hAnsi="Calibri"/>
        </w:rPr>
        <w:fldChar w:fldCharType="begin"/>
      </w:r>
      <w:r w:rsidR="000C7FA0" w:rsidRPr="007378B3">
        <w:rPr>
          <w:rFonts w:ascii="Calibri" w:hAnsi="Calibri"/>
        </w:rPr>
        <w:instrText xml:space="preserve"> REF _Ref39040740 \r \h </w:instrText>
      </w:r>
      <w:r w:rsidR="007378B3">
        <w:rPr>
          <w:rFonts w:ascii="Calibri" w:hAnsi="Calibri"/>
        </w:rPr>
        <w:instrText xml:space="preserve"> \* MERGEFORMAT </w:instrText>
      </w:r>
      <w:r w:rsidR="000C7FA0" w:rsidRPr="007378B3">
        <w:rPr>
          <w:rFonts w:ascii="Calibri" w:hAnsi="Calibri"/>
        </w:rPr>
      </w:r>
      <w:r w:rsidR="000C7FA0" w:rsidRPr="007378B3">
        <w:rPr>
          <w:rFonts w:ascii="Calibri" w:hAnsi="Calibri"/>
        </w:rPr>
        <w:fldChar w:fldCharType="separate"/>
      </w:r>
      <w:r w:rsidR="00964FA9">
        <w:rPr>
          <w:rFonts w:ascii="Calibri" w:hAnsi="Calibri"/>
        </w:rPr>
        <w:t>1.2.1.16</w:t>
      </w:r>
      <w:r w:rsidR="000C7FA0" w:rsidRPr="007378B3">
        <w:rPr>
          <w:rFonts w:ascii="Calibri" w:hAnsi="Calibri"/>
        </w:rPr>
        <w:fldChar w:fldCharType="end"/>
      </w:r>
      <w:r w:rsidRPr="007378B3">
        <w:rPr>
          <w:rFonts w:ascii="Calibri" w:hAnsi="Calibri"/>
        </w:rPr>
        <w:t xml:space="preserve">) worden voor deze rubriek de waarden automatisch aangevuld. Aangezien de kosten inzake herwaarderingsmeerwaarden (afschrijvingen en kapitaalkostvergoeding) </w:t>
      </w:r>
      <w:r w:rsidR="00A574FD" w:rsidRPr="007378B3">
        <w:rPr>
          <w:rFonts w:ascii="Calibri" w:hAnsi="Calibri"/>
        </w:rPr>
        <w:t xml:space="preserve">voor de gereguleerde activiteit elektriciteit </w:t>
      </w:r>
      <w:r w:rsidR="00A574FD" w:rsidRPr="007378B3">
        <w:rPr>
          <w:rFonts w:ascii="Calibri" w:hAnsi="Calibri"/>
        </w:rPr>
        <w:lastRenderedPageBreak/>
        <w:t>integraal aan het tarief netgebruik en voor de gereguleerde activiteit aardgas aan het basistarief voor het gebruik van het net</w:t>
      </w:r>
      <w:r w:rsidR="00A70F0C" w:rsidRPr="007378B3">
        <w:rPr>
          <w:rFonts w:ascii="Calibri" w:hAnsi="Calibri"/>
        </w:rPr>
        <w:t xml:space="preserve"> worden toegewezen</w:t>
      </w:r>
      <w:r w:rsidR="00A574FD" w:rsidRPr="007378B3">
        <w:rPr>
          <w:rFonts w:ascii="Calibri" w:hAnsi="Calibri"/>
        </w:rPr>
        <w:t xml:space="preserve">, </w:t>
      </w:r>
      <w:r w:rsidR="00A70F0C" w:rsidRPr="007378B3">
        <w:rPr>
          <w:rFonts w:ascii="Calibri" w:hAnsi="Calibri"/>
        </w:rPr>
        <w:t xml:space="preserve">wordt </w:t>
      </w:r>
      <w:r w:rsidR="00A574FD" w:rsidRPr="007378B3">
        <w:rPr>
          <w:rFonts w:ascii="Calibri" w:hAnsi="Calibri"/>
        </w:rPr>
        <w:t>ook de afbouw van dit saldo integraal hieraan toegewezen</w:t>
      </w:r>
      <w:r w:rsidRPr="007378B3">
        <w:rPr>
          <w:rFonts w:ascii="Calibri" w:hAnsi="Calibri"/>
        </w:rPr>
        <w:t>.  Hierbij kan slechts vanaf het toegelaten inkomen voor boekjaar 2023 een afbouw in rekening worden genomen aangezien dit saldo pas vanaf boekjaar 2021 tot stand komt.</w:t>
      </w:r>
    </w:p>
    <w:p w14:paraId="34917EEB" w14:textId="77777777" w:rsidR="002F7AA5" w:rsidRPr="006347A8" w:rsidRDefault="002F7AA5" w:rsidP="002F7AA5">
      <w:pPr>
        <w:numPr>
          <w:ilvl w:val="0"/>
          <w:numId w:val="13"/>
        </w:numPr>
        <w:spacing w:before="0" w:line="240" w:lineRule="auto"/>
        <w:ind w:left="2127" w:hanging="426"/>
        <w:jc w:val="both"/>
        <w:rPr>
          <w:rFonts w:ascii="Calibri" w:hAnsi="Calibri"/>
        </w:rPr>
      </w:pPr>
      <w:r w:rsidRPr="00AF5FA9">
        <w:rPr>
          <w:rFonts w:ascii="Calibri" w:hAnsi="Calibri"/>
        </w:rPr>
        <w:t xml:space="preserve">Kost m.b.t. de door Elia aan de distributienetbeheerder aangerekende vergoeding voor het gebruik van het transmissienet, </w:t>
      </w:r>
      <w:r w:rsidRPr="00AF5FA9">
        <w:rPr>
          <w:rFonts w:ascii="Calibri" w:hAnsi="Calibri"/>
          <w:b/>
        </w:rPr>
        <w:t>exclusief</w:t>
      </w:r>
      <w:r w:rsidRPr="00AF5FA9">
        <w:rPr>
          <w:rFonts w:ascii="Calibri" w:hAnsi="Calibri"/>
        </w:rPr>
        <w:t xml:space="preserve"> de kosten </w:t>
      </w:r>
      <w:r w:rsidRPr="006347A8">
        <w:rPr>
          <w:rFonts w:ascii="Calibri" w:hAnsi="Calibri"/>
        </w:rPr>
        <w:t>voor federale bijdrage elektriciteit</w:t>
      </w:r>
    </w:p>
    <w:p w14:paraId="4CBECABC" w14:textId="5CC5BCFC" w:rsidR="002F7AA5" w:rsidRDefault="002F7AA5" w:rsidP="002F7AA5">
      <w:pPr>
        <w:numPr>
          <w:ilvl w:val="1"/>
          <w:numId w:val="13"/>
        </w:numPr>
        <w:spacing w:before="0" w:line="240" w:lineRule="auto"/>
        <w:ind w:left="2694"/>
        <w:jc w:val="both"/>
        <w:rPr>
          <w:rFonts w:ascii="Calibri" w:hAnsi="Calibri"/>
        </w:rPr>
      </w:pPr>
      <w:r w:rsidRPr="006347A8">
        <w:rPr>
          <w:rFonts w:ascii="Calibri" w:hAnsi="Calibri"/>
        </w:rPr>
        <w:t>De elektriciteitsdistributienetbeheerder dient hierbij per tariefcomponent voor transmissie een afzonderlijke waarde te rapporteren</w:t>
      </w:r>
      <w:r w:rsidR="00500E5E">
        <w:rPr>
          <w:rFonts w:ascii="Calibri" w:hAnsi="Calibri"/>
        </w:rPr>
        <w:t xml:space="preserve">, </w:t>
      </w:r>
      <w:r w:rsidR="008A3186">
        <w:rPr>
          <w:rFonts w:ascii="Calibri" w:hAnsi="Calibri"/>
        </w:rPr>
        <w:t xml:space="preserve">in ‘tabel 3’ </w:t>
      </w:r>
      <w:r w:rsidR="00500E5E">
        <w:rPr>
          <w:rFonts w:ascii="Calibri" w:hAnsi="Calibri"/>
        </w:rPr>
        <w:t>verspreid over de rubrieken 6</w:t>
      </w:r>
      <w:r w:rsidR="008A3186">
        <w:rPr>
          <w:rFonts w:ascii="Calibri" w:hAnsi="Calibri"/>
        </w:rPr>
        <w:t xml:space="preserve">, </w:t>
      </w:r>
      <w:r w:rsidR="00B32DED">
        <w:rPr>
          <w:rFonts w:ascii="Calibri" w:hAnsi="Calibri"/>
        </w:rPr>
        <w:t>18</w:t>
      </w:r>
      <w:r w:rsidR="008A3186">
        <w:rPr>
          <w:rFonts w:ascii="Calibri" w:hAnsi="Calibri"/>
        </w:rPr>
        <w:t xml:space="preserve"> en </w:t>
      </w:r>
      <w:r w:rsidR="00B32DED">
        <w:rPr>
          <w:rFonts w:ascii="Calibri" w:hAnsi="Calibri"/>
        </w:rPr>
        <w:t>38</w:t>
      </w:r>
      <w:r w:rsidR="008A3186">
        <w:rPr>
          <w:rFonts w:ascii="Calibri" w:hAnsi="Calibri"/>
        </w:rPr>
        <w:t>.</w:t>
      </w:r>
    </w:p>
    <w:p w14:paraId="4E7469D2" w14:textId="77777777" w:rsidR="002F7AA5" w:rsidRDefault="002F7AA5" w:rsidP="002F7AA5">
      <w:pPr>
        <w:numPr>
          <w:ilvl w:val="1"/>
          <w:numId w:val="13"/>
        </w:numPr>
        <w:spacing w:before="0" w:line="240" w:lineRule="auto"/>
        <w:ind w:left="2694"/>
        <w:jc w:val="both"/>
        <w:rPr>
          <w:rFonts w:ascii="Calibri" w:hAnsi="Calibri"/>
        </w:rPr>
      </w:pPr>
      <w:r>
        <w:rPr>
          <w:rFonts w:ascii="Calibri" w:hAnsi="Calibri"/>
        </w:rPr>
        <w:t xml:space="preserve">Voor het tarief inzake beheer en ontwikkeling netwerkinfrastructuur wordt een verdere opsplitsing van de kosten gevraagd volgens: maandpiek voor afname, jaarpiek voor afname, ter beschikking gesteld vermogen voor afname en aansluitingstarieven. </w:t>
      </w:r>
    </w:p>
    <w:p w14:paraId="630C8570" w14:textId="6F207405" w:rsidR="002F7AA5" w:rsidRPr="006347A8" w:rsidRDefault="002F7AA5" w:rsidP="002F7AA5">
      <w:pPr>
        <w:numPr>
          <w:ilvl w:val="1"/>
          <w:numId w:val="13"/>
        </w:numPr>
        <w:spacing w:before="0" w:line="240" w:lineRule="auto"/>
        <w:ind w:left="2694"/>
        <w:jc w:val="both"/>
        <w:rPr>
          <w:rFonts w:ascii="Calibri" w:hAnsi="Calibri"/>
        </w:rPr>
      </w:pPr>
      <w:r>
        <w:rPr>
          <w:rFonts w:ascii="Calibri" w:hAnsi="Calibri"/>
        </w:rPr>
        <w:t>In het geval er onder een</w:t>
      </w:r>
      <w:r w:rsidR="00500E5E">
        <w:rPr>
          <w:rFonts w:ascii="Calibri" w:hAnsi="Calibri"/>
        </w:rPr>
        <w:t xml:space="preserve"> toekomstige</w:t>
      </w:r>
      <w:r>
        <w:rPr>
          <w:rFonts w:ascii="Calibri" w:hAnsi="Calibri"/>
        </w:rPr>
        <w:t xml:space="preserve"> tariefstructuur voor Elia een </w:t>
      </w:r>
      <w:r w:rsidR="00760BCD">
        <w:rPr>
          <w:rFonts w:ascii="Calibri" w:hAnsi="Calibri"/>
        </w:rPr>
        <w:t>andere</w:t>
      </w:r>
      <w:r>
        <w:rPr>
          <w:rFonts w:ascii="Calibri" w:hAnsi="Calibri"/>
        </w:rPr>
        <w:t xml:space="preserve"> tariefcomponent zou geïntroduceerd worden, werd de tabel hier reeds op voorzien. </w:t>
      </w:r>
      <w:r w:rsidRPr="006347A8">
        <w:rPr>
          <w:rFonts w:ascii="Calibri" w:hAnsi="Calibri"/>
        </w:rPr>
        <w:t xml:space="preserve"> </w:t>
      </w:r>
    </w:p>
    <w:p w14:paraId="726805F5" w14:textId="77777777" w:rsidR="002F7AA5" w:rsidRPr="006347A8" w:rsidRDefault="002F7AA5" w:rsidP="002F7AA5">
      <w:pPr>
        <w:numPr>
          <w:ilvl w:val="0"/>
          <w:numId w:val="13"/>
        </w:numPr>
        <w:spacing w:before="0" w:line="240" w:lineRule="auto"/>
        <w:ind w:left="2127" w:hanging="426"/>
        <w:jc w:val="both"/>
        <w:rPr>
          <w:rFonts w:ascii="Calibri" w:hAnsi="Calibri"/>
        </w:rPr>
      </w:pPr>
      <w:r w:rsidRPr="006347A8">
        <w:rPr>
          <w:rFonts w:ascii="Calibri" w:hAnsi="Calibri"/>
        </w:rPr>
        <w:t xml:space="preserve">Kost m.b.t. de door een andere distributienetbeheerder (via doorvoer) aangerekende vergoeding voor het gebruik van het transmissienet, </w:t>
      </w:r>
      <w:r w:rsidRPr="006347A8">
        <w:rPr>
          <w:rFonts w:ascii="Calibri" w:hAnsi="Calibri"/>
          <w:b/>
        </w:rPr>
        <w:t>exclusief</w:t>
      </w:r>
      <w:r w:rsidRPr="006347A8">
        <w:rPr>
          <w:rFonts w:ascii="Calibri" w:hAnsi="Calibri"/>
        </w:rPr>
        <w:t xml:space="preserve"> de kosten voor federale bijdrage elektriciteit</w:t>
      </w:r>
    </w:p>
    <w:p w14:paraId="1BB973E7" w14:textId="0E2677D8" w:rsidR="002F7AA5" w:rsidRDefault="002F7AA5" w:rsidP="002F7AA5">
      <w:pPr>
        <w:numPr>
          <w:ilvl w:val="1"/>
          <w:numId w:val="13"/>
        </w:numPr>
        <w:spacing w:before="0" w:line="240" w:lineRule="auto"/>
        <w:ind w:left="2694"/>
        <w:jc w:val="both"/>
        <w:rPr>
          <w:rFonts w:ascii="Calibri" w:hAnsi="Calibri"/>
        </w:rPr>
      </w:pPr>
      <w:r w:rsidRPr="006347A8">
        <w:rPr>
          <w:rFonts w:ascii="Calibri" w:hAnsi="Calibri"/>
        </w:rPr>
        <w:t>De elektriciteitsdistributienetbeheerder dient een afzonderlijke waarde voor het tarief inzake beheer en ontwikkeling netwerkinfrastructuur</w:t>
      </w:r>
      <w:r w:rsidR="00DD2A6A">
        <w:rPr>
          <w:rFonts w:ascii="Calibri" w:hAnsi="Calibri"/>
        </w:rPr>
        <w:t xml:space="preserve"> (rubriek 7</w:t>
      </w:r>
      <w:r w:rsidR="000F40B8">
        <w:rPr>
          <w:rFonts w:ascii="Calibri" w:hAnsi="Calibri"/>
        </w:rPr>
        <w:t xml:space="preserve"> in ‘tabel 3’</w:t>
      </w:r>
      <w:r w:rsidR="00DD2A6A">
        <w:rPr>
          <w:rFonts w:ascii="Calibri" w:hAnsi="Calibri"/>
        </w:rPr>
        <w:t>)</w:t>
      </w:r>
      <w:r w:rsidRPr="006347A8">
        <w:rPr>
          <w:rFonts w:ascii="Calibri" w:hAnsi="Calibri"/>
        </w:rPr>
        <w:t xml:space="preserve">, het tarief voor aanvullende afname of injectie van reactieve energie </w:t>
      </w:r>
      <w:r w:rsidR="00DD2A6A">
        <w:rPr>
          <w:rFonts w:ascii="Calibri" w:hAnsi="Calibri"/>
        </w:rPr>
        <w:t xml:space="preserve">(rubriek </w:t>
      </w:r>
      <w:r w:rsidR="00A721A6">
        <w:rPr>
          <w:rFonts w:ascii="Calibri" w:hAnsi="Calibri"/>
        </w:rPr>
        <w:t>19</w:t>
      </w:r>
      <w:r w:rsidR="000F40B8">
        <w:rPr>
          <w:rFonts w:ascii="Calibri" w:hAnsi="Calibri"/>
        </w:rPr>
        <w:t xml:space="preserve"> in ‘tabel 3’</w:t>
      </w:r>
      <w:r w:rsidR="00DD2A6A">
        <w:rPr>
          <w:rFonts w:ascii="Calibri" w:hAnsi="Calibri"/>
        </w:rPr>
        <w:t xml:space="preserve">) </w:t>
      </w:r>
      <w:r w:rsidRPr="006347A8">
        <w:rPr>
          <w:rFonts w:ascii="Calibri" w:hAnsi="Calibri"/>
        </w:rPr>
        <w:t>en de overige tarieven m.b.t. transmissie</w:t>
      </w:r>
      <w:r w:rsidR="00BB3707">
        <w:rPr>
          <w:rFonts w:ascii="Calibri" w:hAnsi="Calibri"/>
        </w:rPr>
        <w:t>, uitgesplitst over 3 subrubrieken,</w:t>
      </w:r>
      <w:r w:rsidRPr="006347A8">
        <w:rPr>
          <w:rFonts w:ascii="Calibri" w:hAnsi="Calibri"/>
        </w:rPr>
        <w:t xml:space="preserve"> te rapporteren</w:t>
      </w:r>
      <w:r w:rsidR="000F40B8">
        <w:rPr>
          <w:rFonts w:ascii="Calibri" w:hAnsi="Calibri"/>
        </w:rPr>
        <w:t xml:space="preserve"> (rubriek </w:t>
      </w:r>
      <w:r w:rsidR="00402FA9">
        <w:rPr>
          <w:rFonts w:ascii="Calibri" w:hAnsi="Calibri"/>
        </w:rPr>
        <w:t>39</w:t>
      </w:r>
      <w:r w:rsidR="000F40B8">
        <w:rPr>
          <w:rFonts w:ascii="Calibri" w:hAnsi="Calibri"/>
        </w:rPr>
        <w:t xml:space="preserve"> in ‘tabel 3’)</w:t>
      </w:r>
      <w:r w:rsidRPr="006347A8">
        <w:rPr>
          <w:rFonts w:ascii="Calibri" w:hAnsi="Calibri"/>
        </w:rPr>
        <w:t>. De VREG acht dit onderscheid aangewezen teneinde de betreffende kosten aan de corresponderende tariefcomponenten conform tabel 12 in de hoofdtekst van de tariefmethodologie te kunnen toewijzen.</w:t>
      </w:r>
      <w:r>
        <w:rPr>
          <w:rFonts w:ascii="Calibri" w:hAnsi="Calibri"/>
        </w:rPr>
        <w:t xml:space="preserve"> </w:t>
      </w:r>
      <w:r w:rsidR="00786D46">
        <w:rPr>
          <w:rFonts w:ascii="Calibri" w:hAnsi="Calibri"/>
        </w:rPr>
        <w:t>We geven</w:t>
      </w:r>
      <w:r w:rsidR="00951E96">
        <w:rPr>
          <w:rFonts w:ascii="Calibri" w:hAnsi="Calibri"/>
        </w:rPr>
        <w:t xml:space="preserve"> per betreffende kostenrubriek</w:t>
      </w:r>
      <w:r>
        <w:rPr>
          <w:rFonts w:ascii="Calibri" w:hAnsi="Calibri"/>
        </w:rPr>
        <w:t xml:space="preserve"> </w:t>
      </w:r>
      <w:bookmarkStart w:id="79" w:name="_Hlk39149586"/>
      <w:r>
        <w:rPr>
          <w:rFonts w:ascii="Calibri" w:hAnsi="Calibri"/>
        </w:rPr>
        <w:t xml:space="preserve">richtlijnen inzake de bepaling van </w:t>
      </w:r>
      <w:bookmarkEnd w:id="79"/>
      <w:r w:rsidR="0055462F">
        <w:rPr>
          <w:rFonts w:ascii="Calibri" w:hAnsi="Calibri"/>
        </w:rPr>
        <w:t>het te rapporteren budget</w:t>
      </w:r>
      <w:r>
        <w:rPr>
          <w:rFonts w:ascii="Calibri" w:hAnsi="Calibri"/>
        </w:rPr>
        <w:t>:</w:t>
      </w:r>
    </w:p>
    <w:p w14:paraId="34A02DF9" w14:textId="6209089A" w:rsidR="002F7AA5" w:rsidRPr="00716CD9" w:rsidRDefault="002F7AA5" w:rsidP="002F7AA5">
      <w:pPr>
        <w:numPr>
          <w:ilvl w:val="2"/>
          <w:numId w:val="13"/>
        </w:numPr>
        <w:spacing w:before="0" w:line="240" w:lineRule="auto"/>
        <w:ind w:left="3402"/>
        <w:jc w:val="both"/>
        <w:rPr>
          <w:rFonts w:ascii="Calibri" w:hAnsi="Calibri"/>
        </w:rPr>
      </w:pPr>
      <w:r>
        <w:rPr>
          <w:rFonts w:ascii="Calibri" w:hAnsi="Calibri"/>
        </w:rPr>
        <w:t>Tarief beheer en ontwikkeling netwerkinfrastructuur: vooreerst dient de distributienetbeheerder het aandeel van het budget voor transmissiekosten in het totale budget voor he</w:t>
      </w:r>
      <w:r w:rsidRPr="00716CD9">
        <w:rPr>
          <w:rFonts w:ascii="Calibri" w:hAnsi="Calibri"/>
        </w:rPr>
        <w:t>t tarief netgebruik</w:t>
      </w:r>
      <w:r w:rsidR="008568B4" w:rsidRPr="00716CD9">
        <w:rPr>
          <w:rFonts w:ascii="Calibri" w:hAnsi="Calibri"/>
        </w:rPr>
        <w:t xml:space="preserve"> (zowel exogeen als endogeen) </w:t>
      </w:r>
      <w:r w:rsidRPr="00716CD9">
        <w:rPr>
          <w:rFonts w:ascii="Calibri" w:hAnsi="Calibri"/>
        </w:rPr>
        <w:t xml:space="preserve">voor boekjaar 20XX te bepalen. </w:t>
      </w:r>
      <w:r w:rsidR="00BD40C3" w:rsidRPr="00716CD9">
        <w:rPr>
          <w:rFonts w:ascii="Calibri" w:hAnsi="Calibri"/>
        </w:rPr>
        <w:t>Op ex</w:t>
      </w:r>
      <w:r w:rsidR="00743527" w:rsidRPr="00716CD9">
        <w:rPr>
          <w:rFonts w:ascii="Calibri" w:hAnsi="Calibri"/>
        </w:rPr>
        <w:t>-post basis is d</w:t>
      </w:r>
      <w:r w:rsidRPr="00716CD9">
        <w:rPr>
          <w:rFonts w:ascii="Calibri" w:hAnsi="Calibri"/>
        </w:rPr>
        <w:t>eze waarde</w:t>
      </w:r>
      <w:r w:rsidR="00D00BB9" w:rsidRPr="00716CD9">
        <w:rPr>
          <w:rFonts w:ascii="Calibri" w:hAnsi="Calibri"/>
        </w:rPr>
        <w:t xml:space="preserve"> voor boekjaar 20XX</w:t>
      </w:r>
      <w:r w:rsidRPr="00716CD9">
        <w:rPr>
          <w:rFonts w:ascii="Calibri" w:hAnsi="Calibri"/>
        </w:rPr>
        <w:t xml:space="preserve"> af te leiden uit </w:t>
      </w:r>
      <w:r w:rsidR="008365BE" w:rsidRPr="00716CD9">
        <w:rPr>
          <w:rFonts w:ascii="Calibri" w:hAnsi="Calibri"/>
        </w:rPr>
        <w:t xml:space="preserve">tabel </w:t>
      </w:r>
      <w:r w:rsidRPr="00716CD9">
        <w:rPr>
          <w:rFonts w:ascii="Calibri" w:hAnsi="Calibri"/>
        </w:rPr>
        <w:t>‘</w:t>
      </w:r>
      <w:r w:rsidR="008365BE" w:rsidRPr="00716CD9">
        <w:rPr>
          <w:rFonts w:ascii="Calibri" w:hAnsi="Calibri"/>
        </w:rPr>
        <w:t>T2</w:t>
      </w:r>
      <w:r w:rsidRPr="00716CD9">
        <w:rPr>
          <w:rFonts w:ascii="Calibri" w:hAnsi="Calibri"/>
        </w:rPr>
        <w:t>’ van het tariefvoorstel</w:t>
      </w:r>
      <w:r w:rsidR="00743527" w:rsidRPr="00716CD9">
        <w:rPr>
          <w:rFonts w:ascii="Calibri" w:hAnsi="Calibri"/>
        </w:rPr>
        <w:t xml:space="preserve">, terwijl op ex-ante basis </w:t>
      </w:r>
      <w:r w:rsidR="00C85577" w:rsidRPr="00716CD9">
        <w:rPr>
          <w:rFonts w:ascii="Calibri" w:hAnsi="Calibri"/>
        </w:rPr>
        <w:t xml:space="preserve">de waarde kan worden afgeleid uit de </w:t>
      </w:r>
      <w:r w:rsidR="00E35DCD" w:rsidRPr="00716CD9">
        <w:rPr>
          <w:rFonts w:ascii="Calibri" w:hAnsi="Calibri"/>
        </w:rPr>
        <w:t xml:space="preserve">tabel </w:t>
      </w:r>
      <w:r w:rsidR="00C85577" w:rsidRPr="00716CD9">
        <w:rPr>
          <w:rFonts w:ascii="Calibri" w:hAnsi="Calibri"/>
        </w:rPr>
        <w:t>‘</w:t>
      </w:r>
      <w:r w:rsidR="00E35DCD" w:rsidRPr="00716CD9">
        <w:rPr>
          <w:rFonts w:ascii="Calibri" w:hAnsi="Calibri"/>
        </w:rPr>
        <w:t>T2</w:t>
      </w:r>
      <w:r w:rsidR="00C85577" w:rsidRPr="00716CD9">
        <w:rPr>
          <w:rFonts w:ascii="Calibri" w:hAnsi="Calibri"/>
        </w:rPr>
        <w:t>’ van het laatst gekende tariefvoorstel</w:t>
      </w:r>
      <w:r w:rsidRPr="00716CD9">
        <w:rPr>
          <w:rFonts w:ascii="Calibri" w:hAnsi="Calibri"/>
        </w:rPr>
        <w:t xml:space="preserve">. Het aandeel dat uit deze berekening volgt, wordt vervolgens toegepast op de verschillende </w:t>
      </w:r>
      <w:r w:rsidR="00E207AE" w:rsidRPr="00716CD9">
        <w:rPr>
          <w:rFonts w:ascii="Calibri" w:hAnsi="Calibri"/>
        </w:rPr>
        <w:t xml:space="preserve">relevante </w:t>
      </w:r>
      <w:r w:rsidRPr="00716CD9">
        <w:rPr>
          <w:rFonts w:ascii="Calibri" w:hAnsi="Calibri"/>
        </w:rPr>
        <w:t>eenheidstarieven voor het tarief netgebruik. Door de hieruit resulterende tarieven te vermenigvuldigen met de betreffende doorvoervolumes bekomt men de te rapporteren waarde</w:t>
      </w:r>
      <w:r w:rsidR="006B2291" w:rsidRPr="00716CD9">
        <w:rPr>
          <w:rFonts w:ascii="Calibri" w:hAnsi="Calibri"/>
        </w:rPr>
        <w:t xml:space="preserve">. </w:t>
      </w:r>
    </w:p>
    <w:p w14:paraId="48C574FC" w14:textId="08A2338C" w:rsidR="006B2291" w:rsidRDefault="006B2291" w:rsidP="006B2291">
      <w:pPr>
        <w:spacing w:before="0" w:line="240" w:lineRule="auto"/>
        <w:ind w:left="3402"/>
        <w:jc w:val="both"/>
        <w:rPr>
          <w:rFonts w:ascii="Calibri" w:hAnsi="Calibri"/>
        </w:rPr>
      </w:pPr>
      <w:r w:rsidRPr="00716CD9">
        <w:rPr>
          <w:rFonts w:ascii="Calibri" w:hAnsi="Calibri"/>
        </w:rPr>
        <w:t xml:space="preserve">Het ex-ante budget voor het boekjaar 2022 kan daarbij éénmalig als volgt worden bepaald: </w:t>
      </w:r>
      <w:r w:rsidR="00961708" w:rsidRPr="00716CD9">
        <w:rPr>
          <w:rFonts w:ascii="Calibri" w:hAnsi="Calibri"/>
        </w:rPr>
        <w:t>vooreerst</w:t>
      </w:r>
      <w:r w:rsidR="00780B12">
        <w:rPr>
          <w:rFonts w:ascii="Calibri" w:hAnsi="Calibri"/>
        </w:rPr>
        <w:t xml:space="preserve"> bepaalt men</w:t>
      </w:r>
      <w:r w:rsidR="00961708" w:rsidRPr="00716CD9">
        <w:rPr>
          <w:rFonts w:ascii="Calibri" w:hAnsi="Calibri"/>
        </w:rPr>
        <w:t xml:space="preserve"> </w:t>
      </w:r>
      <w:r w:rsidR="00EE2FFA" w:rsidRPr="00716CD9">
        <w:rPr>
          <w:rFonts w:ascii="Calibri" w:hAnsi="Calibri"/>
        </w:rPr>
        <w:t xml:space="preserve">het relatief aandeel van het budget voor het tarief beheer en ontwikkeling netwerkinfrastructuur voor boekjaar </w:t>
      </w:r>
      <w:r w:rsidR="00961708" w:rsidRPr="00716CD9">
        <w:rPr>
          <w:rFonts w:ascii="Calibri" w:hAnsi="Calibri"/>
        </w:rPr>
        <w:t xml:space="preserve">2022 in het totaal budget voor Elia voor het boekjaar 2022. </w:t>
      </w:r>
      <w:r w:rsidR="00B13F6C">
        <w:rPr>
          <w:rFonts w:ascii="Calibri" w:hAnsi="Calibri"/>
        </w:rPr>
        <w:t xml:space="preserve">Deze </w:t>
      </w:r>
      <w:r w:rsidR="00B13F6C">
        <w:rPr>
          <w:rFonts w:ascii="Calibri" w:hAnsi="Calibri"/>
        </w:rPr>
        <w:lastRenderedPageBreak/>
        <w:t xml:space="preserve">bedragen zijn af te leiden uit de </w:t>
      </w:r>
      <w:r w:rsidR="00961708" w:rsidRPr="00716CD9">
        <w:rPr>
          <w:rFonts w:ascii="Calibri" w:hAnsi="Calibri"/>
        </w:rPr>
        <w:t>rubriek</w:t>
      </w:r>
      <w:r w:rsidR="00E147C7">
        <w:rPr>
          <w:rFonts w:ascii="Calibri" w:hAnsi="Calibri"/>
        </w:rPr>
        <w:t>en</w:t>
      </w:r>
      <w:r w:rsidR="00092295">
        <w:rPr>
          <w:rFonts w:ascii="Calibri" w:hAnsi="Calibri"/>
        </w:rPr>
        <w:t xml:space="preserve"> 6, 18 en 38</w:t>
      </w:r>
      <w:r w:rsidR="00E147C7">
        <w:rPr>
          <w:rFonts w:ascii="Calibri" w:hAnsi="Calibri"/>
        </w:rPr>
        <w:t xml:space="preserve"> </w:t>
      </w:r>
      <w:r w:rsidR="00961708" w:rsidRPr="00716CD9">
        <w:rPr>
          <w:rFonts w:ascii="Calibri" w:hAnsi="Calibri"/>
        </w:rPr>
        <w:t>van ‘tabel 3’.</w:t>
      </w:r>
      <w:r w:rsidR="002A6269" w:rsidRPr="00716CD9">
        <w:rPr>
          <w:rFonts w:ascii="Calibri" w:hAnsi="Calibri"/>
        </w:rPr>
        <w:t xml:space="preserve"> Dit relatief aandeel kan vervolgens toegepast worden op het </w:t>
      </w:r>
      <w:r w:rsidR="00D1594D" w:rsidRPr="00716CD9">
        <w:rPr>
          <w:rFonts w:ascii="Calibri" w:hAnsi="Calibri"/>
        </w:rPr>
        <w:t>toepasselijke tarief dat uit de laatst beschikbare</w:t>
      </w:r>
      <w:r w:rsidR="00D1594D">
        <w:rPr>
          <w:rFonts w:ascii="Calibri" w:hAnsi="Calibri"/>
        </w:rPr>
        <w:t xml:space="preserve"> matrix inzake doorvoer tussen distributienetbeheerders </w:t>
      </w:r>
      <w:r w:rsidR="00716CD9">
        <w:rPr>
          <w:rFonts w:ascii="Calibri" w:hAnsi="Calibri"/>
        </w:rPr>
        <w:t>m.b.t.</w:t>
      </w:r>
      <w:r w:rsidR="00D1594D">
        <w:rPr>
          <w:rFonts w:ascii="Calibri" w:hAnsi="Calibri"/>
        </w:rPr>
        <w:t xml:space="preserve"> de transportnetvergoeding blijkt. </w:t>
      </w:r>
      <w:r w:rsidR="009079A2">
        <w:rPr>
          <w:rFonts w:ascii="Calibri" w:hAnsi="Calibri"/>
        </w:rPr>
        <w:t>Als laatste kan het hieruit resulterende tarief vermenigvuldigd worden met de betreffende doorvoervolumes teneinde de te rapporteren waarde te bekomen.</w:t>
      </w:r>
    </w:p>
    <w:p w14:paraId="0010871F" w14:textId="1F199FF9" w:rsidR="002F7AA5" w:rsidRDefault="002F7AA5" w:rsidP="002F7AA5">
      <w:pPr>
        <w:numPr>
          <w:ilvl w:val="2"/>
          <w:numId w:val="13"/>
        </w:numPr>
        <w:spacing w:before="0" w:line="240" w:lineRule="auto"/>
        <w:ind w:left="3402"/>
        <w:jc w:val="both"/>
        <w:rPr>
          <w:rFonts w:ascii="Calibri" w:hAnsi="Calibri"/>
        </w:rPr>
      </w:pPr>
      <w:r>
        <w:rPr>
          <w:rFonts w:ascii="Calibri" w:hAnsi="Calibri"/>
        </w:rPr>
        <w:t>Tarief aanvullende afname of injectie reactieve energie: de kost voor dit tarief kan worden bepaald door op het eenheidstarief reactieve energie het relatief aandeel van de exogene kosten</w:t>
      </w:r>
      <w:r>
        <w:rPr>
          <w:rStyle w:val="Voetnootmarkering"/>
          <w:rFonts w:ascii="Calibri" w:hAnsi="Calibri"/>
        </w:rPr>
        <w:footnoteReference w:id="12"/>
      </w:r>
      <w:r>
        <w:rPr>
          <w:rFonts w:ascii="Calibri" w:hAnsi="Calibri"/>
        </w:rPr>
        <w:t xml:space="preserve"> voor de betreffende tariefcomponent, zoals ook af te leiden uit ‘tabel 5C’, toe te passen. Door het hieruit resulterende tarief te vermenigvuldigen met het doorvoervolume bekomt men de te rapporteren waarde; </w:t>
      </w:r>
    </w:p>
    <w:p w14:paraId="151C65B0" w14:textId="4A329450" w:rsidR="002F7AA5" w:rsidRPr="006347A8" w:rsidRDefault="002F7AA5" w:rsidP="002F7AA5">
      <w:pPr>
        <w:numPr>
          <w:ilvl w:val="2"/>
          <w:numId w:val="13"/>
        </w:numPr>
        <w:spacing w:before="0" w:line="240" w:lineRule="auto"/>
        <w:ind w:left="3402"/>
        <w:jc w:val="both"/>
        <w:rPr>
          <w:rFonts w:ascii="Calibri" w:hAnsi="Calibri"/>
        </w:rPr>
      </w:pPr>
      <w:r>
        <w:rPr>
          <w:rFonts w:ascii="Calibri" w:hAnsi="Calibri"/>
        </w:rPr>
        <w:t>Tarief overige transmissie: de kost voor dit tarief</w:t>
      </w:r>
      <w:r w:rsidR="00C97DE6">
        <w:rPr>
          <w:rFonts w:ascii="Calibri" w:hAnsi="Calibri"/>
        </w:rPr>
        <w:t>, opgedeeld over een gedeelte m.b.t. overige kWh-componenten</w:t>
      </w:r>
      <w:r w:rsidR="00641416">
        <w:rPr>
          <w:rFonts w:ascii="Calibri" w:hAnsi="Calibri"/>
        </w:rPr>
        <w:t>,</w:t>
      </w:r>
      <w:r w:rsidR="00C97DE6">
        <w:rPr>
          <w:rFonts w:ascii="Calibri" w:hAnsi="Calibri"/>
        </w:rPr>
        <w:t xml:space="preserve"> een gedeelte m.b.t. toeslagen</w:t>
      </w:r>
      <w:r w:rsidR="00641416">
        <w:rPr>
          <w:rFonts w:ascii="Calibri" w:hAnsi="Calibri"/>
        </w:rPr>
        <w:t xml:space="preserve"> </w:t>
      </w:r>
      <w:r w:rsidR="000E1098">
        <w:rPr>
          <w:rFonts w:ascii="Calibri" w:hAnsi="Calibri"/>
        </w:rPr>
        <w:t>excl.</w:t>
      </w:r>
      <w:r w:rsidR="00641416">
        <w:rPr>
          <w:rFonts w:ascii="Calibri" w:hAnsi="Calibri"/>
        </w:rPr>
        <w:t xml:space="preserve"> ODV inzake financiering groenestroomcertificaten en een </w:t>
      </w:r>
      <w:r w:rsidR="002158A6">
        <w:rPr>
          <w:rFonts w:ascii="Calibri" w:hAnsi="Calibri"/>
        </w:rPr>
        <w:t>gedeelte m.b.t. ODV inzake financiering groenestroomcertificaten</w:t>
      </w:r>
      <w:r w:rsidR="00C97DE6">
        <w:rPr>
          <w:rFonts w:ascii="Calibri" w:hAnsi="Calibri"/>
        </w:rPr>
        <w:t>,</w:t>
      </w:r>
      <w:r>
        <w:rPr>
          <w:rFonts w:ascii="Calibri" w:hAnsi="Calibri"/>
        </w:rPr>
        <w:t xml:space="preserve"> kan worden bepaald door op </w:t>
      </w:r>
      <w:r w:rsidR="001C7E97">
        <w:rPr>
          <w:rFonts w:ascii="Calibri" w:hAnsi="Calibri"/>
        </w:rPr>
        <w:t>de betreffende eenheidstarieven</w:t>
      </w:r>
      <w:r>
        <w:rPr>
          <w:rFonts w:ascii="Calibri" w:hAnsi="Calibri"/>
        </w:rPr>
        <w:t xml:space="preserve"> het relatief aandeel van de exogene kosten voor de betreffende tariefcomponent, zoals ook af te leiden uit ‘tabel 5C’</w:t>
      </w:r>
      <w:r w:rsidR="00746C2B">
        <w:rPr>
          <w:rFonts w:ascii="Calibri" w:hAnsi="Calibri"/>
        </w:rPr>
        <w:t xml:space="preserve"> (m.a.w. 100%)</w:t>
      </w:r>
      <w:r>
        <w:rPr>
          <w:rFonts w:ascii="Calibri" w:hAnsi="Calibri"/>
        </w:rPr>
        <w:t>, toe te passen. Door het hieruit resulterende tarief te vermenigvuldigen met het doorvoervolume bekomt men de te rapporteren waarde;</w:t>
      </w:r>
    </w:p>
    <w:p w14:paraId="7D75D7F8" w14:textId="77777777" w:rsidR="002F7AA5" w:rsidRPr="006347A8" w:rsidRDefault="002F7AA5" w:rsidP="002F7AA5">
      <w:pPr>
        <w:numPr>
          <w:ilvl w:val="0"/>
          <w:numId w:val="13"/>
        </w:numPr>
        <w:spacing w:before="0" w:line="240" w:lineRule="auto"/>
        <w:ind w:left="2127" w:hanging="426"/>
        <w:jc w:val="both"/>
        <w:rPr>
          <w:rFonts w:ascii="Calibri" w:hAnsi="Calibri"/>
        </w:rPr>
      </w:pPr>
      <w:r w:rsidRPr="006347A8">
        <w:rPr>
          <w:rFonts w:ascii="Calibri" w:hAnsi="Calibri"/>
        </w:rPr>
        <w:t xml:space="preserve">Opbrengst uit de aan een andere distributienetbeheerder (via doorvoer) aangerekende vergoeding voor het gebruik van het transmissienet, </w:t>
      </w:r>
      <w:r w:rsidRPr="006347A8">
        <w:rPr>
          <w:rFonts w:ascii="Calibri" w:hAnsi="Calibri"/>
          <w:b/>
        </w:rPr>
        <w:t>exclusief</w:t>
      </w:r>
      <w:r w:rsidRPr="006347A8">
        <w:rPr>
          <w:rFonts w:ascii="Calibri" w:hAnsi="Calibri"/>
        </w:rPr>
        <w:t xml:space="preserve"> de opbrengsten voor federale bijdrage elektriciteit:</w:t>
      </w:r>
    </w:p>
    <w:p w14:paraId="2CEB3415" w14:textId="77777777" w:rsidR="002F7AA5" w:rsidRPr="006347A8" w:rsidRDefault="002F7AA5" w:rsidP="002F7AA5">
      <w:pPr>
        <w:numPr>
          <w:ilvl w:val="1"/>
          <w:numId w:val="13"/>
        </w:numPr>
        <w:spacing w:before="0" w:line="240" w:lineRule="auto"/>
        <w:ind w:left="2694"/>
        <w:jc w:val="both"/>
        <w:rPr>
          <w:rFonts w:ascii="Calibri" w:hAnsi="Calibri"/>
        </w:rPr>
      </w:pPr>
      <w:r w:rsidRPr="006347A8">
        <w:rPr>
          <w:rFonts w:ascii="Calibri" w:hAnsi="Calibri"/>
        </w:rPr>
        <w:t>De VREG merkt op dat enkel op ex-ante basis voor deze rubriek een opbrengst in rekening kan worden gebracht. Op ex-post basis wordt deze rubriek namelijk steeds gelijk gesteld aan 0 EUR aangezien deze opbrengst reeds vervat wordt in de werkelijke opbrengsten uit periodieke distributienettarieven voor exogene kosten en dit onderaan de ‘tabel 3’, dewelke op haar beurt wordt afgeleid uit ‘tabel 5C’.</w:t>
      </w:r>
    </w:p>
    <w:p w14:paraId="5639DC20" w14:textId="615BA610" w:rsidR="002F7AA5" w:rsidRPr="001864C7" w:rsidRDefault="002F7AA5" w:rsidP="002F7AA5">
      <w:pPr>
        <w:numPr>
          <w:ilvl w:val="1"/>
          <w:numId w:val="13"/>
        </w:numPr>
        <w:spacing w:before="0" w:line="240" w:lineRule="auto"/>
        <w:ind w:left="2694"/>
        <w:jc w:val="both"/>
        <w:rPr>
          <w:rFonts w:ascii="Calibri" w:hAnsi="Calibri"/>
        </w:rPr>
      </w:pPr>
      <w:r w:rsidRPr="006347A8">
        <w:rPr>
          <w:rFonts w:ascii="Calibri" w:hAnsi="Calibri"/>
        </w:rPr>
        <w:t>Op ex-ante basis dient de elektriciteitsdistributienetbeheerder een afzonderlijke waarde voor het tarief inzake beheer en ontwikkeling netwerkinfrastructuur</w:t>
      </w:r>
      <w:r w:rsidR="00CE06D9">
        <w:rPr>
          <w:rFonts w:ascii="Calibri" w:hAnsi="Calibri"/>
        </w:rPr>
        <w:t xml:space="preserve"> (rubriek 8 in ‘tabel 3’)</w:t>
      </w:r>
      <w:r w:rsidRPr="006347A8">
        <w:rPr>
          <w:rFonts w:ascii="Calibri" w:hAnsi="Calibri"/>
        </w:rPr>
        <w:t xml:space="preserve">, het tarief voor aanvullende afname of injectie van reactieve energie </w:t>
      </w:r>
      <w:r w:rsidR="00CE06D9">
        <w:rPr>
          <w:rFonts w:ascii="Calibri" w:hAnsi="Calibri"/>
        </w:rPr>
        <w:t>(rubriek 2</w:t>
      </w:r>
      <w:r w:rsidR="00FE6965">
        <w:rPr>
          <w:rFonts w:ascii="Calibri" w:hAnsi="Calibri"/>
        </w:rPr>
        <w:t>0</w:t>
      </w:r>
      <w:r w:rsidR="00CE06D9">
        <w:rPr>
          <w:rFonts w:ascii="Calibri" w:hAnsi="Calibri"/>
        </w:rPr>
        <w:t xml:space="preserve"> in ‘tabel 3’) </w:t>
      </w:r>
      <w:r w:rsidRPr="006347A8">
        <w:rPr>
          <w:rFonts w:ascii="Calibri" w:hAnsi="Calibri"/>
        </w:rPr>
        <w:t>en de overige tarieven m.b.t. transmissi</w:t>
      </w:r>
      <w:r w:rsidR="00D318DE">
        <w:rPr>
          <w:rFonts w:ascii="Calibri" w:hAnsi="Calibri"/>
        </w:rPr>
        <w:t>e</w:t>
      </w:r>
      <w:r w:rsidR="00E553DD">
        <w:rPr>
          <w:rFonts w:ascii="Calibri" w:hAnsi="Calibri"/>
        </w:rPr>
        <w:t xml:space="preserve"> (rubriek 4</w:t>
      </w:r>
      <w:r w:rsidR="00887A35">
        <w:rPr>
          <w:rFonts w:ascii="Calibri" w:hAnsi="Calibri"/>
        </w:rPr>
        <w:t>0</w:t>
      </w:r>
      <w:r w:rsidR="00E553DD">
        <w:rPr>
          <w:rFonts w:ascii="Calibri" w:hAnsi="Calibri"/>
        </w:rPr>
        <w:t xml:space="preserve"> in ‘tabel 3’)</w:t>
      </w:r>
      <w:r w:rsidR="00D318DE">
        <w:rPr>
          <w:rFonts w:ascii="Calibri" w:hAnsi="Calibri"/>
        </w:rPr>
        <w:t>, uitgesplitst over 3 subrubrieken,</w:t>
      </w:r>
      <w:r w:rsidRPr="006347A8">
        <w:rPr>
          <w:rFonts w:ascii="Calibri" w:hAnsi="Calibri"/>
        </w:rPr>
        <w:t xml:space="preserve"> te rapporteren. De VREG acht dit onderscheid aangewezen teneinde de betreffende kosten aan de corresponderende tariefcomponenten conform tabel 12 in de </w:t>
      </w:r>
      <w:r w:rsidRPr="001864C7">
        <w:rPr>
          <w:rFonts w:ascii="Calibri" w:hAnsi="Calibri"/>
        </w:rPr>
        <w:t>hoofdtekst van de tariefmethodologie te kunnen toewijzen.</w:t>
      </w:r>
      <w:r w:rsidRPr="001B3B65">
        <w:rPr>
          <w:rFonts w:ascii="Calibri" w:hAnsi="Calibri"/>
        </w:rPr>
        <w:t xml:space="preserve"> </w:t>
      </w:r>
      <w:r>
        <w:rPr>
          <w:rFonts w:ascii="Calibri" w:hAnsi="Calibri"/>
        </w:rPr>
        <w:t xml:space="preserve">De richtlijnen inzake de bepaling van de te rapporteren waarde per </w:t>
      </w:r>
      <w:r>
        <w:rPr>
          <w:rFonts w:ascii="Calibri" w:hAnsi="Calibri"/>
        </w:rPr>
        <w:lastRenderedPageBreak/>
        <w:t xml:space="preserve">betreffende tariefcomponent zijn analoog aan degene die in het vorige punt werden besproken. </w:t>
      </w:r>
    </w:p>
    <w:p w14:paraId="7681F953" w14:textId="2A6FB918" w:rsidR="00AC3AD7" w:rsidRPr="001864C7" w:rsidRDefault="00AC3AD7" w:rsidP="00AC3AD7">
      <w:pPr>
        <w:numPr>
          <w:ilvl w:val="0"/>
          <w:numId w:val="13"/>
        </w:numPr>
        <w:spacing w:before="0" w:line="240" w:lineRule="auto"/>
        <w:ind w:left="2127" w:hanging="426"/>
        <w:jc w:val="both"/>
        <w:rPr>
          <w:rFonts w:ascii="Calibri" w:hAnsi="Calibri"/>
        </w:rPr>
      </w:pPr>
      <w:r w:rsidRPr="001864C7">
        <w:rPr>
          <w:rFonts w:ascii="Calibri" w:hAnsi="Calibri"/>
        </w:rPr>
        <w:t xml:space="preserve">Kapitaalkostvergoeding voor de groenestroom- en warmtekrachtcertificaten </w:t>
      </w:r>
    </w:p>
    <w:p w14:paraId="7346E700" w14:textId="77777777" w:rsidR="00AC3AD7" w:rsidRPr="001864C7" w:rsidRDefault="00AC3AD7" w:rsidP="00AC3AD7">
      <w:pPr>
        <w:numPr>
          <w:ilvl w:val="0"/>
          <w:numId w:val="13"/>
        </w:numPr>
        <w:spacing w:before="0" w:line="240" w:lineRule="auto"/>
        <w:ind w:left="2127" w:hanging="426"/>
        <w:jc w:val="both"/>
        <w:rPr>
          <w:rFonts w:ascii="Calibri" w:hAnsi="Calibri"/>
        </w:rPr>
      </w:pPr>
      <w:r w:rsidRPr="001864C7">
        <w:rPr>
          <w:rFonts w:ascii="Calibri" w:hAnsi="Calibri"/>
        </w:rPr>
        <w:t xml:space="preserve">Kapitaalkostvergoeding voor het regulatoir saldo inzake exogene kosten </w:t>
      </w:r>
    </w:p>
    <w:p w14:paraId="0218E2F7" w14:textId="77777777" w:rsidR="00AC3AD7" w:rsidRPr="001864C7" w:rsidRDefault="00AC3AD7" w:rsidP="00AC3AD7">
      <w:pPr>
        <w:numPr>
          <w:ilvl w:val="0"/>
          <w:numId w:val="13"/>
        </w:numPr>
        <w:spacing w:before="0" w:line="240" w:lineRule="auto"/>
        <w:ind w:left="2127" w:hanging="426"/>
        <w:jc w:val="both"/>
        <w:rPr>
          <w:rFonts w:ascii="Calibri" w:hAnsi="Calibri"/>
        </w:rPr>
      </w:pPr>
      <w:r w:rsidRPr="001864C7">
        <w:rPr>
          <w:rFonts w:ascii="Calibri" w:hAnsi="Calibri"/>
        </w:rPr>
        <w:t>Kapitaalkostvergoeding voor het regulatoir saldo inzake volumerisico endogeen budget</w:t>
      </w:r>
    </w:p>
    <w:p w14:paraId="0FC7C9DE" w14:textId="77777777" w:rsidR="00AC3AD7" w:rsidRPr="001864C7" w:rsidRDefault="00AC3AD7" w:rsidP="00AC3AD7">
      <w:pPr>
        <w:numPr>
          <w:ilvl w:val="0"/>
          <w:numId w:val="13"/>
        </w:numPr>
        <w:spacing w:before="0" w:line="240" w:lineRule="auto"/>
        <w:ind w:left="2127" w:hanging="426"/>
        <w:jc w:val="both"/>
        <w:rPr>
          <w:rFonts w:ascii="Calibri" w:hAnsi="Calibri"/>
        </w:rPr>
      </w:pPr>
      <w:r w:rsidRPr="001864C7">
        <w:rPr>
          <w:rFonts w:ascii="Calibri" w:hAnsi="Calibri"/>
        </w:rPr>
        <w:t>Kapitaalkostvergoeding voor het regulatoir saldo inzake herindexering van het budget voor endogene kosten</w:t>
      </w:r>
    </w:p>
    <w:p w14:paraId="7E97FC99" w14:textId="77777777" w:rsidR="00AC3AD7" w:rsidRPr="001864C7" w:rsidRDefault="00AC3AD7" w:rsidP="00AC3AD7">
      <w:pPr>
        <w:numPr>
          <w:ilvl w:val="0"/>
          <w:numId w:val="13"/>
        </w:numPr>
        <w:spacing w:before="0" w:line="240" w:lineRule="auto"/>
        <w:ind w:left="2127" w:hanging="426"/>
        <w:jc w:val="both"/>
        <w:rPr>
          <w:rFonts w:ascii="Calibri" w:hAnsi="Calibri"/>
        </w:rPr>
      </w:pPr>
      <w:r w:rsidRPr="001864C7">
        <w:rPr>
          <w:rFonts w:ascii="Calibri" w:hAnsi="Calibri"/>
        </w:rPr>
        <w:t>Kapitaalkostvergoeding voor het regulatoir saldo inzake vennootschapsbelasting</w:t>
      </w:r>
    </w:p>
    <w:p w14:paraId="559955EB" w14:textId="27C27E35" w:rsidR="00AC3AD7" w:rsidRDefault="00AC3AD7" w:rsidP="00AC3AD7">
      <w:pPr>
        <w:numPr>
          <w:ilvl w:val="0"/>
          <w:numId w:val="13"/>
        </w:numPr>
        <w:spacing w:before="0" w:line="240" w:lineRule="auto"/>
        <w:ind w:left="2127" w:hanging="426"/>
        <w:jc w:val="both"/>
        <w:rPr>
          <w:rFonts w:ascii="Calibri" w:hAnsi="Calibri"/>
        </w:rPr>
      </w:pPr>
      <w:r w:rsidRPr="001864C7">
        <w:rPr>
          <w:rFonts w:ascii="Calibri" w:hAnsi="Calibri"/>
        </w:rPr>
        <w:t>Kapitaalkostvergoeding voor het regulatoir saldo inzake herwaarderingsmeerwaarden</w:t>
      </w:r>
    </w:p>
    <w:p w14:paraId="2D2C3C10" w14:textId="5E900193" w:rsidR="00EE5CD7" w:rsidRPr="00CC362D" w:rsidRDefault="00EE5CD7" w:rsidP="00EE5CD7">
      <w:pPr>
        <w:numPr>
          <w:ilvl w:val="0"/>
          <w:numId w:val="13"/>
        </w:numPr>
        <w:spacing w:before="0" w:line="240" w:lineRule="auto"/>
        <w:ind w:left="2127" w:hanging="426"/>
        <w:jc w:val="both"/>
        <w:rPr>
          <w:rFonts w:ascii="Calibri" w:hAnsi="Calibri"/>
        </w:rPr>
      </w:pPr>
      <w:r w:rsidRPr="00CC362D">
        <w:rPr>
          <w:rFonts w:ascii="Calibri" w:hAnsi="Calibri"/>
        </w:rPr>
        <w:t>Kosten van de openbaredienstverplichtingen m.b.t. het stimuleren van rationeel energiegebruik (REG) (cfr. Energiebesluit)</w:t>
      </w:r>
    </w:p>
    <w:p w14:paraId="1508F57A" w14:textId="77777777" w:rsidR="00EE5CD7" w:rsidRPr="00CC362D" w:rsidRDefault="00EE5CD7" w:rsidP="00EE5CD7">
      <w:pPr>
        <w:numPr>
          <w:ilvl w:val="1"/>
          <w:numId w:val="13"/>
        </w:numPr>
        <w:spacing w:before="0" w:line="240" w:lineRule="auto"/>
        <w:ind w:left="2694"/>
        <w:jc w:val="both"/>
        <w:rPr>
          <w:rFonts w:ascii="Calibri" w:hAnsi="Calibri"/>
        </w:rPr>
      </w:pPr>
      <w:r w:rsidRPr="00CC362D">
        <w:rPr>
          <w:rFonts w:ascii="Calibri" w:hAnsi="Calibri"/>
        </w:rPr>
        <w:t>Voor deze rubriek dient de elektriciteitsdistributienetbeheerder een afzonderlijke waarde te rapporteren voor:</w:t>
      </w:r>
    </w:p>
    <w:p w14:paraId="13BDFDA0" w14:textId="77777777" w:rsidR="00EE5CD7" w:rsidRPr="00CC362D" w:rsidRDefault="00EE5CD7" w:rsidP="00EE5CD7">
      <w:pPr>
        <w:numPr>
          <w:ilvl w:val="3"/>
          <w:numId w:val="13"/>
        </w:numPr>
        <w:spacing w:before="0" w:line="240" w:lineRule="auto"/>
        <w:jc w:val="both"/>
        <w:rPr>
          <w:rFonts w:ascii="Calibri" w:hAnsi="Calibri"/>
        </w:rPr>
      </w:pPr>
      <w:r w:rsidRPr="00CC362D">
        <w:rPr>
          <w:rFonts w:ascii="Calibri" w:hAnsi="Calibri"/>
        </w:rPr>
        <w:t xml:space="preserve">de kosten m.b.t. REG-premies, </w:t>
      </w:r>
    </w:p>
    <w:p w14:paraId="7AB78E5B" w14:textId="77777777" w:rsidR="00EE5CD7" w:rsidRPr="00CC362D" w:rsidRDefault="00EE5CD7" w:rsidP="00EE5CD7">
      <w:pPr>
        <w:numPr>
          <w:ilvl w:val="3"/>
          <w:numId w:val="13"/>
        </w:numPr>
        <w:spacing w:before="0" w:line="240" w:lineRule="auto"/>
        <w:jc w:val="both"/>
        <w:rPr>
          <w:rFonts w:ascii="Calibri" w:hAnsi="Calibri"/>
        </w:rPr>
      </w:pPr>
      <w:r w:rsidRPr="00CC362D">
        <w:rPr>
          <w:rFonts w:ascii="Calibri" w:hAnsi="Calibri"/>
        </w:rPr>
        <w:t xml:space="preserve">de kosten m.b.t. de actieverplichting energiescans en </w:t>
      </w:r>
    </w:p>
    <w:p w14:paraId="6EDD31D7" w14:textId="77777777" w:rsidR="00EE5CD7" w:rsidRPr="00CC362D" w:rsidRDefault="00EE5CD7" w:rsidP="00EE5CD7">
      <w:pPr>
        <w:numPr>
          <w:ilvl w:val="3"/>
          <w:numId w:val="13"/>
        </w:numPr>
        <w:spacing w:before="0" w:line="240" w:lineRule="auto"/>
        <w:jc w:val="both"/>
        <w:rPr>
          <w:rFonts w:ascii="Calibri" w:hAnsi="Calibri"/>
        </w:rPr>
      </w:pPr>
      <w:r w:rsidRPr="00CC362D">
        <w:rPr>
          <w:rFonts w:ascii="Calibri" w:hAnsi="Calibri"/>
        </w:rPr>
        <w:t xml:space="preserve">de kosten m.b.t. de sociale energie efficiëntieprojecten. </w:t>
      </w:r>
    </w:p>
    <w:p w14:paraId="36CDFDD1" w14:textId="77777777" w:rsidR="00EE5CD7" w:rsidRPr="00CC362D" w:rsidRDefault="00EE5CD7" w:rsidP="00EE5CD7">
      <w:pPr>
        <w:numPr>
          <w:ilvl w:val="0"/>
          <w:numId w:val="13"/>
        </w:numPr>
        <w:spacing w:before="0" w:line="240" w:lineRule="auto"/>
        <w:ind w:left="2127" w:hanging="426"/>
        <w:jc w:val="both"/>
        <w:rPr>
          <w:rFonts w:ascii="Calibri" w:hAnsi="Calibri"/>
        </w:rPr>
      </w:pPr>
      <w:r w:rsidRPr="00CC362D">
        <w:rPr>
          <w:rFonts w:ascii="Calibri" w:hAnsi="Calibri"/>
        </w:rPr>
        <w:t>Recuperatie van kosten van de openbaredienstverplichtingen m.b.t. het stimuleren van rationeel energiegebruik (REG):</w:t>
      </w:r>
    </w:p>
    <w:p w14:paraId="178F0662" w14:textId="77777777" w:rsidR="00EE5CD7" w:rsidRPr="00CC362D" w:rsidRDefault="00EE5CD7" w:rsidP="00EE5CD7">
      <w:pPr>
        <w:numPr>
          <w:ilvl w:val="1"/>
          <w:numId w:val="13"/>
        </w:numPr>
        <w:spacing w:before="0" w:line="240" w:lineRule="auto"/>
        <w:ind w:left="2694"/>
        <w:jc w:val="both"/>
        <w:rPr>
          <w:rFonts w:ascii="Calibri" w:hAnsi="Calibri"/>
        </w:rPr>
      </w:pPr>
      <w:r w:rsidRPr="00CC362D">
        <w:rPr>
          <w:rFonts w:ascii="Calibri" w:hAnsi="Calibri"/>
        </w:rPr>
        <w:t xml:space="preserve">Voor deze rubriek dient de elektriciteitsdistributienetbeheerder een afzonderlijke waarde te rapporteren voor </w:t>
      </w:r>
    </w:p>
    <w:p w14:paraId="64F48DB4" w14:textId="77777777" w:rsidR="00EE5CD7" w:rsidRPr="00CC362D" w:rsidRDefault="00EE5CD7" w:rsidP="00EE5CD7">
      <w:pPr>
        <w:numPr>
          <w:ilvl w:val="3"/>
          <w:numId w:val="13"/>
        </w:numPr>
        <w:spacing w:before="0" w:line="240" w:lineRule="auto"/>
        <w:jc w:val="both"/>
        <w:rPr>
          <w:rFonts w:ascii="Calibri" w:hAnsi="Calibri"/>
        </w:rPr>
      </w:pPr>
      <w:r w:rsidRPr="00CC362D">
        <w:rPr>
          <w:rFonts w:ascii="Calibri" w:hAnsi="Calibri"/>
        </w:rPr>
        <w:t xml:space="preserve">de recuperatie van kosten m.b.t. REG-premies, </w:t>
      </w:r>
    </w:p>
    <w:p w14:paraId="14ED23C3" w14:textId="77777777" w:rsidR="00EE5CD7" w:rsidRPr="00CC362D" w:rsidRDefault="00EE5CD7" w:rsidP="00EE5CD7">
      <w:pPr>
        <w:numPr>
          <w:ilvl w:val="3"/>
          <w:numId w:val="13"/>
        </w:numPr>
        <w:spacing w:before="0" w:line="240" w:lineRule="auto"/>
        <w:jc w:val="both"/>
        <w:rPr>
          <w:rFonts w:ascii="Calibri" w:hAnsi="Calibri"/>
        </w:rPr>
      </w:pPr>
      <w:r w:rsidRPr="00CC362D">
        <w:rPr>
          <w:rFonts w:ascii="Calibri" w:hAnsi="Calibri"/>
        </w:rPr>
        <w:t>de recuperatie van kosten m.b.t. de actieverplichting energiescans en</w:t>
      </w:r>
    </w:p>
    <w:p w14:paraId="68819C7F" w14:textId="77777777" w:rsidR="00EE5CD7" w:rsidRPr="00CC362D" w:rsidRDefault="00EE5CD7" w:rsidP="00EE5CD7">
      <w:pPr>
        <w:numPr>
          <w:ilvl w:val="3"/>
          <w:numId w:val="13"/>
        </w:numPr>
        <w:spacing w:before="0" w:line="240" w:lineRule="auto"/>
        <w:jc w:val="both"/>
        <w:rPr>
          <w:rFonts w:ascii="Calibri" w:hAnsi="Calibri"/>
        </w:rPr>
      </w:pPr>
      <w:r w:rsidRPr="00CC362D">
        <w:rPr>
          <w:rFonts w:ascii="Calibri" w:hAnsi="Calibri"/>
        </w:rPr>
        <w:t xml:space="preserve">de recuperatie van kosten m.b.t. de actieverplichting sociale energie efficiëntieprojecten. </w:t>
      </w:r>
    </w:p>
    <w:p w14:paraId="4F5D97DE" w14:textId="77777777" w:rsidR="00EE5CD7" w:rsidRPr="00CC362D" w:rsidRDefault="00EE5CD7" w:rsidP="00EE5CD7">
      <w:pPr>
        <w:numPr>
          <w:ilvl w:val="0"/>
          <w:numId w:val="13"/>
        </w:numPr>
        <w:spacing w:before="0" w:line="240" w:lineRule="auto"/>
        <w:ind w:left="2127" w:hanging="426"/>
        <w:jc w:val="both"/>
        <w:rPr>
          <w:rFonts w:ascii="Calibri" w:hAnsi="Calibri"/>
        </w:rPr>
      </w:pPr>
      <w:r w:rsidRPr="00CC362D">
        <w:rPr>
          <w:rFonts w:ascii="Calibri" w:hAnsi="Calibri"/>
        </w:rPr>
        <w:t>Kosten van verplicht aangekochte groenestroom- en warmtekrachtcertificaten aan minimumwaarde (cfr. Energiedecreet)</w:t>
      </w:r>
    </w:p>
    <w:p w14:paraId="5497F06C" w14:textId="77777777" w:rsidR="00EE5CD7" w:rsidRPr="00384D03" w:rsidRDefault="00EE5CD7" w:rsidP="00EE5CD7">
      <w:pPr>
        <w:numPr>
          <w:ilvl w:val="0"/>
          <w:numId w:val="13"/>
        </w:numPr>
        <w:spacing w:before="0" w:line="240" w:lineRule="auto"/>
        <w:ind w:left="2127" w:hanging="426"/>
        <w:jc w:val="both"/>
        <w:rPr>
          <w:rFonts w:ascii="Calibri" w:hAnsi="Calibri"/>
        </w:rPr>
      </w:pPr>
      <w:r w:rsidRPr="00384D03">
        <w:rPr>
          <w:rFonts w:ascii="Calibri" w:hAnsi="Calibri"/>
        </w:rPr>
        <w:t xml:space="preserve">Opbrengsten uit verkochte groenestroom- en warmtekrachtcertificaten </w:t>
      </w:r>
    </w:p>
    <w:p w14:paraId="63EF31BB" w14:textId="7C3D40FB" w:rsidR="00EE5CD7" w:rsidRPr="00384D03" w:rsidRDefault="00EE5CD7" w:rsidP="00EE5CD7">
      <w:pPr>
        <w:numPr>
          <w:ilvl w:val="1"/>
          <w:numId w:val="13"/>
        </w:numPr>
        <w:spacing w:before="0" w:line="240" w:lineRule="auto"/>
        <w:ind w:left="2694"/>
        <w:jc w:val="both"/>
        <w:rPr>
          <w:rFonts w:ascii="Calibri" w:hAnsi="Calibri"/>
        </w:rPr>
      </w:pPr>
      <w:r w:rsidRPr="00384D03">
        <w:rPr>
          <w:rFonts w:ascii="Calibri" w:hAnsi="Calibri"/>
        </w:rPr>
        <w:t>Hierbij dient de elektriciteitsdistributienetbeheerder een afzonderlijke waarde te rapporteren voor de opbrengsten uit de verkopen t.a.v. de Vlaamse Overheid</w:t>
      </w:r>
      <w:r w:rsidR="0012689B" w:rsidRPr="00384D03">
        <w:rPr>
          <w:rStyle w:val="Voetnootmarkering"/>
          <w:rFonts w:ascii="Calibri" w:hAnsi="Calibri"/>
        </w:rPr>
        <w:footnoteReference w:id="13"/>
      </w:r>
      <w:r w:rsidRPr="00384D03">
        <w:rPr>
          <w:rFonts w:ascii="Calibri" w:hAnsi="Calibri"/>
        </w:rPr>
        <w:t xml:space="preserve"> enerzijds en de overige verkopen anderzijds.</w:t>
      </w:r>
    </w:p>
    <w:p w14:paraId="6A53AC3F" w14:textId="77777777" w:rsidR="00EE5CD7" w:rsidRPr="00384D03" w:rsidRDefault="00EE5CD7" w:rsidP="00EE5CD7">
      <w:pPr>
        <w:numPr>
          <w:ilvl w:val="0"/>
          <w:numId w:val="13"/>
        </w:numPr>
        <w:spacing w:before="0" w:line="240" w:lineRule="auto"/>
        <w:ind w:left="2127" w:hanging="426"/>
        <w:jc w:val="both"/>
        <w:rPr>
          <w:rFonts w:ascii="Calibri" w:hAnsi="Calibri"/>
        </w:rPr>
      </w:pPr>
      <w:r w:rsidRPr="00384D03" w:rsidDel="009C0C6E">
        <w:rPr>
          <w:rFonts w:ascii="Calibri" w:hAnsi="Calibri"/>
        </w:rPr>
        <w:t xml:space="preserve"> </w:t>
      </w:r>
      <w:r w:rsidRPr="00384D03">
        <w:rPr>
          <w:rFonts w:ascii="Calibri" w:hAnsi="Calibri"/>
        </w:rPr>
        <w:t>Voorraadwijziging groenestroom- en warmtekrachtcertificaten</w:t>
      </w:r>
    </w:p>
    <w:p w14:paraId="2703DA82" w14:textId="77777777" w:rsidR="00EE5CD7" w:rsidRPr="00461273" w:rsidRDefault="00EE5CD7" w:rsidP="00EE5CD7">
      <w:pPr>
        <w:numPr>
          <w:ilvl w:val="1"/>
          <w:numId w:val="13"/>
        </w:numPr>
        <w:spacing w:before="0" w:line="240" w:lineRule="auto"/>
        <w:ind w:left="2694"/>
        <w:jc w:val="both"/>
        <w:rPr>
          <w:rFonts w:ascii="Calibri" w:hAnsi="Calibri"/>
        </w:rPr>
      </w:pPr>
      <w:r w:rsidRPr="00384D03">
        <w:rPr>
          <w:rFonts w:ascii="Calibri" w:hAnsi="Calibri"/>
        </w:rPr>
        <w:t xml:space="preserve">Voor deze rubrieken dient een negatieve waarde in rekening worden </w:t>
      </w:r>
      <w:r w:rsidRPr="00461273">
        <w:rPr>
          <w:rFonts w:ascii="Calibri" w:hAnsi="Calibri"/>
        </w:rPr>
        <w:t>genomen in het geval dat de voorraad gestegen is, en omgekeerd.</w:t>
      </w:r>
    </w:p>
    <w:p w14:paraId="59E27D19" w14:textId="77777777" w:rsidR="00EE5CD7" w:rsidRPr="00461273" w:rsidRDefault="00EE5CD7" w:rsidP="00EE5CD7">
      <w:pPr>
        <w:numPr>
          <w:ilvl w:val="0"/>
          <w:numId w:val="13"/>
        </w:numPr>
        <w:spacing w:before="0" w:line="240" w:lineRule="auto"/>
        <w:ind w:left="2127" w:hanging="426"/>
        <w:jc w:val="both"/>
        <w:rPr>
          <w:rFonts w:ascii="Calibri" w:hAnsi="Calibri"/>
        </w:rPr>
      </w:pPr>
      <w:r w:rsidRPr="00461273">
        <w:rPr>
          <w:rFonts w:ascii="Calibri" w:hAnsi="Calibri"/>
        </w:rPr>
        <w:t>Netto-uitgaven/-inkomsten i.h.k.v. de verrekening van de kost van groenestroom- en warmtekrachtcertificaten onder distributienetbeheerders conform het Energiedecreet (gekend onder de term ‘solidarisering’ van de kosten van de opkoopverplichting)</w:t>
      </w:r>
    </w:p>
    <w:p w14:paraId="60E61A0C" w14:textId="77777777" w:rsidR="00EE5CD7" w:rsidRPr="00461273" w:rsidRDefault="00EE5CD7" w:rsidP="00EE5CD7">
      <w:pPr>
        <w:numPr>
          <w:ilvl w:val="1"/>
          <w:numId w:val="13"/>
        </w:numPr>
        <w:spacing w:before="0" w:line="240" w:lineRule="auto"/>
        <w:ind w:left="2694"/>
        <w:jc w:val="both"/>
        <w:rPr>
          <w:rFonts w:ascii="Calibri" w:hAnsi="Calibri"/>
        </w:rPr>
      </w:pPr>
      <w:r w:rsidRPr="00461273">
        <w:rPr>
          <w:rFonts w:ascii="Calibri" w:hAnsi="Calibri"/>
        </w:rPr>
        <w:t>Voor deze rubriek dient een positieve waarde in rekening worden genomen in het geval van een netto-uitgave, en omgekeerd.</w:t>
      </w:r>
    </w:p>
    <w:p w14:paraId="768222C3" w14:textId="77777777" w:rsidR="00EE5CD7" w:rsidRPr="00461273" w:rsidRDefault="00EE5CD7" w:rsidP="00EE5CD7">
      <w:pPr>
        <w:numPr>
          <w:ilvl w:val="0"/>
          <w:numId w:val="13"/>
        </w:numPr>
        <w:spacing w:before="0" w:line="240" w:lineRule="auto"/>
        <w:ind w:left="2127" w:hanging="426"/>
        <w:jc w:val="both"/>
        <w:rPr>
          <w:rFonts w:ascii="Calibri" w:hAnsi="Calibri"/>
        </w:rPr>
      </w:pPr>
      <w:r w:rsidRPr="00461273">
        <w:rPr>
          <w:rFonts w:ascii="Calibri" w:hAnsi="Calibri"/>
        </w:rPr>
        <w:t>Opbrengsten uit niet-recurrente recuperatie van exogene kosten uit bijvoorbeeld fraudezaken</w:t>
      </w:r>
    </w:p>
    <w:p w14:paraId="797C7BF6" w14:textId="77777777" w:rsidR="00EE5CD7" w:rsidRPr="006B11CA" w:rsidRDefault="00EE5CD7" w:rsidP="00EE5CD7">
      <w:pPr>
        <w:numPr>
          <w:ilvl w:val="1"/>
          <w:numId w:val="13"/>
        </w:numPr>
        <w:spacing w:before="0" w:line="240" w:lineRule="auto"/>
        <w:ind w:left="2694"/>
        <w:jc w:val="both"/>
        <w:rPr>
          <w:rFonts w:ascii="Calibri" w:hAnsi="Calibri"/>
        </w:rPr>
      </w:pPr>
      <w:r w:rsidRPr="00461273">
        <w:rPr>
          <w:rFonts w:ascii="Calibri" w:hAnsi="Calibri"/>
        </w:rPr>
        <w:t xml:space="preserve">Voor deze rubriek dient de elektriciteitsdistributienetbeheerder een </w:t>
      </w:r>
      <w:r w:rsidRPr="006B11CA">
        <w:rPr>
          <w:rFonts w:ascii="Calibri" w:hAnsi="Calibri"/>
        </w:rPr>
        <w:t xml:space="preserve">afzonderlijke waarde te rapporteren voor de opbrengsten uit </w:t>
      </w:r>
      <w:r w:rsidRPr="006B11CA">
        <w:rPr>
          <w:rFonts w:ascii="Calibri" w:hAnsi="Calibri"/>
        </w:rPr>
        <w:lastRenderedPageBreak/>
        <w:t xml:space="preserve">recuperatie van onterecht uitgekeerde REG-premies enerzijds en steuncertificaten aan minimumwaarde anderzijds. </w:t>
      </w:r>
    </w:p>
    <w:p w14:paraId="37AC8693" w14:textId="77777777" w:rsidR="00EE5CD7" w:rsidRPr="006B11CA" w:rsidRDefault="00EE5CD7" w:rsidP="00EE5CD7">
      <w:pPr>
        <w:numPr>
          <w:ilvl w:val="0"/>
          <w:numId w:val="13"/>
        </w:numPr>
        <w:spacing w:before="0" w:line="240" w:lineRule="auto"/>
        <w:ind w:left="2127" w:hanging="426"/>
        <w:jc w:val="both"/>
        <w:rPr>
          <w:rFonts w:ascii="Calibri" w:hAnsi="Calibri"/>
        </w:rPr>
      </w:pPr>
      <w:r w:rsidRPr="006B11CA">
        <w:rPr>
          <w:rFonts w:ascii="Calibri" w:hAnsi="Calibri"/>
        </w:rPr>
        <w:t>Waardeverminderingen op vorderingen t.g.v. fraudedossiers</w:t>
      </w:r>
    </w:p>
    <w:p w14:paraId="70B39921" w14:textId="210A14A9" w:rsidR="00EE5CD7" w:rsidRPr="006B11CA" w:rsidRDefault="00EE5CD7" w:rsidP="00EE5CD7">
      <w:pPr>
        <w:numPr>
          <w:ilvl w:val="1"/>
          <w:numId w:val="13"/>
        </w:numPr>
        <w:spacing w:before="0" w:line="240" w:lineRule="auto"/>
        <w:ind w:left="2694"/>
        <w:jc w:val="both"/>
        <w:rPr>
          <w:rFonts w:ascii="Calibri" w:hAnsi="Calibri"/>
        </w:rPr>
      </w:pPr>
      <w:r w:rsidRPr="006B11CA">
        <w:rPr>
          <w:rFonts w:ascii="Calibri" w:hAnsi="Calibri"/>
        </w:rPr>
        <w:t xml:space="preserve">Ook hier dient de elektriciteitsdistributienetbeheerder een afzonderlijke waarde te rapporteren voor </w:t>
      </w:r>
      <w:r w:rsidR="00B54B13">
        <w:rPr>
          <w:rFonts w:ascii="Calibri" w:hAnsi="Calibri"/>
        </w:rPr>
        <w:t>de waardeverminderingen op vorderingen m.b</w:t>
      </w:r>
      <w:r w:rsidR="007231D5">
        <w:rPr>
          <w:rFonts w:ascii="Calibri" w:hAnsi="Calibri"/>
        </w:rPr>
        <w:t>.</w:t>
      </w:r>
      <w:r w:rsidR="00B54B13">
        <w:rPr>
          <w:rFonts w:ascii="Calibri" w:hAnsi="Calibri"/>
        </w:rPr>
        <w:t>t.</w:t>
      </w:r>
      <w:r w:rsidRPr="006B11CA">
        <w:rPr>
          <w:rFonts w:ascii="Calibri" w:hAnsi="Calibri"/>
        </w:rPr>
        <w:t xml:space="preserve"> onterecht uitgekeerde REG-premies enerzijds en steuncertificaten aan minimum</w:t>
      </w:r>
      <w:r w:rsidR="00461273" w:rsidRPr="006B11CA">
        <w:rPr>
          <w:rFonts w:ascii="Calibri" w:hAnsi="Calibri"/>
        </w:rPr>
        <w:t>waarde anderzijds</w:t>
      </w:r>
      <w:r w:rsidRPr="006B11CA">
        <w:rPr>
          <w:rFonts w:ascii="Calibri" w:hAnsi="Calibri"/>
        </w:rPr>
        <w:t>.</w:t>
      </w:r>
    </w:p>
    <w:p w14:paraId="35067E20" w14:textId="65F62B39" w:rsidR="00EE5CD7" w:rsidRDefault="00EE5CD7" w:rsidP="00EE5CD7">
      <w:pPr>
        <w:numPr>
          <w:ilvl w:val="0"/>
          <w:numId w:val="13"/>
        </w:numPr>
        <w:spacing w:before="0" w:line="240" w:lineRule="auto"/>
        <w:ind w:left="2127" w:hanging="426"/>
        <w:jc w:val="both"/>
        <w:rPr>
          <w:rFonts w:ascii="Calibri" w:hAnsi="Calibri"/>
        </w:rPr>
      </w:pPr>
      <w:r w:rsidRPr="006B11CA">
        <w:rPr>
          <w:rFonts w:ascii="Calibri" w:hAnsi="Calibri"/>
        </w:rPr>
        <w:t xml:space="preserve">Kosten t.g.v. terugvorderingen door de Vlaamse Overheid van onterechte </w:t>
      </w:r>
      <w:r w:rsidRPr="00AF5FA9">
        <w:rPr>
          <w:rFonts w:ascii="Calibri" w:hAnsi="Calibri"/>
        </w:rPr>
        <w:t>financiering van openbaredienstverplichtingen</w:t>
      </w:r>
      <w:r w:rsidR="006B11CA" w:rsidRPr="00AF5FA9">
        <w:rPr>
          <w:rFonts w:ascii="Calibri" w:hAnsi="Calibri"/>
        </w:rPr>
        <w:t>.</w:t>
      </w:r>
    </w:p>
    <w:p w14:paraId="347D84E5" w14:textId="023F10F1" w:rsidR="00BB056D" w:rsidRPr="0020429F" w:rsidRDefault="007B5E9B" w:rsidP="00BB056D">
      <w:pPr>
        <w:numPr>
          <w:ilvl w:val="0"/>
          <w:numId w:val="13"/>
        </w:numPr>
        <w:spacing w:before="0" w:line="240" w:lineRule="auto"/>
        <w:ind w:left="2127" w:hanging="426"/>
        <w:jc w:val="both"/>
        <w:rPr>
          <w:rFonts w:ascii="Calibri" w:hAnsi="Calibri"/>
          <w:color w:val="009999" w:themeColor="accent5"/>
        </w:rPr>
      </w:pPr>
      <w:r>
        <w:rPr>
          <w:rFonts w:ascii="Calibri" w:hAnsi="Calibri"/>
          <w:color w:val="009999" w:themeColor="accent5"/>
        </w:rPr>
        <w:t>[</w:t>
      </w:r>
      <w:r w:rsidR="00BB056D">
        <w:rPr>
          <w:rFonts w:ascii="Calibri" w:hAnsi="Calibri"/>
          <w:color w:val="009999" w:themeColor="accent5"/>
        </w:rPr>
        <w:t>Kosten en o</w:t>
      </w:r>
      <w:r w:rsidR="00BB056D" w:rsidRPr="0020429F">
        <w:rPr>
          <w:rFonts w:ascii="Calibri" w:hAnsi="Calibri"/>
          <w:color w:val="009999" w:themeColor="accent5"/>
        </w:rPr>
        <w:t>pbrengsten m.b.t. financiering OCMW-recuperaties inzake de minimale levering aardgas</w:t>
      </w:r>
      <w:r>
        <w:rPr>
          <w:rFonts w:ascii="Calibri" w:hAnsi="Calibri"/>
          <w:color w:val="009999" w:themeColor="accent5"/>
        </w:rPr>
        <w:t>]</w:t>
      </w:r>
      <w:r w:rsidR="00BB056D">
        <w:rPr>
          <w:rStyle w:val="Voetnootmarkering"/>
          <w:rFonts w:ascii="Calibri" w:hAnsi="Calibri"/>
          <w:color w:val="009999" w:themeColor="accent5"/>
        </w:rPr>
        <w:footnoteReference w:id="14"/>
      </w:r>
    </w:p>
    <w:p w14:paraId="33FF6970" w14:textId="2382FC94" w:rsidR="00EE5CD7" w:rsidRDefault="001864C7" w:rsidP="00EE5CD7">
      <w:pPr>
        <w:numPr>
          <w:ilvl w:val="0"/>
          <w:numId w:val="13"/>
        </w:numPr>
        <w:spacing w:before="0" w:line="240" w:lineRule="auto"/>
        <w:ind w:left="2127" w:hanging="426"/>
        <w:jc w:val="both"/>
        <w:rPr>
          <w:rFonts w:ascii="Calibri" w:hAnsi="Calibri"/>
        </w:rPr>
      </w:pPr>
      <w:r w:rsidRPr="001864C7">
        <w:rPr>
          <w:rFonts w:ascii="Calibri" w:hAnsi="Calibri"/>
        </w:rPr>
        <w:t>Toeslagen</w:t>
      </w:r>
    </w:p>
    <w:p w14:paraId="23870749" w14:textId="363F41C5" w:rsidR="00B86E8A" w:rsidRPr="00B86E8A" w:rsidRDefault="00B86E8A" w:rsidP="001338B9">
      <w:pPr>
        <w:numPr>
          <w:ilvl w:val="1"/>
          <w:numId w:val="13"/>
        </w:numPr>
        <w:spacing w:before="0" w:line="240" w:lineRule="auto"/>
        <w:ind w:left="2693" w:hanging="357"/>
        <w:jc w:val="both"/>
        <w:rPr>
          <w:rFonts w:ascii="Calibri" w:hAnsi="Calibri"/>
        </w:rPr>
      </w:pPr>
      <w:r w:rsidRPr="00B86E8A">
        <w:rPr>
          <w:rFonts w:ascii="Calibri" w:hAnsi="Calibri"/>
        </w:rPr>
        <w:t xml:space="preserve">Hierbij moet de distributienetbeheerder </w:t>
      </w:r>
      <w:r w:rsidR="00DB029B">
        <w:rPr>
          <w:rFonts w:ascii="Calibri" w:hAnsi="Calibri"/>
        </w:rPr>
        <w:t xml:space="preserve">voor elke kostenrubriek </w:t>
      </w:r>
      <w:r w:rsidRPr="00B86E8A">
        <w:rPr>
          <w:rFonts w:ascii="Calibri" w:hAnsi="Calibri"/>
        </w:rPr>
        <w:t xml:space="preserve">a.d.h.v. een afzonderlijk verklarende nota een gedetailleerde onderbouw van het ex-ante budget opleveren. Dit geeft de VREG de mogelijkheid om een inzicht te krijgen in de opbouw van de hier, door de distributienetbeheerder, gerapporteerde budgetwaarden. </w:t>
      </w:r>
    </w:p>
    <w:p w14:paraId="0E2F5211" w14:textId="74F14B01" w:rsidR="00B86E8A" w:rsidRPr="00B86E8A" w:rsidRDefault="00B86E8A" w:rsidP="001338B9">
      <w:pPr>
        <w:numPr>
          <w:ilvl w:val="1"/>
          <w:numId w:val="13"/>
        </w:numPr>
        <w:spacing w:before="0" w:line="240" w:lineRule="auto"/>
        <w:ind w:left="2693" w:hanging="357"/>
        <w:jc w:val="both"/>
        <w:rPr>
          <w:rFonts w:ascii="Calibri" w:hAnsi="Calibri"/>
        </w:rPr>
      </w:pPr>
      <w:r w:rsidRPr="00B86E8A">
        <w:rPr>
          <w:rFonts w:ascii="Calibri" w:hAnsi="Calibri"/>
        </w:rPr>
        <w:t>Bij de rapportering (zowel op ex-ante als ex-post basis) van de rubriek ‘lasten van niet-gekapitaliseerde pensioenen’ moet de distributienetbeheerder de betreffende financiële lasten buiten beschouwing laten. Inzake de rubriek ‘retributies’ moet de distributienetbeheerder bij een nieuwe retributieperiode alle getekende retributiereglementen van de relevante gemeenten aan de VREG bezorgen</w:t>
      </w:r>
      <w:r w:rsidR="007D0A11">
        <w:rPr>
          <w:rFonts w:ascii="Calibri" w:hAnsi="Calibri"/>
        </w:rPr>
        <w:t>, ongeacht het moment van rapportering (ex-ante of ex-post).</w:t>
      </w:r>
    </w:p>
    <w:p w14:paraId="732073D5" w14:textId="797D7C70" w:rsidR="00B86E8A" w:rsidRPr="001864C7" w:rsidRDefault="00B86E8A" w:rsidP="001338B9">
      <w:pPr>
        <w:spacing w:before="0" w:line="240" w:lineRule="auto"/>
        <w:ind w:left="1931"/>
        <w:jc w:val="both"/>
        <w:rPr>
          <w:rFonts w:ascii="Calibri" w:hAnsi="Calibri"/>
        </w:rPr>
      </w:pPr>
    </w:p>
    <w:p w14:paraId="687CB205" w14:textId="1BFFBB60" w:rsidR="00EE5CD7" w:rsidRPr="00EA6957" w:rsidRDefault="00EE5CD7" w:rsidP="00EE5CD7">
      <w:pPr>
        <w:rPr>
          <w:rFonts w:ascii="Calibri" w:hAnsi="Calibri"/>
        </w:rPr>
      </w:pPr>
      <w:r w:rsidRPr="00EA6957">
        <w:rPr>
          <w:rFonts w:ascii="Calibri" w:hAnsi="Calibri"/>
        </w:rPr>
        <w:t>Voor de ex-ante rapportering rapporteert de distributienetbeheerder aldus zijn budget voor elk van de betreffende kostenrubrieken voor boekjaar 20</w:t>
      </w:r>
      <w:r w:rsidR="00EA6957" w:rsidRPr="00EA6957">
        <w:rPr>
          <w:rFonts w:ascii="Calibri" w:hAnsi="Calibri"/>
        </w:rPr>
        <w:t>XX</w:t>
      </w:r>
      <w:r w:rsidRPr="00EA6957">
        <w:rPr>
          <w:rFonts w:ascii="Calibri" w:hAnsi="Calibri"/>
        </w:rPr>
        <w:t xml:space="preserve">. Hierbij wordt in ‘kolom H’ ook aangemerkt voor welke kostenrubrieken de distributienetbeheerder in een afzonderlijke nota een gedetailleerde onderbouwing voor het budget dient op te geven. Dit geeft de VREG de mogelijkheid om een inzicht te krijgen in de opbouw van de hier, door de distributienetbeheerder, gerapporteerde budgetwaarden. </w:t>
      </w:r>
    </w:p>
    <w:p w14:paraId="12C65CD6" w14:textId="730FF6F8" w:rsidR="00EE5CD7" w:rsidRPr="00ED1657" w:rsidRDefault="00EE5CD7" w:rsidP="00EE5CD7">
      <w:pPr>
        <w:rPr>
          <w:rFonts w:ascii="Calibri" w:hAnsi="Calibri"/>
        </w:rPr>
      </w:pPr>
      <w:r w:rsidRPr="00ED1657">
        <w:rPr>
          <w:rFonts w:ascii="Calibri" w:hAnsi="Calibri"/>
        </w:rPr>
        <w:t>Teneinde uit de ex-post rapportering het regulatoir saldo inzake exogene kosten te kunnen afleiden, worden in deze tabel per tariefcomponent ook de werkelijke opbrengsten</w:t>
      </w:r>
      <w:r w:rsidR="00EA6957" w:rsidRPr="00ED1657">
        <w:rPr>
          <w:rFonts w:ascii="Calibri" w:hAnsi="Calibri"/>
        </w:rPr>
        <w:t xml:space="preserve"> uit periodieke distributienettarieven</w:t>
      </w:r>
      <w:r w:rsidRPr="00ED1657">
        <w:rPr>
          <w:rFonts w:ascii="Calibri" w:hAnsi="Calibri"/>
        </w:rPr>
        <w:t xml:space="preserve"> m.b.t. exogene kosten voor het betreffende boekjaar opgenomen. De werkelijke opbrengsten uit de periodieke distributienettarieven voor exogene kosten kunnen eenduidig worden afgeleid uit ‘tabel 5C’ (elektriciteit-afname), ‘tabel 5D’ (elektriciteit-injectie)</w:t>
      </w:r>
      <w:r w:rsidR="004477DE" w:rsidRPr="00ED1657">
        <w:rPr>
          <w:rFonts w:ascii="Calibri" w:hAnsi="Calibri"/>
        </w:rPr>
        <w:t xml:space="preserve">, </w:t>
      </w:r>
      <w:r w:rsidRPr="00ED1657">
        <w:rPr>
          <w:rFonts w:ascii="Calibri" w:hAnsi="Calibri"/>
        </w:rPr>
        <w:t>‘tabel 5E’ (gas-afname)</w:t>
      </w:r>
      <w:r w:rsidR="004477DE" w:rsidRPr="00ED1657">
        <w:rPr>
          <w:rFonts w:ascii="Calibri" w:hAnsi="Calibri"/>
        </w:rPr>
        <w:t xml:space="preserve"> en ‘tabel 5F’ (gas-injectie)</w:t>
      </w:r>
      <w:r w:rsidRPr="00ED1657">
        <w:rPr>
          <w:rFonts w:ascii="Calibri" w:hAnsi="Calibri"/>
        </w:rPr>
        <w:t>. In elk van deze tabellen wordt namelijk zowel het aandeel van de werkelijke opbrengsten m.b.t. endogene kosten als het aandeel van de werkelijke opbrengsten m.b.t. exogene kosten uit de totale werkelijke opbrengsten afgeleid. Voor een meer gedetailleerde bespreking verwijzen we respectievelijk naar paragraaf</w:t>
      </w:r>
      <w:r w:rsidR="00ED1657" w:rsidRPr="00ED1657">
        <w:rPr>
          <w:rFonts w:ascii="Calibri" w:hAnsi="Calibri"/>
        </w:rPr>
        <w:t xml:space="preserve"> </w:t>
      </w:r>
      <w:r w:rsidR="00ED1657" w:rsidRPr="00ED1657">
        <w:rPr>
          <w:rFonts w:ascii="Calibri" w:hAnsi="Calibri"/>
        </w:rPr>
        <w:fldChar w:fldCharType="begin"/>
      </w:r>
      <w:r w:rsidR="00ED1657" w:rsidRPr="00ED1657">
        <w:rPr>
          <w:rFonts w:ascii="Calibri" w:hAnsi="Calibri"/>
        </w:rPr>
        <w:instrText xml:space="preserve"> REF _Ref39043394 \r \h </w:instrText>
      </w:r>
      <w:r w:rsidR="00ED1657">
        <w:rPr>
          <w:rFonts w:ascii="Calibri" w:hAnsi="Calibri"/>
        </w:rPr>
        <w:instrText xml:space="preserve"> \* MERGEFORMAT </w:instrText>
      </w:r>
      <w:r w:rsidR="00ED1657" w:rsidRPr="00ED1657">
        <w:rPr>
          <w:rFonts w:ascii="Calibri" w:hAnsi="Calibri"/>
        </w:rPr>
      </w:r>
      <w:r w:rsidR="00ED1657" w:rsidRPr="00ED1657">
        <w:rPr>
          <w:rFonts w:ascii="Calibri" w:hAnsi="Calibri"/>
        </w:rPr>
        <w:fldChar w:fldCharType="separate"/>
      </w:r>
      <w:r w:rsidR="00964FA9">
        <w:rPr>
          <w:rFonts w:ascii="Calibri" w:hAnsi="Calibri"/>
        </w:rPr>
        <w:t>1.2.1.9</w:t>
      </w:r>
      <w:r w:rsidR="00ED1657" w:rsidRPr="00ED1657">
        <w:rPr>
          <w:rFonts w:ascii="Calibri" w:hAnsi="Calibri"/>
        </w:rPr>
        <w:fldChar w:fldCharType="end"/>
      </w:r>
      <w:r w:rsidRPr="00ED1657">
        <w:rPr>
          <w:rFonts w:ascii="Calibri" w:hAnsi="Calibri"/>
        </w:rPr>
        <w:t xml:space="preserve">, paragraaf </w:t>
      </w:r>
      <w:r w:rsidR="00ED1657" w:rsidRPr="00ED1657">
        <w:rPr>
          <w:rFonts w:ascii="Calibri" w:hAnsi="Calibri"/>
        </w:rPr>
        <w:fldChar w:fldCharType="begin"/>
      </w:r>
      <w:r w:rsidR="00ED1657" w:rsidRPr="00ED1657">
        <w:rPr>
          <w:rFonts w:ascii="Calibri" w:hAnsi="Calibri"/>
        </w:rPr>
        <w:instrText xml:space="preserve"> REF _Ref39043403 \r \h </w:instrText>
      </w:r>
      <w:r w:rsidR="00ED1657">
        <w:rPr>
          <w:rFonts w:ascii="Calibri" w:hAnsi="Calibri"/>
        </w:rPr>
        <w:instrText xml:space="preserve"> \* MERGEFORMAT </w:instrText>
      </w:r>
      <w:r w:rsidR="00ED1657" w:rsidRPr="00ED1657">
        <w:rPr>
          <w:rFonts w:ascii="Calibri" w:hAnsi="Calibri"/>
        </w:rPr>
      </w:r>
      <w:r w:rsidR="00ED1657" w:rsidRPr="00ED1657">
        <w:rPr>
          <w:rFonts w:ascii="Calibri" w:hAnsi="Calibri"/>
        </w:rPr>
        <w:fldChar w:fldCharType="separate"/>
      </w:r>
      <w:r w:rsidR="00964FA9">
        <w:rPr>
          <w:rFonts w:ascii="Calibri" w:hAnsi="Calibri"/>
        </w:rPr>
        <w:t>1.2.1.10</w:t>
      </w:r>
      <w:r w:rsidR="00ED1657" w:rsidRPr="00ED1657">
        <w:rPr>
          <w:rFonts w:ascii="Calibri" w:hAnsi="Calibri"/>
        </w:rPr>
        <w:fldChar w:fldCharType="end"/>
      </w:r>
      <w:r w:rsidR="00ED1657" w:rsidRPr="00ED1657">
        <w:rPr>
          <w:rFonts w:ascii="Calibri" w:hAnsi="Calibri"/>
        </w:rPr>
        <w:t>,</w:t>
      </w:r>
      <w:r w:rsidRPr="00ED1657">
        <w:rPr>
          <w:rFonts w:ascii="Calibri" w:hAnsi="Calibri"/>
        </w:rPr>
        <w:t xml:space="preserve"> paragraaf </w:t>
      </w:r>
      <w:r w:rsidR="00ED1657" w:rsidRPr="00ED1657">
        <w:rPr>
          <w:rFonts w:ascii="Calibri" w:hAnsi="Calibri"/>
        </w:rPr>
        <w:fldChar w:fldCharType="begin"/>
      </w:r>
      <w:r w:rsidR="00ED1657" w:rsidRPr="00ED1657">
        <w:rPr>
          <w:rFonts w:ascii="Calibri" w:hAnsi="Calibri"/>
        </w:rPr>
        <w:instrText xml:space="preserve"> REF _Ref39043411 \r \h </w:instrText>
      </w:r>
      <w:r w:rsidR="00ED1657">
        <w:rPr>
          <w:rFonts w:ascii="Calibri" w:hAnsi="Calibri"/>
        </w:rPr>
        <w:instrText xml:space="preserve"> \* MERGEFORMAT </w:instrText>
      </w:r>
      <w:r w:rsidR="00ED1657" w:rsidRPr="00ED1657">
        <w:rPr>
          <w:rFonts w:ascii="Calibri" w:hAnsi="Calibri"/>
        </w:rPr>
      </w:r>
      <w:r w:rsidR="00ED1657" w:rsidRPr="00ED1657">
        <w:rPr>
          <w:rFonts w:ascii="Calibri" w:hAnsi="Calibri"/>
        </w:rPr>
        <w:fldChar w:fldCharType="separate"/>
      </w:r>
      <w:r w:rsidR="00964FA9">
        <w:rPr>
          <w:rFonts w:ascii="Calibri" w:hAnsi="Calibri"/>
        </w:rPr>
        <w:t>1.2.1.11</w:t>
      </w:r>
      <w:r w:rsidR="00ED1657" w:rsidRPr="00ED1657">
        <w:rPr>
          <w:rFonts w:ascii="Calibri" w:hAnsi="Calibri"/>
        </w:rPr>
        <w:fldChar w:fldCharType="end"/>
      </w:r>
      <w:r w:rsidR="00ED1657" w:rsidRPr="00ED1657">
        <w:rPr>
          <w:rFonts w:ascii="Calibri" w:hAnsi="Calibri"/>
        </w:rPr>
        <w:t xml:space="preserve"> en paragraaf </w:t>
      </w:r>
      <w:r w:rsidR="00ED1657" w:rsidRPr="00ED1657">
        <w:rPr>
          <w:rFonts w:ascii="Calibri" w:hAnsi="Calibri"/>
        </w:rPr>
        <w:fldChar w:fldCharType="begin"/>
      </w:r>
      <w:r w:rsidR="00ED1657" w:rsidRPr="00ED1657">
        <w:rPr>
          <w:rFonts w:ascii="Calibri" w:hAnsi="Calibri"/>
        </w:rPr>
        <w:instrText xml:space="preserve"> REF _Ref39043428 \r \h </w:instrText>
      </w:r>
      <w:r w:rsidR="00ED1657">
        <w:rPr>
          <w:rFonts w:ascii="Calibri" w:hAnsi="Calibri"/>
        </w:rPr>
        <w:instrText xml:space="preserve"> \* MERGEFORMAT </w:instrText>
      </w:r>
      <w:r w:rsidR="00ED1657" w:rsidRPr="00ED1657">
        <w:rPr>
          <w:rFonts w:ascii="Calibri" w:hAnsi="Calibri"/>
        </w:rPr>
      </w:r>
      <w:r w:rsidR="00ED1657" w:rsidRPr="00ED1657">
        <w:rPr>
          <w:rFonts w:ascii="Calibri" w:hAnsi="Calibri"/>
        </w:rPr>
        <w:fldChar w:fldCharType="separate"/>
      </w:r>
      <w:r w:rsidR="00964FA9">
        <w:rPr>
          <w:rFonts w:ascii="Calibri" w:hAnsi="Calibri"/>
        </w:rPr>
        <w:t>1.2.1.12</w:t>
      </w:r>
      <w:r w:rsidR="00ED1657" w:rsidRPr="00ED1657">
        <w:rPr>
          <w:rFonts w:ascii="Calibri" w:hAnsi="Calibri"/>
        </w:rPr>
        <w:fldChar w:fldCharType="end"/>
      </w:r>
      <w:r w:rsidRPr="00ED1657">
        <w:rPr>
          <w:rFonts w:ascii="Calibri" w:hAnsi="Calibri"/>
        </w:rPr>
        <w:t xml:space="preserve">. </w:t>
      </w:r>
    </w:p>
    <w:p w14:paraId="0FEDEFD1" w14:textId="77777777" w:rsidR="00DF30EC" w:rsidRDefault="00EE5CD7" w:rsidP="00EE5CD7">
      <w:pPr>
        <w:rPr>
          <w:rFonts w:ascii="Calibri" w:hAnsi="Calibri"/>
        </w:rPr>
      </w:pPr>
      <w:r w:rsidRPr="00EC107B">
        <w:rPr>
          <w:rFonts w:ascii="Calibri" w:hAnsi="Calibri"/>
        </w:rPr>
        <w:t xml:space="preserve">Rekening houdende met de ex-ante gebudgetteerde kosten, de ex-post werkelijke kosten en de ex-post werkelijke opbrengsten </w:t>
      </w:r>
      <w:r w:rsidR="00AA3492" w:rsidRPr="008E3632">
        <w:rPr>
          <w:rFonts w:ascii="Calibri" w:hAnsi="Calibri"/>
        </w:rPr>
        <w:t>uit de periodieke distributienettarieven</w:t>
      </w:r>
      <w:r w:rsidR="00AA3492">
        <w:rPr>
          <w:rFonts w:ascii="Calibri" w:hAnsi="Calibri"/>
        </w:rPr>
        <w:t xml:space="preserve"> voor</w:t>
      </w:r>
      <w:r w:rsidR="00F43675">
        <w:rPr>
          <w:rFonts w:ascii="Calibri" w:hAnsi="Calibri"/>
        </w:rPr>
        <w:t xml:space="preserve"> exogene kosten </w:t>
      </w:r>
      <w:r w:rsidRPr="00EC107B">
        <w:rPr>
          <w:rFonts w:ascii="Calibri" w:hAnsi="Calibri"/>
        </w:rPr>
        <w:t>voor boekjaar 20</w:t>
      </w:r>
      <w:r w:rsidR="00886E55" w:rsidRPr="00EC107B">
        <w:rPr>
          <w:rFonts w:ascii="Calibri" w:hAnsi="Calibri"/>
        </w:rPr>
        <w:t>XX</w:t>
      </w:r>
      <w:r w:rsidRPr="00EC107B">
        <w:rPr>
          <w:rFonts w:ascii="Calibri" w:hAnsi="Calibri"/>
        </w:rPr>
        <w:t>, kunnen we het regulatoir saldo inzake exogene kosten voor boekjaar 20</w:t>
      </w:r>
      <w:r w:rsidR="00886E55" w:rsidRPr="00EC107B">
        <w:rPr>
          <w:rFonts w:ascii="Calibri" w:hAnsi="Calibri"/>
        </w:rPr>
        <w:t>XX</w:t>
      </w:r>
      <w:r w:rsidRPr="00EC107B">
        <w:rPr>
          <w:rFonts w:ascii="Calibri" w:hAnsi="Calibri"/>
        </w:rPr>
        <w:t xml:space="preserve"> </w:t>
      </w:r>
      <w:r w:rsidRPr="00EC107B">
        <w:rPr>
          <w:rFonts w:ascii="Calibri" w:hAnsi="Calibri"/>
        </w:rPr>
        <w:lastRenderedPageBreak/>
        <w:t xml:space="preserve">bepalen. Merk hierbij op dat in de berekening van het regulatoir saldo per tariefcomponent onderaan deze tabel ook rekening wordt gehouden met </w:t>
      </w:r>
      <w:r w:rsidR="00DF30EC">
        <w:rPr>
          <w:rFonts w:ascii="Calibri" w:hAnsi="Calibri"/>
        </w:rPr>
        <w:t xml:space="preserve">volgende </w:t>
      </w:r>
      <w:r w:rsidRPr="00EC107B">
        <w:rPr>
          <w:rFonts w:ascii="Calibri" w:hAnsi="Calibri"/>
        </w:rPr>
        <w:t>methodologische bepaling</w:t>
      </w:r>
      <w:r w:rsidR="00DF30EC">
        <w:rPr>
          <w:rFonts w:ascii="Calibri" w:hAnsi="Calibri"/>
        </w:rPr>
        <w:t>en:</w:t>
      </w:r>
    </w:p>
    <w:p w14:paraId="5EE42A3F" w14:textId="215FC093" w:rsidR="00EE5CD7" w:rsidRDefault="00EE5CD7" w:rsidP="00DF30EC">
      <w:pPr>
        <w:pStyle w:val="Lijstalinea"/>
        <w:numPr>
          <w:ilvl w:val="0"/>
          <w:numId w:val="25"/>
        </w:numPr>
        <w:rPr>
          <w:rFonts w:ascii="Calibri" w:hAnsi="Calibri"/>
        </w:rPr>
      </w:pPr>
      <w:r w:rsidRPr="00DF30EC">
        <w:rPr>
          <w:rFonts w:ascii="Calibri" w:hAnsi="Calibri"/>
        </w:rPr>
        <w:t xml:space="preserve">het regulatoir saldo op de tariefcomponent voor aanrekening van reactieve energie wordt </w:t>
      </w:r>
      <w:r w:rsidR="00F66390">
        <w:rPr>
          <w:rFonts w:ascii="Calibri" w:hAnsi="Calibri"/>
        </w:rPr>
        <w:t xml:space="preserve">in 2021 </w:t>
      </w:r>
      <w:r w:rsidRPr="00DF30EC">
        <w:rPr>
          <w:rFonts w:ascii="Calibri" w:hAnsi="Calibri"/>
        </w:rPr>
        <w:t xml:space="preserve">afgebouwd </w:t>
      </w:r>
      <w:r w:rsidR="00FD0218" w:rsidRPr="00DF30EC">
        <w:rPr>
          <w:rFonts w:ascii="Calibri" w:hAnsi="Calibri"/>
        </w:rPr>
        <w:t xml:space="preserve">via de tariefcomponent voor basistarief gebruik van het net en vanaf 2022 via </w:t>
      </w:r>
      <w:r w:rsidR="00297715" w:rsidRPr="00DF30EC">
        <w:rPr>
          <w:rFonts w:ascii="Calibri" w:hAnsi="Calibri"/>
        </w:rPr>
        <w:t xml:space="preserve">de </w:t>
      </w:r>
      <w:r w:rsidR="00FD0218" w:rsidRPr="00DF30EC">
        <w:rPr>
          <w:rFonts w:ascii="Calibri" w:hAnsi="Calibri"/>
        </w:rPr>
        <w:t>tariefcomponent netgebruik</w:t>
      </w:r>
      <w:r w:rsidRPr="00DF30EC">
        <w:rPr>
          <w:rFonts w:ascii="Calibri" w:hAnsi="Calibri"/>
        </w:rPr>
        <w:t xml:space="preserve">. Bijgevolg houdt het regulatoir saldo inzake het </w:t>
      </w:r>
      <w:r w:rsidR="008C21F2" w:rsidRPr="00DF30EC">
        <w:rPr>
          <w:rFonts w:ascii="Calibri" w:hAnsi="Calibri"/>
        </w:rPr>
        <w:t>tarief netgebruik</w:t>
      </w:r>
      <w:r w:rsidRPr="00DF30EC">
        <w:rPr>
          <w:rFonts w:ascii="Calibri" w:hAnsi="Calibri"/>
        </w:rPr>
        <w:t xml:space="preserve"> </w:t>
      </w:r>
      <w:r w:rsidR="008C21F2" w:rsidRPr="00DF30EC">
        <w:rPr>
          <w:rFonts w:ascii="Calibri" w:hAnsi="Calibri"/>
        </w:rPr>
        <w:t xml:space="preserve">voor </w:t>
      </w:r>
      <w:r w:rsidRPr="00DF30EC">
        <w:rPr>
          <w:rFonts w:ascii="Calibri" w:hAnsi="Calibri"/>
        </w:rPr>
        <w:t>boekjaar 20</w:t>
      </w:r>
      <w:r w:rsidR="008C21F2" w:rsidRPr="00DF30EC">
        <w:rPr>
          <w:rFonts w:ascii="Calibri" w:hAnsi="Calibri"/>
        </w:rPr>
        <w:t>XX</w:t>
      </w:r>
      <w:r w:rsidRPr="00DF30EC">
        <w:rPr>
          <w:rFonts w:ascii="Calibri" w:hAnsi="Calibri"/>
        </w:rPr>
        <w:t xml:space="preserve"> ook meteen rekening met het regulatoir saldo inzake het tarief voor reactieve energie</w:t>
      </w:r>
      <w:r w:rsidR="00D85EB1">
        <w:rPr>
          <w:rFonts w:ascii="Calibri" w:hAnsi="Calibri"/>
        </w:rPr>
        <w:t>;</w:t>
      </w:r>
    </w:p>
    <w:p w14:paraId="2FC56134" w14:textId="23609308" w:rsidR="00196852" w:rsidRPr="00DF30EC" w:rsidRDefault="002956A8" w:rsidP="00DF30EC">
      <w:pPr>
        <w:pStyle w:val="Lijstalinea"/>
        <w:numPr>
          <w:ilvl w:val="0"/>
          <w:numId w:val="25"/>
        </w:numPr>
        <w:rPr>
          <w:rFonts w:ascii="Calibri" w:hAnsi="Calibri"/>
        </w:rPr>
      </w:pPr>
      <w:r>
        <w:rPr>
          <w:rFonts w:ascii="Calibri" w:hAnsi="Calibri"/>
        </w:rPr>
        <w:t xml:space="preserve">het regulatoir saldo op de tariefcomponent </w:t>
      </w:r>
      <w:r w:rsidR="00C031C0">
        <w:rPr>
          <w:rFonts w:ascii="Calibri" w:hAnsi="Calibri"/>
        </w:rPr>
        <w:t xml:space="preserve">inzake databeheer wordt </w:t>
      </w:r>
      <w:r w:rsidR="003B5505">
        <w:rPr>
          <w:rFonts w:ascii="Calibri" w:hAnsi="Calibri"/>
        </w:rPr>
        <w:t xml:space="preserve">vanaf 2021 </w:t>
      </w:r>
      <w:r w:rsidR="00D85EB1">
        <w:rPr>
          <w:rFonts w:ascii="Calibri" w:hAnsi="Calibri"/>
        </w:rPr>
        <w:t>afgebouwd via de tariefcomponent voor basistarief gebruik van het net</w:t>
      </w:r>
      <w:r w:rsidR="00016CBD">
        <w:rPr>
          <w:rFonts w:ascii="Calibri" w:hAnsi="Calibri"/>
        </w:rPr>
        <w:t xml:space="preserve"> (zowel voor de gereguleerde activiteit ‘elektriciteit’ als ‘aardgas’)</w:t>
      </w:r>
      <w:r w:rsidR="00D85EB1">
        <w:rPr>
          <w:rFonts w:ascii="Calibri" w:hAnsi="Calibri"/>
        </w:rPr>
        <w:t xml:space="preserve">, bij </w:t>
      </w:r>
      <w:r w:rsidR="009E368E">
        <w:rPr>
          <w:rFonts w:ascii="Calibri" w:hAnsi="Calibri"/>
        </w:rPr>
        <w:t>de gereguleerde activiteit ‘</w:t>
      </w:r>
      <w:r w:rsidR="00D85EB1">
        <w:rPr>
          <w:rFonts w:ascii="Calibri" w:hAnsi="Calibri"/>
        </w:rPr>
        <w:t>elektriciteit</w:t>
      </w:r>
      <w:r w:rsidR="009E368E">
        <w:rPr>
          <w:rFonts w:ascii="Calibri" w:hAnsi="Calibri"/>
        </w:rPr>
        <w:t>’</w:t>
      </w:r>
      <w:r w:rsidR="00D85EB1">
        <w:rPr>
          <w:rFonts w:ascii="Calibri" w:hAnsi="Calibri"/>
        </w:rPr>
        <w:t xml:space="preserve"> vanaf 2022 via de tariefcomponent netgebruik.</w:t>
      </w:r>
    </w:p>
    <w:p w14:paraId="7235AF0A" w14:textId="1891E93D" w:rsidR="00EE5CD7" w:rsidRPr="008E3632" w:rsidRDefault="00EE5CD7" w:rsidP="00EE5CD7">
      <w:pPr>
        <w:pStyle w:val="Kop4"/>
      </w:pPr>
      <w:bookmarkStart w:id="80" w:name="_Toc81512463"/>
      <w:r w:rsidRPr="008E3632">
        <w:t>TABEL 4A: Opvolging regulatoir saldo inzake exogene kosten</w:t>
      </w:r>
      <w:bookmarkEnd w:id="80"/>
      <w:r w:rsidRPr="008E3632">
        <w:t xml:space="preserve"> </w:t>
      </w:r>
    </w:p>
    <w:p w14:paraId="10891204" w14:textId="17C7E7F7" w:rsidR="00EE5CD7" w:rsidRPr="008E3632" w:rsidRDefault="00EE5CD7" w:rsidP="00EE5CD7">
      <w:pPr>
        <w:rPr>
          <w:rFonts w:ascii="Calibri" w:hAnsi="Calibri"/>
        </w:rPr>
      </w:pPr>
      <w:r w:rsidRPr="008E3632">
        <w:rPr>
          <w:rFonts w:ascii="Calibri" w:hAnsi="Calibri"/>
        </w:rPr>
        <w:t xml:space="preserve">Zoals reeds in paragraaf </w:t>
      </w:r>
      <w:r w:rsidR="00CB4E37" w:rsidRPr="008E3632">
        <w:rPr>
          <w:rFonts w:ascii="Calibri" w:hAnsi="Calibri"/>
        </w:rPr>
        <w:fldChar w:fldCharType="begin"/>
      </w:r>
      <w:r w:rsidR="00CB4E37" w:rsidRPr="008E3632">
        <w:rPr>
          <w:rFonts w:ascii="Calibri" w:hAnsi="Calibri"/>
        </w:rPr>
        <w:instrText xml:space="preserve"> REF _Ref39065608 \r \h </w:instrText>
      </w:r>
      <w:r w:rsidR="008E3632">
        <w:rPr>
          <w:rFonts w:ascii="Calibri" w:hAnsi="Calibri"/>
        </w:rPr>
        <w:instrText xml:space="preserve"> \* MERGEFORMAT </w:instrText>
      </w:r>
      <w:r w:rsidR="00CB4E37" w:rsidRPr="008E3632">
        <w:rPr>
          <w:rFonts w:ascii="Calibri" w:hAnsi="Calibri"/>
        </w:rPr>
      </w:r>
      <w:r w:rsidR="00CB4E37" w:rsidRPr="008E3632">
        <w:rPr>
          <w:rFonts w:ascii="Calibri" w:hAnsi="Calibri"/>
        </w:rPr>
        <w:fldChar w:fldCharType="separate"/>
      </w:r>
      <w:r w:rsidR="00964FA9">
        <w:rPr>
          <w:rFonts w:ascii="Calibri" w:hAnsi="Calibri"/>
        </w:rPr>
        <w:t>1.2.1.4</w:t>
      </w:r>
      <w:r w:rsidR="00CB4E37" w:rsidRPr="008E3632">
        <w:rPr>
          <w:rFonts w:ascii="Calibri" w:hAnsi="Calibri"/>
        </w:rPr>
        <w:fldChar w:fldCharType="end"/>
      </w:r>
      <w:r w:rsidRPr="008E3632">
        <w:rPr>
          <w:rFonts w:ascii="Calibri" w:hAnsi="Calibri"/>
        </w:rPr>
        <w:t xml:space="preserve"> aangegeven, volgt er een regulatoir saldo inzake exogene kosten uit het verschil tussen de werkelijke exogene kosten en de werkelijke opbrengsten uit de periodieke distributienettarieven</w:t>
      </w:r>
      <w:r w:rsidR="00A007A6">
        <w:rPr>
          <w:rFonts w:ascii="Calibri" w:hAnsi="Calibri"/>
        </w:rPr>
        <w:t xml:space="preserve"> voor exogene kosten</w:t>
      </w:r>
      <w:r w:rsidRPr="008E3632">
        <w:rPr>
          <w:rFonts w:ascii="Calibri" w:hAnsi="Calibri"/>
        </w:rPr>
        <w:t xml:space="preserve"> (gerapporteerd op ex-post basis en jaarlijks af te leiden uit ‘tabel 3’) en dit aangezien de periodieke distributienettarieven voor exogene kosten voor het respectievelijke boekjaar worden bepaald op basis van budgetwaarden. Deze ‘tabel 4A’ laat een jaarlijkse opvolging van dit regulatoir saldo inzake exogene kosten toe. Deze tabel toont enerzijds de saldi inzake exogene kosten die door de VREG werden goedgekeurd (bovenaan) en anderzijds de saldi die door de distributienetbeheerder werden ingeboekt.</w:t>
      </w:r>
    </w:p>
    <w:p w14:paraId="1E94C182" w14:textId="0A05CE5E" w:rsidR="00AD417F" w:rsidRPr="008E3632" w:rsidRDefault="00AD417F" w:rsidP="00EE5CD7">
      <w:pPr>
        <w:rPr>
          <w:rFonts w:ascii="Calibri" w:hAnsi="Calibri"/>
        </w:rPr>
      </w:pPr>
      <w:r w:rsidRPr="008E3632">
        <w:rPr>
          <w:rFonts w:ascii="Calibri" w:hAnsi="Calibri"/>
        </w:rPr>
        <w:t xml:space="preserve">Merk op dat </w:t>
      </w:r>
      <w:r w:rsidR="00D74A68" w:rsidRPr="008E3632">
        <w:rPr>
          <w:rFonts w:ascii="Calibri" w:hAnsi="Calibri"/>
        </w:rPr>
        <w:t xml:space="preserve">daarbij voor de periode 2015-2021 </w:t>
      </w:r>
      <w:r w:rsidR="00EF2817" w:rsidRPr="008E3632">
        <w:rPr>
          <w:rFonts w:ascii="Calibri" w:hAnsi="Calibri"/>
        </w:rPr>
        <w:t xml:space="preserve">voor de gereguleerde activiteit ‘elektriciteit’ </w:t>
      </w:r>
      <w:r w:rsidR="00D74A68" w:rsidRPr="008E3632">
        <w:rPr>
          <w:rFonts w:ascii="Calibri" w:hAnsi="Calibri"/>
        </w:rPr>
        <w:t xml:space="preserve">zowel de regulatoire saldi inzake exogene kosten m.b.t. distributie en m.b.t. transmissie </w:t>
      </w:r>
      <w:r w:rsidR="00701DE2">
        <w:rPr>
          <w:rFonts w:ascii="Calibri" w:hAnsi="Calibri"/>
        </w:rPr>
        <w:t xml:space="preserve">samen </w:t>
      </w:r>
      <w:r w:rsidR="00D74A68" w:rsidRPr="008E3632">
        <w:rPr>
          <w:rFonts w:ascii="Calibri" w:hAnsi="Calibri"/>
        </w:rPr>
        <w:t xml:space="preserve">moeten beschouwd worden. Dit aangezien het regulatoir saldo inzake exogene kosten m.b.t. transmissie vanaf </w:t>
      </w:r>
      <w:r w:rsidR="00221AE2">
        <w:rPr>
          <w:rFonts w:ascii="Calibri" w:hAnsi="Calibri"/>
        </w:rPr>
        <w:t xml:space="preserve">het boekjaar </w:t>
      </w:r>
      <w:r w:rsidR="00D74A68" w:rsidRPr="008E3632">
        <w:rPr>
          <w:rFonts w:ascii="Calibri" w:hAnsi="Calibri"/>
        </w:rPr>
        <w:t>2022</w:t>
      </w:r>
      <w:r w:rsidR="00EF2817" w:rsidRPr="008E3632">
        <w:rPr>
          <w:rFonts w:ascii="Calibri" w:hAnsi="Calibri"/>
        </w:rPr>
        <w:t>, gegeven de nieuwe tariefstructuur,</w:t>
      </w:r>
      <w:r w:rsidR="00D74A68" w:rsidRPr="008E3632">
        <w:rPr>
          <w:rFonts w:ascii="Calibri" w:hAnsi="Calibri"/>
        </w:rPr>
        <w:t xml:space="preserve"> niet langer </w:t>
      </w:r>
      <w:r w:rsidR="007A3C55" w:rsidRPr="008E3632">
        <w:rPr>
          <w:rFonts w:ascii="Calibri" w:hAnsi="Calibri"/>
        </w:rPr>
        <w:t>pertinent is.</w:t>
      </w:r>
      <w:r w:rsidR="00456297">
        <w:rPr>
          <w:rFonts w:ascii="Calibri" w:hAnsi="Calibri"/>
        </w:rPr>
        <w:t xml:space="preserve"> Bijgevolg is in het rapporteringsmodel niet langer een ‘tabel 4C’ opgenomen zoals dit voor de vorige jaren wel het geval was. </w:t>
      </w:r>
      <w:r w:rsidR="00506DDF">
        <w:rPr>
          <w:rFonts w:ascii="Calibri" w:hAnsi="Calibri"/>
        </w:rPr>
        <w:t>He</w:t>
      </w:r>
      <w:r w:rsidR="00AA3492">
        <w:rPr>
          <w:rFonts w:ascii="Calibri" w:hAnsi="Calibri"/>
        </w:rPr>
        <w:t xml:space="preserve">t per 31/12/2021 nog af te bouwen regulatoir saldo </w:t>
      </w:r>
      <w:r w:rsidR="00506DDF">
        <w:rPr>
          <w:rFonts w:ascii="Calibri" w:hAnsi="Calibri"/>
        </w:rPr>
        <w:t xml:space="preserve">inzake exogene kosten m.b.t. transmissie wordt daarbij </w:t>
      </w:r>
      <w:r w:rsidR="00AA3492">
        <w:rPr>
          <w:rFonts w:ascii="Calibri" w:hAnsi="Calibri"/>
        </w:rPr>
        <w:t xml:space="preserve">integraal aan </w:t>
      </w:r>
      <w:r w:rsidR="001E308C">
        <w:rPr>
          <w:rFonts w:ascii="Calibri" w:hAnsi="Calibri"/>
        </w:rPr>
        <w:t>het tarief netgebruik</w:t>
      </w:r>
      <w:r w:rsidR="00AA3492">
        <w:rPr>
          <w:rFonts w:ascii="Calibri" w:hAnsi="Calibri"/>
        </w:rPr>
        <w:t xml:space="preserve"> toegewezen. </w:t>
      </w:r>
    </w:p>
    <w:p w14:paraId="4FC3F8E6" w14:textId="77777777" w:rsidR="00A528ED" w:rsidRDefault="00A528ED" w:rsidP="00A528ED">
      <w:pPr>
        <w:rPr>
          <w:rFonts w:ascii="Calibri" w:hAnsi="Calibri"/>
        </w:rPr>
      </w:pPr>
      <w:r>
        <w:rPr>
          <w:rFonts w:ascii="Calibri" w:hAnsi="Calibri"/>
        </w:rPr>
        <w:t>Op ex-post basis kan de distributienetbeheerder d</w:t>
      </w:r>
      <w:r w:rsidRPr="000C7213">
        <w:rPr>
          <w:rFonts w:ascii="Calibri" w:hAnsi="Calibri"/>
        </w:rPr>
        <w:t>it saldo voor boekjaar 20</w:t>
      </w:r>
      <w:r>
        <w:rPr>
          <w:rFonts w:ascii="Calibri" w:hAnsi="Calibri"/>
        </w:rPr>
        <w:t>XX dus</w:t>
      </w:r>
      <w:r w:rsidRPr="000C7213">
        <w:rPr>
          <w:rFonts w:ascii="Calibri" w:hAnsi="Calibri"/>
        </w:rPr>
        <w:t xml:space="preserve"> eenduidig uit ‘tabel </w:t>
      </w:r>
      <w:r>
        <w:rPr>
          <w:rFonts w:ascii="Calibri" w:hAnsi="Calibri"/>
        </w:rPr>
        <w:t>3</w:t>
      </w:r>
      <w:r w:rsidRPr="000C7213">
        <w:rPr>
          <w:rFonts w:ascii="Calibri" w:hAnsi="Calibri"/>
        </w:rPr>
        <w:t>’ van het betreffende rapporteringsmodel</w:t>
      </w:r>
      <w:r>
        <w:rPr>
          <w:rFonts w:ascii="Calibri" w:hAnsi="Calibri"/>
        </w:rPr>
        <w:t xml:space="preserve"> afleiden</w:t>
      </w:r>
      <w:r w:rsidRPr="000C7213">
        <w:rPr>
          <w:rFonts w:ascii="Calibri" w:hAnsi="Calibri"/>
        </w:rPr>
        <w:t xml:space="preserve">. </w:t>
      </w:r>
      <w:r>
        <w:rPr>
          <w:rFonts w:ascii="Calibri" w:hAnsi="Calibri"/>
        </w:rPr>
        <w:t xml:space="preserve">Ook voor de voorgaande boekjaren rapporteert de distributienetbeheerder de betreffende regulatoire saldi. </w:t>
      </w:r>
    </w:p>
    <w:p w14:paraId="48AA7E81" w14:textId="2C3067D2" w:rsidR="00A528ED" w:rsidRDefault="00A528ED" w:rsidP="00A528ED">
      <w:pPr>
        <w:rPr>
          <w:rFonts w:ascii="Calibri" w:hAnsi="Calibri"/>
        </w:rPr>
      </w:pPr>
      <w:r>
        <w:rPr>
          <w:rFonts w:ascii="Calibri" w:hAnsi="Calibri"/>
        </w:rPr>
        <w:t>Op ex-ante basis dient de distributienetbeheerder het regulatoir saldo voor de voorgaande boekjaren te rapporteren.</w:t>
      </w:r>
    </w:p>
    <w:p w14:paraId="7584CED5" w14:textId="7A23C0DB" w:rsidR="00EE5CD7" w:rsidRPr="008E3632" w:rsidRDefault="00EE5CD7" w:rsidP="00EE5CD7">
      <w:pPr>
        <w:rPr>
          <w:rFonts w:ascii="Calibri" w:hAnsi="Calibri"/>
        </w:rPr>
      </w:pPr>
      <w:r w:rsidRPr="008E3632">
        <w:rPr>
          <w:rFonts w:ascii="Calibri" w:hAnsi="Calibri"/>
        </w:rPr>
        <w:t xml:space="preserve">Hierbij toont de eerste tabel onder de rubriek ‘Invloed op het resultaat’ het saldo van het boekjaar dat door de distributienetbeheerder werd overgeboekt van de resultatenrekening naar de overlopende rekeningen. Eventuele correcties op dit saldo kunnen nog door de VREG in de daaropvolgende boekja(a)r(en) worden beslist. De volgende tabel onder deze rubriek toont de terugname of afbouw van deze saldi vanuit de overlopende rekeningen op de balans naar de resultatenrekening, conform de bepalingen in de huidige en vorige tariefmethodologieën. </w:t>
      </w:r>
    </w:p>
    <w:p w14:paraId="02FFC81B" w14:textId="77777777" w:rsidR="00EE5CD7" w:rsidRPr="008E3632" w:rsidRDefault="00EE5CD7" w:rsidP="00EE5CD7">
      <w:pPr>
        <w:rPr>
          <w:rFonts w:ascii="Calibri" w:hAnsi="Calibri"/>
        </w:rPr>
      </w:pPr>
      <w:r w:rsidRPr="008E3632">
        <w:rPr>
          <w:rFonts w:ascii="Calibri" w:hAnsi="Calibri"/>
        </w:rPr>
        <w:t xml:space="preserve">De laatste tabel toont de evolutie van de overlopende rekeningen voor een specifiek boekjaar op basis van de boeking en terugname van de saldi in de loop van het boekjaar. </w:t>
      </w:r>
    </w:p>
    <w:p w14:paraId="29AC57B3" w14:textId="652949C7" w:rsidR="006729B7" w:rsidRPr="006729B7" w:rsidRDefault="00EE5CD7" w:rsidP="006729B7">
      <w:pPr>
        <w:rPr>
          <w:rFonts w:ascii="Calibri" w:hAnsi="Calibri"/>
        </w:rPr>
      </w:pPr>
      <w:r w:rsidRPr="008E3632">
        <w:rPr>
          <w:rFonts w:ascii="Calibri" w:hAnsi="Calibri"/>
        </w:rPr>
        <w:t>Het saldo inzake exogene kosten zal voor boekjaar 20</w:t>
      </w:r>
      <w:r w:rsidR="001F3C86" w:rsidRPr="008E3632">
        <w:rPr>
          <w:rFonts w:ascii="Calibri" w:hAnsi="Calibri"/>
        </w:rPr>
        <w:t>XX</w:t>
      </w:r>
      <w:r w:rsidRPr="008E3632">
        <w:rPr>
          <w:rFonts w:ascii="Calibri" w:hAnsi="Calibri"/>
        </w:rPr>
        <w:t xml:space="preserve"> een negatieve waarde aannemen indien de werkelijke exogene kosten voor boekjaar 20</w:t>
      </w:r>
      <w:r w:rsidR="001F3C86" w:rsidRPr="008E3632">
        <w:rPr>
          <w:rFonts w:ascii="Calibri" w:hAnsi="Calibri"/>
        </w:rPr>
        <w:t>XX</w:t>
      </w:r>
      <w:r w:rsidRPr="008E3632">
        <w:rPr>
          <w:rFonts w:ascii="Calibri" w:hAnsi="Calibri"/>
        </w:rPr>
        <w:t xml:space="preserve"> lager waren dan de werkelijke opbrengsten uit </w:t>
      </w:r>
      <w:r w:rsidRPr="005B420D">
        <w:rPr>
          <w:rFonts w:ascii="Calibri" w:hAnsi="Calibri"/>
        </w:rPr>
        <w:lastRenderedPageBreak/>
        <w:t>periodieke distributienettarieven voor de exogene kosten voor boekjaar 202</w:t>
      </w:r>
      <w:r w:rsidR="008E3632" w:rsidRPr="005B420D">
        <w:rPr>
          <w:rFonts w:ascii="Calibri" w:hAnsi="Calibri"/>
        </w:rPr>
        <w:t>XX</w:t>
      </w:r>
      <w:r w:rsidRPr="005B420D">
        <w:rPr>
          <w:rFonts w:ascii="Calibri" w:hAnsi="Calibri"/>
        </w:rPr>
        <w:t>. In dat geval zullen deze werkelijke opbrengsten worden afgeroomd ten bedrage van dit saldo en worden overgeboekt naar de overlopende rekening op het passief. De terugname van dit saldo zal bijgevolg een teruggave van een overschot betekenen en dus ook een verlaging van de toekomstige periodieke distributienettarieven inhouden.</w:t>
      </w:r>
    </w:p>
    <w:p w14:paraId="53AD4818" w14:textId="5825BB69" w:rsidR="00EE5CD7" w:rsidRPr="005B420D" w:rsidRDefault="00EE5CD7" w:rsidP="00EE5CD7">
      <w:pPr>
        <w:pStyle w:val="Kop4"/>
      </w:pPr>
      <w:r w:rsidRPr="005B420D">
        <w:t xml:space="preserve"> </w:t>
      </w:r>
      <w:bookmarkStart w:id="81" w:name="_Ref39040195"/>
      <w:bookmarkStart w:id="82" w:name="_Toc81512464"/>
      <w:r w:rsidRPr="005B420D">
        <w:t>TABEL 4B: Overzicht regulatoir saldo inzake exogene kosten per tariefcomponent</w:t>
      </w:r>
      <w:bookmarkEnd w:id="81"/>
      <w:bookmarkEnd w:id="82"/>
    </w:p>
    <w:p w14:paraId="06B3ADAA" w14:textId="661B2648" w:rsidR="00AB401A" w:rsidRPr="005B420D" w:rsidRDefault="00EE5CD7" w:rsidP="00EE5CD7">
      <w:pPr>
        <w:rPr>
          <w:rFonts w:ascii="Calibri" w:hAnsi="Calibri"/>
        </w:rPr>
      </w:pPr>
      <w:r w:rsidRPr="005B420D">
        <w:rPr>
          <w:rFonts w:ascii="Calibri" w:hAnsi="Calibri"/>
        </w:rPr>
        <w:t>Op basis van ‘tabel 3’ kan het regulatoir saldo inzake exogene kosten voor het boekjaar 20</w:t>
      </w:r>
      <w:r w:rsidR="00052889" w:rsidRPr="005B420D">
        <w:rPr>
          <w:rFonts w:ascii="Calibri" w:hAnsi="Calibri"/>
        </w:rPr>
        <w:t>XX</w:t>
      </w:r>
      <w:r w:rsidRPr="005B420D">
        <w:rPr>
          <w:rFonts w:ascii="Calibri" w:hAnsi="Calibri"/>
        </w:rPr>
        <w:t xml:space="preserve"> ook worden geïdentificeerd per tariefcomponent. Daarom dient de distributienetbeheerder in deze tabel vooreerst per tariefcomponent een overzicht te geven van de jaarlijks geboekte regulatoire saldi inzake exogene kosten.</w:t>
      </w:r>
      <w:r w:rsidR="00E95350" w:rsidRPr="005B420D">
        <w:rPr>
          <w:rFonts w:ascii="Calibri" w:hAnsi="Calibri"/>
        </w:rPr>
        <w:t xml:space="preserve"> Merk hierbij op dat t.g.v. de invoering van de nieuwe tariefstructuur vanaf 2022 </w:t>
      </w:r>
      <w:r w:rsidR="00181E1C">
        <w:rPr>
          <w:rFonts w:ascii="Calibri" w:hAnsi="Calibri"/>
        </w:rPr>
        <w:t xml:space="preserve">voor de gereguleerde activiteit ‘elektriciteit’ </w:t>
      </w:r>
      <w:r w:rsidR="00E95350" w:rsidRPr="005B420D">
        <w:rPr>
          <w:rFonts w:ascii="Calibri" w:hAnsi="Calibri"/>
        </w:rPr>
        <w:t>zowel de oude als nieuwe tariefcomponenten nog in de</w:t>
      </w:r>
      <w:r w:rsidR="00AB401A" w:rsidRPr="005B420D">
        <w:rPr>
          <w:rFonts w:ascii="Calibri" w:hAnsi="Calibri"/>
        </w:rPr>
        <w:t>ze tabel zijn opgenomen. We geven hieronder een invulinstructie per specifieke tariefcomponent</w:t>
      </w:r>
      <w:r w:rsidR="00FA05EC">
        <w:rPr>
          <w:rFonts w:ascii="Calibri" w:hAnsi="Calibri"/>
        </w:rPr>
        <w:t xml:space="preserve"> en per gereguleerde activiteit</w:t>
      </w:r>
      <w:r w:rsidR="00AB401A" w:rsidRPr="005B420D">
        <w:rPr>
          <w:rFonts w:ascii="Calibri" w:hAnsi="Calibri"/>
        </w:rPr>
        <w:t>:</w:t>
      </w:r>
    </w:p>
    <w:p w14:paraId="592D1033" w14:textId="76162130" w:rsidR="00AB401A" w:rsidRPr="005B420D" w:rsidRDefault="00AB401A" w:rsidP="00AB401A">
      <w:pPr>
        <w:pStyle w:val="Lijstalinea"/>
        <w:numPr>
          <w:ilvl w:val="0"/>
          <w:numId w:val="25"/>
        </w:numPr>
        <w:rPr>
          <w:rFonts w:ascii="Calibri" w:hAnsi="Calibri"/>
        </w:rPr>
      </w:pPr>
      <w:r w:rsidRPr="005B420D">
        <w:rPr>
          <w:rFonts w:ascii="Calibri" w:hAnsi="Calibri"/>
        </w:rPr>
        <w:t>Het basistarief voor het gebruik van het net</w:t>
      </w:r>
    </w:p>
    <w:p w14:paraId="4A042439" w14:textId="4DDB2FAD" w:rsidR="00AB401A" w:rsidRPr="005B420D" w:rsidRDefault="00AB401A" w:rsidP="00AB401A">
      <w:pPr>
        <w:pStyle w:val="Lijstalinea"/>
        <w:numPr>
          <w:ilvl w:val="1"/>
          <w:numId w:val="25"/>
        </w:numPr>
        <w:rPr>
          <w:rFonts w:ascii="Calibri" w:hAnsi="Calibri"/>
        </w:rPr>
      </w:pPr>
      <w:r w:rsidRPr="005B420D">
        <w:rPr>
          <w:rFonts w:ascii="Calibri" w:hAnsi="Calibri"/>
        </w:rPr>
        <w:t>Voor de gereguleerde activiteit ‘</w:t>
      </w:r>
      <w:r w:rsidR="00195584" w:rsidRPr="005B420D">
        <w:rPr>
          <w:rFonts w:ascii="Calibri" w:hAnsi="Calibri"/>
        </w:rPr>
        <w:t>elektriciteit’ dient voor deze tariefcomponent het betreffende regulatoir saldo voor de periode 2015-2021 te worden gerapporteerd</w:t>
      </w:r>
      <w:r w:rsidR="000C5FBB" w:rsidRPr="005B420D">
        <w:rPr>
          <w:rFonts w:ascii="Calibri" w:hAnsi="Calibri"/>
        </w:rPr>
        <w:t xml:space="preserve">. </w:t>
      </w:r>
      <w:r w:rsidR="00A20998" w:rsidRPr="005B420D">
        <w:rPr>
          <w:rFonts w:ascii="Calibri" w:hAnsi="Calibri"/>
        </w:rPr>
        <w:t xml:space="preserve">Onder de nieuwe tariefstructuur </w:t>
      </w:r>
      <w:r w:rsidR="00190F7F" w:rsidRPr="005B420D">
        <w:rPr>
          <w:rFonts w:ascii="Calibri" w:hAnsi="Calibri"/>
        </w:rPr>
        <w:t xml:space="preserve">(vanaf 2022) </w:t>
      </w:r>
      <w:r w:rsidR="00A20998" w:rsidRPr="005B420D">
        <w:rPr>
          <w:rFonts w:ascii="Calibri" w:hAnsi="Calibri"/>
        </w:rPr>
        <w:t>is deze tariefcomponent vervat in het tarief netgebruik</w:t>
      </w:r>
      <w:r w:rsidR="000C5FBB" w:rsidRPr="005B420D">
        <w:rPr>
          <w:rFonts w:ascii="Calibri" w:hAnsi="Calibri"/>
        </w:rPr>
        <w:t>;</w:t>
      </w:r>
    </w:p>
    <w:p w14:paraId="1A4DCF78" w14:textId="5E03FF1B" w:rsidR="00195584" w:rsidRPr="005B420D" w:rsidRDefault="00195584" w:rsidP="00AB401A">
      <w:pPr>
        <w:pStyle w:val="Lijstalinea"/>
        <w:numPr>
          <w:ilvl w:val="1"/>
          <w:numId w:val="25"/>
        </w:numPr>
        <w:rPr>
          <w:rFonts w:ascii="Calibri" w:hAnsi="Calibri"/>
        </w:rPr>
      </w:pPr>
      <w:r w:rsidRPr="005B420D">
        <w:rPr>
          <w:rFonts w:ascii="Calibri" w:hAnsi="Calibri"/>
        </w:rPr>
        <w:t>Voor de gereguleerde activiteit ‘aardgas’ kan voor elk jaar in de periode 2015-2024 het betreffende regulatoir saldo worden gerapporteerd.</w:t>
      </w:r>
    </w:p>
    <w:p w14:paraId="5A5EA3EC" w14:textId="3A2E78CE" w:rsidR="00195584" w:rsidRPr="005B420D" w:rsidRDefault="00195584" w:rsidP="00195584">
      <w:pPr>
        <w:pStyle w:val="Lijstalinea"/>
        <w:numPr>
          <w:ilvl w:val="0"/>
          <w:numId w:val="25"/>
        </w:numPr>
        <w:rPr>
          <w:rFonts w:ascii="Calibri" w:hAnsi="Calibri"/>
        </w:rPr>
      </w:pPr>
      <w:r w:rsidRPr="005B420D">
        <w:rPr>
          <w:rFonts w:ascii="Calibri" w:hAnsi="Calibri"/>
        </w:rPr>
        <w:t>Het tarief netgebruik</w:t>
      </w:r>
    </w:p>
    <w:p w14:paraId="23DD48A9" w14:textId="3E159FA7" w:rsidR="00195584" w:rsidRDefault="00743F43" w:rsidP="00195584">
      <w:pPr>
        <w:pStyle w:val="Lijstalinea"/>
        <w:numPr>
          <w:ilvl w:val="1"/>
          <w:numId w:val="25"/>
        </w:numPr>
        <w:rPr>
          <w:rFonts w:ascii="Calibri" w:hAnsi="Calibri"/>
        </w:rPr>
      </w:pPr>
      <w:r w:rsidRPr="005B420D">
        <w:rPr>
          <w:rFonts w:ascii="Calibri" w:hAnsi="Calibri"/>
        </w:rPr>
        <w:t>Deze tariefcomponent ontstaat bij invoering van de nieuwe tariefstructuur (vanaf 2022)</w:t>
      </w:r>
      <w:r w:rsidR="00FA05EC">
        <w:rPr>
          <w:rFonts w:ascii="Calibri" w:hAnsi="Calibri"/>
        </w:rPr>
        <w:t xml:space="preserve"> voor de gereguleerde activiteit ‘elektriciteit’</w:t>
      </w:r>
      <w:r w:rsidRPr="005B420D">
        <w:rPr>
          <w:rFonts w:ascii="Calibri" w:hAnsi="Calibri"/>
        </w:rPr>
        <w:t xml:space="preserve">. </w:t>
      </w:r>
      <w:r w:rsidR="008065D5" w:rsidRPr="005B420D">
        <w:rPr>
          <w:rFonts w:ascii="Calibri" w:hAnsi="Calibri"/>
        </w:rPr>
        <w:t xml:space="preserve">Voor deze tariefcomponent kan </w:t>
      </w:r>
      <w:r w:rsidRPr="005B420D">
        <w:rPr>
          <w:rFonts w:ascii="Calibri" w:hAnsi="Calibri"/>
        </w:rPr>
        <w:t xml:space="preserve">bijgevolg </w:t>
      </w:r>
      <w:r w:rsidR="008065D5" w:rsidRPr="005B420D">
        <w:rPr>
          <w:rFonts w:ascii="Calibri" w:hAnsi="Calibri"/>
        </w:rPr>
        <w:t>enkel voor de gereguleerde activiteit ‘elektriciteit’ een regulatoir saldo worden gerapporteerd en dit voor de periode 2022-2024</w:t>
      </w:r>
      <w:r w:rsidR="000C5FBB" w:rsidRPr="005B420D">
        <w:rPr>
          <w:rFonts w:ascii="Calibri" w:hAnsi="Calibri"/>
        </w:rPr>
        <w:t>.</w:t>
      </w:r>
    </w:p>
    <w:p w14:paraId="5458225F" w14:textId="265F8F16" w:rsidR="000C5FBB" w:rsidRPr="005B420D" w:rsidRDefault="000C5FBB" w:rsidP="000C5FBB">
      <w:pPr>
        <w:pStyle w:val="Lijstalinea"/>
        <w:numPr>
          <w:ilvl w:val="0"/>
          <w:numId w:val="25"/>
        </w:numPr>
        <w:rPr>
          <w:rFonts w:ascii="Calibri" w:hAnsi="Calibri"/>
        </w:rPr>
      </w:pPr>
      <w:r w:rsidRPr="005B420D">
        <w:rPr>
          <w:rFonts w:ascii="Calibri" w:hAnsi="Calibri"/>
        </w:rPr>
        <w:t>Het tarief voor het systeembeheer</w:t>
      </w:r>
    </w:p>
    <w:p w14:paraId="5130D4A6" w14:textId="67340F0B" w:rsidR="00A65F1B" w:rsidRPr="005B420D" w:rsidRDefault="00A65F1B" w:rsidP="00A65F1B">
      <w:pPr>
        <w:pStyle w:val="Lijstalinea"/>
        <w:numPr>
          <w:ilvl w:val="1"/>
          <w:numId w:val="25"/>
        </w:numPr>
        <w:rPr>
          <w:rFonts w:ascii="Calibri" w:hAnsi="Calibri"/>
        </w:rPr>
      </w:pPr>
      <w:r w:rsidRPr="005B420D">
        <w:rPr>
          <w:rFonts w:ascii="Calibri" w:hAnsi="Calibri"/>
        </w:rPr>
        <w:t>Voor de gereguleerde activiteit ‘elektriciteit’ dient voor deze tariefcomponent het betreffende regulatoir saldo voor de periode 2015-2021 te worden gerapporteerd. Onder de nieuwe tariefstructuur</w:t>
      </w:r>
      <w:r w:rsidR="00190F7F" w:rsidRPr="005B420D">
        <w:rPr>
          <w:rFonts w:ascii="Calibri" w:hAnsi="Calibri"/>
        </w:rPr>
        <w:t xml:space="preserve"> (vanaf 2022)</w:t>
      </w:r>
      <w:r w:rsidRPr="005B420D">
        <w:rPr>
          <w:rFonts w:ascii="Calibri" w:hAnsi="Calibri"/>
        </w:rPr>
        <w:t xml:space="preserve"> is deze tariefcomponent vervat in het tarief netgebruik;</w:t>
      </w:r>
    </w:p>
    <w:p w14:paraId="3B01105D" w14:textId="6983A795" w:rsidR="000C5FBB" w:rsidRPr="005B420D" w:rsidRDefault="00A65F1B" w:rsidP="00A65F1B">
      <w:pPr>
        <w:pStyle w:val="Lijstalinea"/>
        <w:numPr>
          <w:ilvl w:val="1"/>
          <w:numId w:val="25"/>
        </w:numPr>
        <w:rPr>
          <w:rFonts w:ascii="Calibri" w:hAnsi="Calibri"/>
        </w:rPr>
      </w:pPr>
      <w:r w:rsidRPr="005B420D">
        <w:rPr>
          <w:rFonts w:ascii="Calibri" w:hAnsi="Calibri"/>
        </w:rPr>
        <w:t>Voor de gereguleerde activiteit ‘aardgas’ kan voor elk jaar in de periode 2015-2024 het betreffende regulatoir saldo worden gerapporteerd.</w:t>
      </w:r>
    </w:p>
    <w:p w14:paraId="553FB2E2" w14:textId="11DD5A11" w:rsidR="00FF2BEF" w:rsidRPr="005B420D" w:rsidRDefault="00FF2BEF" w:rsidP="00FF2BEF">
      <w:pPr>
        <w:pStyle w:val="Lijstalinea"/>
        <w:numPr>
          <w:ilvl w:val="0"/>
          <w:numId w:val="25"/>
        </w:numPr>
        <w:rPr>
          <w:rFonts w:ascii="Calibri" w:hAnsi="Calibri"/>
        </w:rPr>
      </w:pPr>
      <w:r w:rsidRPr="005B420D">
        <w:rPr>
          <w:rFonts w:ascii="Calibri" w:hAnsi="Calibri"/>
        </w:rPr>
        <w:t>Het tarief reactieve energie</w:t>
      </w:r>
    </w:p>
    <w:p w14:paraId="73D4F086" w14:textId="66D6ADDA" w:rsidR="00FF2BEF" w:rsidRPr="005B420D" w:rsidRDefault="00FF2BEF" w:rsidP="00FF2BEF">
      <w:pPr>
        <w:pStyle w:val="Lijstalinea"/>
        <w:numPr>
          <w:ilvl w:val="1"/>
          <w:numId w:val="25"/>
        </w:numPr>
        <w:rPr>
          <w:rFonts w:ascii="Calibri" w:hAnsi="Calibri"/>
        </w:rPr>
      </w:pPr>
      <w:r w:rsidRPr="005B420D">
        <w:rPr>
          <w:rFonts w:ascii="Calibri" w:hAnsi="Calibri"/>
        </w:rPr>
        <w:t xml:space="preserve">Voor deze tariefcomponent kan enkel voor de gereguleerde activiteit ‘elektriciteit’ een regulatoir saldo worden gerapporteerd en dit voor de periode 2015-2020. </w:t>
      </w:r>
      <w:r w:rsidR="00FF3299" w:rsidRPr="005B420D">
        <w:rPr>
          <w:rFonts w:ascii="Calibri" w:hAnsi="Calibri"/>
        </w:rPr>
        <w:t>Vanaf 2021 wordt rekening gehouden met de bepaling dat het regulatoir saldo voor deze tariefcomponent in 2021 wordt vervat in het basistarief voor het gebruik van het net en vanaf 202</w:t>
      </w:r>
      <w:r w:rsidR="009D082C" w:rsidRPr="005B420D">
        <w:rPr>
          <w:rFonts w:ascii="Calibri" w:hAnsi="Calibri"/>
        </w:rPr>
        <w:t>2 in het tarief netgebruik.</w:t>
      </w:r>
    </w:p>
    <w:p w14:paraId="54D86022" w14:textId="4DC84FD0" w:rsidR="009D082C" w:rsidRPr="005B420D" w:rsidRDefault="009D082C" w:rsidP="009D082C">
      <w:pPr>
        <w:pStyle w:val="Lijstalinea"/>
        <w:numPr>
          <w:ilvl w:val="0"/>
          <w:numId w:val="25"/>
        </w:numPr>
        <w:rPr>
          <w:rFonts w:ascii="Calibri" w:hAnsi="Calibri"/>
        </w:rPr>
      </w:pPr>
      <w:r w:rsidRPr="005B420D">
        <w:rPr>
          <w:rFonts w:ascii="Calibri" w:hAnsi="Calibri"/>
        </w:rPr>
        <w:t>Het tarief voor het databeheer</w:t>
      </w:r>
    </w:p>
    <w:p w14:paraId="18AAC9F0" w14:textId="08161F2D" w:rsidR="009D082C" w:rsidRPr="005B420D" w:rsidRDefault="009D082C" w:rsidP="009D082C">
      <w:pPr>
        <w:pStyle w:val="Lijstalinea"/>
        <w:numPr>
          <w:ilvl w:val="1"/>
          <w:numId w:val="25"/>
        </w:numPr>
        <w:rPr>
          <w:rFonts w:ascii="Calibri" w:hAnsi="Calibri"/>
        </w:rPr>
      </w:pPr>
      <w:r w:rsidRPr="005B420D">
        <w:rPr>
          <w:rFonts w:ascii="Calibri" w:hAnsi="Calibri"/>
        </w:rPr>
        <w:t xml:space="preserve">Zowel voor de gereguleerde activiteit ‘elektriciteit’ als </w:t>
      </w:r>
      <w:r w:rsidR="00A94C63" w:rsidRPr="005B420D">
        <w:rPr>
          <w:rFonts w:ascii="Calibri" w:hAnsi="Calibri"/>
        </w:rPr>
        <w:t>‘</w:t>
      </w:r>
      <w:r w:rsidRPr="005B420D">
        <w:rPr>
          <w:rFonts w:ascii="Calibri" w:hAnsi="Calibri"/>
        </w:rPr>
        <w:t>aardgas</w:t>
      </w:r>
      <w:r w:rsidR="00A94C63" w:rsidRPr="005B420D">
        <w:rPr>
          <w:rFonts w:ascii="Calibri" w:hAnsi="Calibri"/>
        </w:rPr>
        <w:t>’</w:t>
      </w:r>
      <w:r w:rsidRPr="005B420D">
        <w:rPr>
          <w:rFonts w:ascii="Calibri" w:hAnsi="Calibri"/>
        </w:rPr>
        <w:t xml:space="preserve"> </w:t>
      </w:r>
      <w:r w:rsidR="00F15327" w:rsidRPr="005B420D">
        <w:rPr>
          <w:rFonts w:ascii="Calibri" w:hAnsi="Calibri"/>
        </w:rPr>
        <w:t>kan voor elk jaar in de periode 2015-202</w:t>
      </w:r>
      <w:r w:rsidR="009E368E">
        <w:rPr>
          <w:rFonts w:ascii="Calibri" w:hAnsi="Calibri"/>
        </w:rPr>
        <w:t>0</w:t>
      </w:r>
      <w:r w:rsidR="00F15327" w:rsidRPr="005B420D">
        <w:rPr>
          <w:rFonts w:ascii="Calibri" w:hAnsi="Calibri"/>
        </w:rPr>
        <w:t xml:space="preserve"> het betreffende regulatoir saldo worden gerapporteerd. </w:t>
      </w:r>
      <w:r w:rsidR="009E368E">
        <w:rPr>
          <w:rFonts w:ascii="Calibri" w:hAnsi="Calibri"/>
        </w:rPr>
        <w:t xml:space="preserve">Vanaf 2021 </w:t>
      </w:r>
      <w:r w:rsidR="009E368E" w:rsidRPr="005B420D">
        <w:rPr>
          <w:rFonts w:ascii="Calibri" w:hAnsi="Calibri"/>
        </w:rPr>
        <w:t xml:space="preserve">wordt rekening gehouden met de bepaling dat het regulatoir saldo voor deze tariefcomponent </w:t>
      </w:r>
      <w:r w:rsidR="009E368E">
        <w:rPr>
          <w:rFonts w:ascii="Calibri" w:hAnsi="Calibri"/>
        </w:rPr>
        <w:t xml:space="preserve">vanaf </w:t>
      </w:r>
      <w:r w:rsidR="009E368E" w:rsidRPr="005B420D">
        <w:rPr>
          <w:rFonts w:ascii="Calibri" w:hAnsi="Calibri"/>
        </w:rPr>
        <w:t>2021 wordt vervat in het basistarief voor het gebruik van het net</w:t>
      </w:r>
      <w:r w:rsidR="000926E4">
        <w:rPr>
          <w:rFonts w:ascii="Calibri" w:hAnsi="Calibri"/>
        </w:rPr>
        <w:t xml:space="preserve"> (zowel voor de gereguleerde </w:t>
      </w:r>
      <w:r w:rsidR="000926E4">
        <w:rPr>
          <w:rFonts w:ascii="Calibri" w:hAnsi="Calibri"/>
        </w:rPr>
        <w:lastRenderedPageBreak/>
        <w:t>activiteit ‘elektriciteit’ als ‘aardgas’)</w:t>
      </w:r>
      <w:r w:rsidR="009E368E">
        <w:rPr>
          <w:rFonts w:ascii="Calibri" w:hAnsi="Calibri"/>
        </w:rPr>
        <w:t xml:space="preserve">, bij de gereguleerde activiteit ‘elektriciteit’ </w:t>
      </w:r>
      <w:r w:rsidR="009E368E" w:rsidRPr="005B420D">
        <w:rPr>
          <w:rFonts w:ascii="Calibri" w:hAnsi="Calibri"/>
        </w:rPr>
        <w:t xml:space="preserve">vanaf 2022 </w:t>
      </w:r>
      <w:r w:rsidR="009E368E">
        <w:rPr>
          <w:rFonts w:ascii="Calibri" w:hAnsi="Calibri"/>
        </w:rPr>
        <w:t>via</w:t>
      </w:r>
      <w:r w:rsidR="009E368E" w:rsidRPr="005B420D">
        <w:rPr>
          <w:rFonts w:ascii="Calibri" w:hAnsi="Calibri"/>
        </w:rPr>
        <w:t xml:space="preserve"> het tarief netgebruik.</w:t>
      </w:r>
    </w:p>
    <w:p w14:paraId="262D0FD4" w14:textId="77409FE8" w:rsidR="00A94C63" w:rsidRPr="005B420D" w:rsidRDefault="00A94C63" w:rsidP="00A94C63">
      <w:pPr>
        <w:pStyle w:val="Lijstalinea"/>
        <w:numPr>
          <w:ilvl w:val="0"/>
          <w:numId w:val="25"/>
        </w:numPr>
        <w:rPr>
          <w:rFonts w:ascii="Calibri" w:hAnsi="Calibri"/>
        </w:rPr>
      </w:pPr>
      <w:r w:rsidRPr="005B420D">
        <w:rPr>
          <w:rFonts w:ascii="Calibri" w:hAnsi="Calibri"/>
        </w:rPr>
        <w:t>Het tarief voor openbare dienstverplichtingen</w:t>
      </w:r>
    </w:p>
    <w:p w14:paraId="29C504BE" w14:textId="498D667A" w:rsidR="00A94C63" w:rsidRPr="005B420D" w:rsidRDefault="00A94C63" w:rsidP="00A94C63">
      <w:pPr>
        <w:pStyle w:val="Lijstalinea"/>
        <w:numPr>
          <w:ilvl w:val="1"/>
          <w:numId w:val="25"/>
        </w:numPr>
        <w:rPr>
          <w:rFonts w:ascii="Calibri" w:hAnsi="Calibri"/>
        </w:rPr>
      </w:pPr>
      <w:r w:rsidRPr="005B420D">
        <w:rPr>
          <w:rFonts w:ascii="Calibri" w:hAnsi="Calibri"/>
        </w:rPr>
        <w:t xml:space="preserve">Zowel voor de gereguleerde activiteit ‘elektriciteit’ als ‘aardgas’ kan voor elk jaar in de periode 2015-2024 het betreffende regulatoir saldo worden gerapporteerd. </w:t>
      </w:r>
    </w:p>
    <w:p w14:paraId="5DFBF684" w14:textId="08B767EB" w:rsidR="00A94C63" w:rsidRPr="005B420D" w:rsidRDefault="00B512E4" w:rsidP="00A94C63">
      <w:pPr>
        <w:pStyle w:val="Lijstalinea"/>
        <w:numPr>
          <w:ilvl w:val="0"/>
          <w:numId w:val="25"/>
        </w:numPr>
        <w:rPr>
          <w:rFonts w:ascii="Calibri" w:hAnsi="Calibri"/>
        </w:rPr>
      </w:pPr>
      <w:r w:rsidRPr="005B420D">
        <w:rPr>
          <w:rFonts w:ascii="Calibri" w:hAnsi="Calibri"/>
        </w:rPr>
        <w:t>Het tarief voor compensatie van de netverliezen</w:t>
      </w:r>
    </w:p>
    <w:p w14:paraId="7F1A5DDC" w14:textId="533211EE" w:rsidR="00B512E4" w:rsidRPr="005B420D" w:rsidRDefault="00B512E4" w:rsidP="00B512E4">
      <w:pPr>
        <w:pStyle w:val="Lijstalinea"/>
        <w:numPr>
          <w:ilvl w:val="1"/>
          <w:numId w:val="25"/>
        </w:numPr>
        <w:rPr>
          <w:rFonts w:ascii="Calibri" w:hAnsi="Calibri"/>
        </w:rPr>
      </w:pPr>
      <w:r w:rsidRPr="005B420D">
        <w:rPr>
          <w:rFonts w:ascii="Calibri" w:hAnsi="Calibri"/>
        </w:rPr>
        <w:t xml:space="preserve">Voor </w:t>
      </w:r>
      <w:r w:rsidR="005564D2" w:rsidRPr="005B420D">
        <w:rPr>
          <w:rFonts w:ascii="Calibri" w:hAnsi="Calibri"/>
        </w:rPr>
        <w:t xml:space="preserve">deze tariefcomponent kan enkel voor </w:t>
      </w:r>
      <w:r w:rsidRPr="005B420D">
        <w:rPr>
          <w:rFonts w:ascii="Calibri" w:hAnsi="Calibri"/>
        </w:rPr>
        <w:t xml:space="preserve">de gereguleerde activiteit ‘elektriciteit’ </w:t>
      </w:r>
      <w:r w:rsidR="005564D2" w:rsidRPr="005B420D">
        <w:rPr>
          <w:rFonts w:ascii="Calibri" w:hAnsi="Calibri"/>
        </w:rPr>
        <w:t xml:space="preserve">een regulatoir saldo worden gerapporteerd en dit </w:t>
      </w:r>
      <w:r w:rsidRPr="005B420D">
        <w:rPr>
          <w:rFonts w:ascii="Calibri" w:hAnsi="Calibri"/>
        </w:rPr>
        <w:t>voor de periode 2015-2021. Onder de nieuwe tariefstructuur</w:t>
      </w:r>
      <w:r w:rsidR="005564D2" w:rsidRPr="005B420D">
        <w:rPr>
          <w:rFonts w:ascii="Calibri" w:hAnsi="Calibri"/>
        </w:rPr>
        <w:t xml:space="preserve"> (vanaf 2022)</w:t>
      </w:r>
      <w:r w:rsidRPr="005B420D">
        <w:rPr>
          <w:rFonts w:ascii="Calibri" w:hAnsi="Calibri"/>
        </w:rPr>
        <w:t xml:space="preserve"> is deze tariefcomponent vervat in het tarief netgebruik;</w:t>
      </w:r>
    </w:p>
    <w:p w14:paraId="5229634C" w14:textId="56FE12F2" w:rsidR="00190F7F" w:rsidRPr="005B420D" w:rsidRDefault="00190F7F" w:rsidP="00190F7F">
      <w:pPr>
        <w:pStyle w:val="Lijstalinea"/>
        <w:numPr>
          <w:ilvl w:val="0"/>
          <w:numId w:val="25"/>
        </w:numPr>
        <w:rPr>
          <w:rFonts w:ascii="Calibri" w:hAnsi="Calibri"/>
        </w:rPr>
      </w:pPr>
      <w:r w:rsidRPr="005B420D">
        <w:rPr>
          <w:rFonts w:ascii="Calibri" w:hAnsi="Calibri"/>
        </w:rPr>
        <w:t>Het tarief voor toeslagen</w:t>
      </w:r>
    </w:p>
    <w:p w14:paraId="42E6B7BE" w14:textId="6C29A487" w:rsidR="00190F7F" w:rsidRPr="005B420D" w:rsidRDefault="00190F7F" w:rsidP="00190F7F">
      <w:pPr>
        <w:pStyle w:val="Lijstalinea"/>
        <w:numPr>
          <w:ilvl w:val="1"/>
          <w:numId w:val="25"/>
        </w:numPr>
        <w:rPr>
          <w:rFonts w:ascii="Calibri" w:hAnsi="Calibri"/>
        </w:rPr>
      </w:pPr>
      <w:r w:rsidRPr="005B420D">
        <w:rPr>
          <w:rFonts w:ascii="Calibri" w:hAnsi="Calibri"/>
        </w:rPr>
        <w:t>Zowel voor de gereguleerde activiteit ‘elektriciteit’ als ‘aardgas’ kan voor elk jaar in de periode 2015-2024 het betreffende regulatoir saldo worden gerapporteerd.</w:t>
      </w:r>
    </w:p>
    <w:p w14:paraId="1499CE59" w14:textId="537E6735" w:rsidR="00190F7F" w:rsidRPr="005B420D" w:rsidRDefault="00190F7F" w:rsidP="00190F7F">
      <w:pPr>
        <w:pStyle w:val="Lijstalinea"/>
        <w:numPr>
          <w:ilvl w:val="0"/>
          <w:numId w:val="25"/>
        </w:numPr>
        <w:rPr>
          <w:rFonts w:ascii="Calibri" w:hAnsi="Calibri"/>
        </w:rPr>
      </w:pPr>
      <w:r w:rsidRPr="005B420D">
        <w:rPr>
          <w:rFonts w:ascii="Calibri" w:hAnsi="Calibri"/>
        </w:rPr>
        <w:t>Transmissie</w:t>
      </w:r>
    </w:p>
    <w:p w14:paraId="100E7B8C" w14:textId="52E54CFC" w:rsidR="00743F43" w:rsidRPr="005B420D" w:rsidRDefault="00181A44" w:rsidP="00190F7F">
      <w:pPr>
        <w:pStyle w:val="Lijstalinea"/>
        <w:numPr>
          <w:ilvl w:val="1"/>
          <w:numId w:val="25"/>
        </w:numPr>
        <w:rPr>
          <w:rFonts w:ascii="Calibri" w:hAnsi="Calibri"/>
        </w:rPr>
      </w:pPr>
      <w:r w:rsidRPr="005B420D">
        <w:rPr>
          <w:rFonts w:ascii="Calibri" w:hAnsi="Calibri"/>
        </w:rPr>
        <w:t>Aangezien het regulatoir saldo inzake exogene kosten m.b.t. transmissie onder de nieuwe tariefstructuur (vanaf 2022)</w:t>
      </w:r>
      <w:r w:rsidR="00902A9B" w:rsidRPr="005B420D">
        <w:rPr>
          <w:rFonts w:ascii="Calibri" w:hAnsi="Calibri"/>
        </w:rPr>
        <w:t xml:space="preserve"> niet langer pertinent is, kan voor de gereguleerde activiteit ‘elektriciteit’ voor de periode 2015-2021 het betreffende regulatoir saldo inzake exogene kosten m.b.t. transmissie in deze tabel worden gerapporteerd. </w:t>
      </w:r>
      <w:r w:rsidR="006C0CBD">
        <w:rPr>
          <w:rFonts w:ascii="Calibri" w:hAnsi="Calibri"/>
        </w:rPr>
        <w:t xml:space="preserve">Het per 31/12/2021 nog af te bouwen regulatoir saldo inzake exogene kosten m.b.t. transmissie wordt daarbij </w:t>
      </w:r>
      <w:r w:rsidR="008246CE">
        <w:rPr>
          <w:rFonts w:ascii="Calibri" w:hAnsi="Calibri"/>
        </w:rPr>
        <w:t xml:space="preserve">vanaf 2022 </w:t>
      </w:r>
      <w:r w:rsidR="006C0CBD">
        <w:rPr>
          <w:rFonts w:ascii="Calibri" w:hAnsi="Calibri"/>
        </w:rPr>
        <w:t>integraal aan het tarief netgebruik toegewezen.</w:t>
      </w:r>
    </w:p>
    <w:p w14:paraId="4387D74F" w14:textId="77777777" w:rsidR="00743F43" w:rsidRPr="005B420D" w:rsidRDefault="00743F43" w:rsidP="00743F43">
      <w:pPr>
        <w:pStyle w:val="Lijstalinea"/>
        <w:numPr>
          <w:ilvl w:val="0"/>
          <w:numId w:val="25"/>
        </w:numPr>
        <w:rPr>
          <w:rFonts w:ascii="Calibri" w:hAnsi="Calibri"/>
        </w:rPr>
      </w:pPr>
      <w:r w:rsidRPr="005B420D">
        <w:rPr>
          <w:rFonts w:ascii="Calibri" w:hAnsi="Calibri"/>
        </w:rPr>
        <w:t>Het tarief voor overige transmissie</w:t>
      </w:r>
    </w:p>
    <w:p w14:paraId="334A3E43" w14:textId="31DB84E1" w:rsidR="00190F7F" w:rsidRPr="005B420D" w:rsidRDefault="00181A44" w:rsidP="00743F43">
      <w:pPr>
        <w:pStyle w:val="Lijstalinea"/>
        <w:numPr>
          <w:ilvl w:val="1"/>
          <w:numId w:val="25"/>
        </w:numPr>
        <w:rPr>
          <w:rFonts w:ascii="Calibri" w:hAnsi="Calibri"/>
        </w:rPr>
      </w:pPr>
      <w:r w:rsidRPr="005B420D">
        <w:rPr>
          <w:rFonts w:ascii="Calibri" w:hAnsi="Calibri"/>
        </w:rPr>
        <w:t xml:space="preserve"> </w:t>
      </w:r>
      <w:r w:rsidR="00743F43" w:rsidRPr="005B420D">
        <w:rPr>
          <w:rFonts w:ascii="Calibri" w:hAnsi="Calibri"/>
        </w:rPr>
        <w:t>Deze tariefcomponent ontstaat bij invoering van de nieuwe tariefstructuur (vanaf 2022)</w:t>
      </w:r>
      <w:r w:rsidR="00EB14A2">
        <w:rPr>
          <w:rFonts w:ascii="Calibri" w:hAnsi="Calibri"/>
        </w:rPr>
        <w:t xml:space="preserve"> voor de gereguleerde activiteit ‘elektriciteit’</w:t>
      </w:r>
      <w:r w:rsidR="00743F43" w:rsidRPr="005B420D">
        <w:rPr>
          <w:rFonts w:ascii="Calibri" w:hAnsi="Calibri"/>
        </w:rPr>
        <w:t>. Voor deze tariefcomponent kan bijgevolg enkel voor de gereguleerde activiteit ‘elektriciteit’ een regulatoir saldo worden gerapporteerd en dit voor de periode 2022-2024.</w:t>
      </w:r>
    </w:p>
    <w:p w14:paraId="5EB35C11" w14:textId="3B156CCF" w:rsidR="008B675E" w:rsidRDefault="008B675E" w:rsidP="008B675E">
      <w:pPr>
        <w:rPr>
          <w:rFonts w:ascii="Calibri" w:hAnsi="Calibri"/>
        </w:rPr>
      </w:pPr>
      <w:r>
        <w:rPr>
          <w:rFonts w:ascii="Calibri" w:hAnsi="Calibri"/>
        </w:rPr>
        <w:t>Op ex-post basis kan de distributienetbeheerder d</w:t>
      </w:r>
      <w:r w:rsidRPr="000C7213">
        <w:rPr>
          <w:rFonts w:ascii="Calibri" w:hAnsi="Calibri"/>
        </w:rPr>
        <w:t>it saldo voor boekjaar 20</w:t>
      </w:r>
      <w:r>
        <w:rPr>
          <w:rFonts w:ascii="Calibri" w:hAnsi="Calibri"/>
        </w:rPr>
        <w:t>XX dus</w:t>
      </w:r>
      <w:r w:rsidRPr="000C7213">
        <w:rPr>
          <w:rFonts w:ascii="Calibri" w:hAnsi="Calibri"/>
        </w:rPr>
        <w:t xml:space="preserve"> </w:t>
      </w:r>
      <w:r>
        <w:rPr>
          <w:rFonts w:ascii="Calibri" w:hAnsi="Calibri"/>
        </w:rPr>
        <w:t xml:space="preserve">per tariefcomponent </w:t>
      </w:r>
      <w:r w:rsidRPr="000C7213">
        <w:rPr>
          <w:rFonts w:ascii="Calibri" w:hAnsi="Calibri"/>
        </w:rPr>
        <w:t xml:space="preserve">eenduidig uit ‘tabel </w:t>
      </w:r>
      <w:r>
        <w:rPr>
          <w:rFonts w:ascii="Calibri" w:hAnsi="Calibri"/>
        </w:rPr>
        <w:t>3</w:t>
      </w:r>
      <w:r w:rsidRPr="000C7213">
        <w:rPr>
          <w:rFonts w:ascii="Calibri" w:hAnsi="Calibri"/>
        </w:rPr>
        <w:t>’ van het betreffende rapporteringsmodel</w:t>
      </w:r>
      <w:r>
        <w:rPr>
          <w:rFonts w:ascii="Calibri" w:hAnsi="Calibri"/>
        </w:rPr>
        <w:t xml:space="preserve"> afleiden</w:t>
      </w:r>
      <w:r w:rsidRPr="000C7213">
        <w:rPr>
          <w:rFonts w:ascii="Calibri" w:hAnsi="Calibri"/>
        </w:rPr>
        <w:t xml:space="preserve">. </w:t>
      </w:r>
      <w:r>
        <w:rPr>
          <w:rFonts w:ascii="Calibri" w:hAnsi="Calibri"/>
        </w:rPr>
        <w:t>Ook voor de voorgaande boekjaren rapporteert de distributienetbeheerder de betreffende regulatoire saldi</w:t>
      </w:r>
      <w:r w:rsidR="00700314">
        <w:rPr>
          <w:rFonts w:ascii="Calibri" w:hAnsi="Calibri"/>
        </w:rPr>
        <w:t xml:space="preserve"> per tariefcomponent</w:t>
      </w:r>
      <w:r>
        <w:rPr>
          <w:rFonts w:ascii="Calibri" w:hAnsi="Calibri"/>
        </w:rPr>
        <w:t xml:space="preserve">. </w:t>
      </w:r>
    </w:p>
    <w:p w14:paraId="1ED7FA8B" w14:textId="49BAC247" w:rsidR="008B675E" w:rsidRDefault="008B675E" w:rsidP="008B675E">
      <w:pPr>
        <w:rPr>
          <w:rFonts w:ascii="Calibri" w:hAnsi="Calibri"/>
        </w:rPr>
      </w:pPr>
      <w:r>
        <w:rPr>
          <w:rFonts w:ascii="Calibri" w:hAnsi="Calibri"/>
        </w:rPr>
        <w:t xml:space="preserve">Op ex-ante basis dient de distributienetbeheerder het regulatoir saldo </w:t>
      </w:r>
      <w:r w:rsidR="00700314">
        <w:rPr>
          <w:rFonts w:ascii="Calibri" w:hAnsi="Calibri"/>
        </w:rPr>
        <w:t xml:space="preserve">per tariefcomponent </w:t>
      </w:r>
      <w:r>
        <w:rPr>
          <w:rFonts w:ascii="Calibri" w:hAnsi="Calibri"/>
        </w:rPr>
        <w:t>voor de voorgaande boekjaren te rapporteren.</w:t>
      </w:r>
    </w:p>
    <w:p w14:paraId="39B397F0" w14:textId="5139B462" w:rsidR="00EE5CD7" w:rsidRPr="005B420D" w:rsidRDefault="00EE5CD7" w:rsidP="00AB401A">
      <w:pPr>
        <w:rPr>
          <w:rFonts w:ascii="Calibri" w:hAnsi="Calibri"/>
        </w:rPr>
      </w:pPr>
      <w:r w:rsidRPr="005B420D">
        <w:rPr>
          <w:rFonts w:ascii="Calibri" w:hAnsi="Calibri"/>
        </w:rPr>
        <w:t xml:space="preserve">Het totaalsaldo dient hierbij overeen te komen met de gerapporteerde waarden in ‘tabel 4A’. Vervolgens wordt in de tabel per tariefcomponent automatisch berekend welk gedeelte van het saldo reeds werd afgebouwd op het einde van elk boekjaar over de periode 2015-2024. De afbouw van deze saldi gebeurt hierbij conform de bepalingen in de huidige en vorige tariefmethodologieën. Uiteindelijk kunnen op basis van deze waarden de nog af te bouwen saldi per tariefcomponent worden geïdentificeerd waarbij opnieuw een aansluiting wordt gemaakt van het totaal nog af te bouwen saldo met de gerapporteerde waarden in ‘tabel 4A’. </w:t>
      </w:r>
    </w:p>
    <w:p w14:paraId="4504FFFA" w14:textId="0395262A" w:rsidR="00EE5CD7" w:rsidRPr="005B420D" w:rsidRDefault="00EE5CD7" w:rsidP="00EE5CD7">
      <w:pPr>
        <w:rPr>
          <w:rFonts w:ascii="Calibri" w:hAnsi="Calibri"/>
        </w:rPr>
      </w:pPr>
      <w:r w:rsidRPr="005B420D">
        <w:rPr>
          <w:rFonts w:ascii="Calibri" w:hAnsi="Calibri"/>
        </w:rPr>
        <w:t>Ten laatste wordt per tariefcomponen</w:t>
      </w:r>
      <w:r w:rsidR="005233C5" w:rsidRPr="005B420D">
        <w:rPr>
          <w:rFonts w:ascii="Calibri" w:hAnsi="Calibri"/>
        </w:rPr>
        <w:t>t</w:t>
      </w:r>
      <w:r w:rsidRPr="005B420D">
        <w:rPr>
          <w:rFonts w:ascii="Calibri" w:hAnsi="Calibri"/>
        </w:rPr>
        <w:t xml:space="preserve"> bepaald welke gedeelte van de regulatoire saldi inzake exogene kosten in het toegelaten inkomen van het betreffende boekjaar wordt afgebouwd. Op basis van deze waarden wordt </w:t>
      </w:r>
      <w:r w:rsidR="00BE64A0">
        <w:rPr>
          <w:rFonts w:ascii="Calibri" w:hAnsi="Calibri"/>
        </w:rPr>
        <w:t xml:space="preserve">per tariefcomponent </w:t>
      </w:r>
      <w:r w:rsidRPr="005B420D">
        <w:rPr>
          <w:rFonts w:ascii="Calibri" w:hAnsi="Calibri"/>
        </w:rPr>
        <w:t>de betreffende rubriek in ‘tabel 3’ automatisch aangevuld.</w:t>
      </w:r>
      <w:r w:rsidR="005233C5" w:rsidRPr="005B420D">
        <w:rPr>
          <w:rFonts w:ascii="Calibri" w:hAnsi="Calibri"/>
        </w:rPr>
        <w:t xml:space="preserve"> Merk hierbij op dat </w:t>
      </w:r>
      <w:r w:rsidR="00FA7F7D" w:rsidRPr="005B420D">
        <w:rPr>
          <w:rFonts w:ascii="Calibri" w:hAnsi="Calibri"/>
        </w:rPr>
        <w:t xml:space="preserve">voor de gereguleerde activiteit ‘elektriciteit’ de tariefcomponenten conform de nieuwe tariefstructuur in rekening worden genomen. Aan het </w:t>
      </w:r>
      <w:r w:rsidR="00FA7F7D" w:rsidRPr="005B420D">
        <w:rPr>
          <w:rFonts w:ascii="Calibri" w:hAnsi="Calibri"/>
        </w:rPr>
        <w:lastRenderedPageBreak/>
        <w:t xml:space="preserve">tarief netgebruik worden </w:t>
      </w:r>
      <w:r w:rsidR="00080601">
        <w:rPr>
          <w:rFonts w:ascii="Calibri" w:hAnsi="Calibri"/>
        </w:rPr>
        <w:t>voor de ger</w:t>
      </w:r>
      <w:r w:rsidR="00F83276">
        <w:rPr>
          <w:rFonts w:ascii="Calibri" w:hAnsi="Calibri"/>
        </w:rPr>
        <w:t>e</w:t>
      </w:r>
      <w:r w:rsidR="00080601">
        <w:rPr>
          <w:rFonts w:ascii="Calibri" w:hAnsi="Calibri"/>
        </w:rPr>
        <w:t xml:space="preserve">guleerde activiteit ‘elektriciteit’ </w:t>
      </w:r>
      <w:r w:rsidR="00FA7F7D" w:rsidRPr="005B420D">
        <w:rPr>
          <w:rFonts w:ascii="Calibri" w:hAnsi="Calibri"/>
        </w:rPr>
        <w:t>daarbij volgende regulatoire saldi toegewezen:</w:t>
      </w:r>
    </w:p>
    <w:p w14:paraId="5922F07C" w14:textId="741F3633" w:rsidR="00FA7F7D" w:rsidRPr="005B420D" w:rsidRDefault="00C14413" w:rsidP="00FA7F7D">
      <w:pPr>
        <w:pStyle w:val="Lijstalinea"/>
        <w:numPr>
          <w:ilvl w:val="0"/>
          <w:numId w:val="25"/>
        </w:numPr>
        <w:rPr>
          <w:rFonts w:ascii="Calibri" w:hAnsi="Calibri"/>
        </w:rPr>
      </w:pPr>
      <w:r w:rsidRPr="005B420D">
        <w:rPr>
          <w:rFonts w:ascii="Calibri" w:hAnsi="Calibri"/>
        </w:rPr>
        <w:t>Afbouw van het r</w:t>
      </w:r>
      <w:r w:rsidR="00FA7F7D" w:rsidRPr="005B420D">
        <w:rPr>
          <w:rFonts w:ascii="Calibri" w:hAnsi="Calibri"/>
        </w:rPr>
        <w:t xml:space="preserve">egulatoir saldo </w:t>
      </w:r>
      <w:r w:rsidRPr="005B420D">
        <w:rPr>
          <w:rFonts w:ascii="Calibri" w:hAnsi="Calibri"/>
        </w:rPr>
        <w:t xml:space="preserve">inzake exogene kosten voor </w:t>
      </w:r>
      <w:r w:rsidR="00B5790F" w:rsidRPr="005B420D">
        <w:rPr>
          <w:rFonts w:ascii="Calibri" w:hAnsi="Calibri"/>
        </w:rPr>
        <w:t>het</w:t>
      </w:r>
      <w:r w:rsidRPr="005B420D">
        <w:rPr>
          <w:rFonts w:ascii="Calibri" w:hAnsi="Calibri"/>
        </w:rPr>
        <w:t xml:space="preserve"> basistarief voor het gebruik van het net</w:t>
      </w:r>
      <w:r w:rsidR="00B5790F" w:rsidRPr="005B420D">
        <w:rPr>
          <w:rFonts w:ascii="Calibri" w:hAnsi="Calibri"/>
        </w:rPr>
        <w:t xml:space="preserve"> in het boekjaar 20XX</w:t>
      </w:r>
      <w:r w:rsidR="00D14D5D" w:rsidRPr="005B420D">
        <w:rPr>
          <w:rFonts w:ascii="Calibri" w:hAnsi="Calibri"/>
        </w:rPr>
        <w:t>, opgebouwd in de periode 2015-2021;</w:t>
      </w:r>
    </w:p>
    <w:p w14:paraId="618B4142" w14:textId="1D5E67FD" w:rsidR="00D14D5D" w:rsidRPr="005B420D" w:rsidRDefault="00D14D5D" w:rsidP="00D14D5D">
      <w:pPr>
        <w:pStyle w:val="Lijstalinea"/>
        <w:numPr>
          <w:ilvl w:val="0"/>
          <w:numId w:val="25"/>
        </w:numPr>
        <w:rPr>
          <w:rFonts w:ascii="Calibri" w:hAnsi="Calibri"/>
        </w:rPr>
      </w:pPr>
      <w:r w:rsidRPr="005B420D">
        <w:rPr>
          <w:rFonts w:ascii="Calibri" w:hAnsi="Calibri"/>
        </w:rPr>
        <w:t xml:space="preserve">Afbouw van het regulatoir saldo inzake exogene kosten voor </w:t>
      </w:r>
      <w:r w:rsidR="00B5790F" w:rsidRPr="005B420D">
        <w:rPr>
          <w:rFonts w:ascii="Calibri" w:hAnsi="Calibri"/>
        </w:rPr>
        <w:t>het tarief netgebruik in het boekjaar 20XX</w:t>
      </w:r>
      <w:r w:rsidRPr="005B420D">
        <w:rPr>
          <w:rFonts w:ascii="Calibri" w:hAnsi="Calibri"/>
        </w:rPr>
        <w:t>, opgebouwd in de periode 20</w:t>
      </w:r>
      <w:r w:rsidR="00D610B6" w:rsidRPr="005B420D">
        <w:rPr>
          <w:rFonts w:ascii="Calibri" w:hAnsi="Calibri"/>
        </w:rPr>
        <w:t>22</w:t>
      </w:r>
      <w:r w:rsidRPr="005B420D">
        <w:rPr>
          <w:rFonts w:ascii="Calibri" w:hAnsi="Calibri"/>
        </w:rPr>
        <w:t>-202</w:t>
      </w:r>
      <w:r w:rsidR="00D610B6" w:rsidRPr="005B420D">
        <w:rPr>
          <w:rFonts w:ascii="Calibri" w:hAnsi="Calibri"/>
        </w:rPr>
        <w:t>4</w:t>
      </w:r>
      <w:r w:rsidRPr="005B420D">
        <w:rPr>
          <w:rFonts w:ascii="Calibri" w:hAnsi="Calibri"/>
        </w:rPr>
        <w:t>;</w:t>
      </w:r>
    </w:p>
    <w:p w14:paraId="7EE991CC" w14:textId="2C49D8F3" w:rsidR="00D14D5D" w:rsidRPr="005B420D" w:rsidRDefault="00D610B6" w:rsidP="00FA7F7D">
      <w:pPr>
        <w:pStyle w:val="Lijstalinea"/>
        <w:numPr>
          <w:ilvl w:val="0"/>
          <w:numId w:val="25"/>
        </w:numPr>
        <w:rPr>
          <w:rFonts w:ascii="Calibri" w:hAnsi="Calibri"/>
        </w:rPr>
      </w:pPr>
      <w:r w:rsidRPr="005B420D">
        <w:rPr>
          <w:rFonts w:ascii="Calibri" w:hAnsi="Calibri"/>
        </w:rPr>
        <w:t>Afbouw van het regulatoir saldo inzake exogene kosten voor het tarief systeembeheer in het boekjaar 20XX, opgebouwd in de periode 2015-2021;</w:t>
      </w:r>
    </w:p>
    <w:p w14:paraId="2814A231" w14:textId="0C189644" w:rsidR="00D610B6" w:rsidRPr="005B420D" w:rsidRDefault="00D610B6" w:rsidP="00FA7F7D">
      <w:pPr>
        <w:pStyle w:val="Lijstalinea"/>
        <w:numPr>
          <w:ilvl w:val="0"/>
          <w:numId w:val="25"/>
        </w:numPr>
        <w:rPr>
          <w:rFonts w:ascii="Calibri" w:hAnsi="Calibri"/>
        </w:rPr>
      </w:pPr>
      <w:r w:rsidRPr="005B420D">
        <w:rPr>
          <w:rFonts w:ascii="Calibri" w:hAnsi="Calibri"/>
        </w:rPr>
        <w:t>Afbouw van het regulatoir saldo inzake exogene kosten voor het tarief reactieve energie in het boekjaar 20XX, opgebouwd in de periode 2015-202</w:t>
      </w:r>
      <w:r w:rsidR="00F22068" w:rsidRPr="005B420D">
        <w:rPr>
          <w:rFonts w:ascii="Calibri" w:hAnsi="Calibri"/>
        </w:rPr>
        <w:t>0</w:t>
      </w:r>
      <w:r w:rsidRPr="005B420D">
        <w:rPr>
          <w:rFonts w:ascii="Calibri" w:hAnsi="Calibri"/>
        </w:rPr>
        <w:t>;</w:t>
      </w:r>
    </w:p>
    <w:p w14:paraId="1EDD29EE" w14:textId="0368B6CF" w:rsidR="00FF2138" w:rsidRDefault="00FF2138" w:rsidP="00FA7F7D">
      <w:pPr>
        <w:pStyle w:val="Lijstalinea"/>
        <w:numPr>
          <w:ilvl w:val="0"/>
          <w:numId w:val="25"/>
        </w:numPr>
        <w:rPr>
          <w:rFonts w:ascii="Calibri" w:hAnsi="Calibri"/>
        </w:rPr>
      </w:pPr>
      <w:r>
        <w:rPr>
          <w:rFonts w:ascii="Calibri" w:hAnsi="Calibri"/>
        </w:rPr>
        <w:t xml:space="preserve">Afbouw van het regulatoir saldo inzake exogene kosten voor het tarief </w:t>
      </w:r>
      <w:r w:rsidR="000E7C18">
        <w:rPr>
          <w:rFonts w:ascii="Calibri" w:hAnsi="Calibri"/>
        </w:rPr>
        <w:t>databeheer in het boekjaar 20XX, opgebouwd in de periode 2015-2020</w:t>
      </w:r>
    </w:p>
    <w:p w14:paraId="26495CB6" w14:textId="16CBADF4" w:rsidR="00F44141" w:rsidRPr="005B420D" w:rsidRDefault="00F44141" w:rsidP="00FA7F7D">
      <w:pPr>
        <w:pStyle w:val="Lijstalinea"/>
        <w:numPr>
          <w:ilvl w:val="0"/>
          <w:numId w:val="25"/>
        </w:numPr>
        <w:rPr>
          <w:rFonts w:ascii="Calibri" w:hAnsi="Calibri"/>
        </w:rPr>
      </w:pPr>
      <w:r w:rsidRPr="005B420D">
        <w:rPr>
          <w:rFonts w:ascii="Calibri" w:hAnsi="Calibri"/>
        </w:rPr>
        <w:t>Afbouw van het regulatoir saldo inzake exogene kosten voor het tarief voor de compensatie van de netverliezen in het boekjaar 20XX, opgebouwd in de periode 2015-2021;</w:t>
      </w:r>
    </w:p>
    <w:p w14:paraId="7DFA0C94" w14:textId="4BDB66DE" w:rsidR="0093441C" w:rsidRDefault="0093441C" w:rsidP="00FA7F7D">
      <w:pPr>
        <w:pStyle w:val="Lijstalinea"/>
        <w:numPr>
          <w:ilvl w:val="0"/>
          <w:numId w:val="25"/>
        </w:numPr>
        <w:rPr>
          <w:rFonts w:ascii="Calibri" w:hAnsi="Calibri"/>
        </w:rPr>
      </w:pPr>
      <w:r w:rsidRPr="005B420D">
        <w:rPr>
          <w:rFonts w:ascii="Calibri" w:hAnsi="Calibri"/>
        </w:rPr>
        <w:t>Afbouw van het regulatoir saldo inzake exogene kosten m.b.t. transmissie in het boekjaar 20XX, opgebouwd in de periode 2015-2021.</w:t>
      </w:r>
      <w:r w:rsidR="00417935">
        <w:rPr>
          <w:rFonts w:ascii="Calibri" w:hAnsi="Calibri"/>
        </w:rPr>
        <w:t xml:space="preserve"> Merk dus op dat het regulatoir saldo inzake exogene kosten m.b.t. transmissie integraal aan het tarief netgebruik wordt toegewezen. </w:t>
      </w:r>
    </w:p>
    <w:p w14:paraId="3570305C" w14:textId="3EC19B63" w:rsidR="000B300A" w:rsidRPr="000B300A" w:rsidRDefault="000B300A" w:rsidP="000B300A">
      <w:pPr>
        <w:rPr>
          <w:rFonts w:ascii="Calibri" w:hAnsi="Calibri"/>
        </w:rPr>
      </w:pPr>
      <w:r>
        <w:rPr>
          <w:rFonts w:ascii="Calibri" w:hAnsi="Calibri"/>
        </w:rPr>
        <w:t xml:space="preserve">Voor de bepaling van </w:t>
      </w:r>
      <w:r w:rsidR="007A2BEA">
        <w:rPr>
          <w:rFonts w:ascii="Calibri" w:hAnsi="Calibri"/>
        </w:rPr>
        <w:t>de afbouw van het regulatoir</w:t>
      </w:r>
      <w:r>
        <w:rPr>
          <w:rFonts w:ascii="Calibri" w:hAnsi="Calibri"/>
        </w:rPr>
        <w:t xml:space="preserve"> saldo in de overige tariefcomponenten verwijzen we naar onze toelichting bij de betreffende tariefcomponenten in de vorige alinea. </w:t>
      </w:r>
    </w:p>
    <w:p w14:paraId="7DEDBFDB" w14:textId="2738A778" w:rsidR="00EE5CD7" w:rsidRPr="009C3DF7" w:rsidRDefault="00EE5CD7" w:rsidP="0065015C">
      <w:pPr>
        <w:pStyle w:val="Kop4"/>
      </w:pPr>
      <w:r w:rsidRPr="0065015C">
        <w:t xml:space="preserve"> </w:t>
      </w:r>
      <w:bookmarkStart w:id="83" w:name="_Ref39133572"/>
      <w:bookmarkStart w:id="84" w:name="_Ref39133586"/>
      <w:bookmarkStart w:id="85" w:name="_Ref39133784"/>
      <w:bookmarkStart w:id="86" w:name="_Toc81512465"/>
      <w:r w:rsidRPr="009C3DF7">
        <w:t>TABEL 5A: Opvolging regulatoir saldo inzake volumerisico endogeen budget</w:t>
      </w:r>
      <w:bookmarkEnd w:id="83"/>
      <w:bookmarkEnd w:id="84"/>
      <w:bookmarkEnd w:id="85"/>
      <w:bookmarkEnd w:id="86"/>
    </w:p>
    <w:p w14:paraId="24E6415A" w14:textId="77777777" w:rsidR="00EE5CD7" w:rsidRPr="009C3DF7" w:rsidRDefault="00EE5CD7" w:rsidP="00EE5CD7">
      <w:pPr>
        <w:rPr>
          <w:rFonts w:ascii="Calibri" w:hAnsi="Calibri"/>
        </w:rPr>
      </w:pPr>
      <w:r w:rsidRPr="009C3DF7">
        <w:rPr>
          <w:rFonts w:ascii="Calibri" w:hAnsi="Calibri"/>
        </w:rPr>
        <w:t xml:space="preserve">Deze tabel laat een jaarlijkse opvolging toe van de saldi inzake volumeverschillen m.b.t. endogene kosten. De tabel toont finaal enerzijds de saldi voor de volumeverschillen zoals ze door de VREG werden goedgekeurd en anderzijds de saldi die door de distributienetbeheerder werden ingeboekt. </w:t>
      </w:r>
    </w:p>
    <w:p w14:paraId="4E3D4E7B" w14:textId="11C4524B" w:rsidR="00EE5CD7" w:rsidRPr="009C3DF7" w:rsidRDefault="00EE5CD7" w:rsidP="00EE5CD7">
      <w:pPr>
        <w:rPr>
          <w:rFonts w:ascii="Calibri" w:hAnsi="Calibri"/>
        </w:rPr>
      </w:pPr>
      <w:r w:rsidRPr="009C3DF7">
        <w:rPr>
          <w:rFonts w:ascii="Calibri" w:hAnsi="Calibri"/>
        </w:rPr>
        <w:t xml:space="preserve">Merk </w:t>
      </w:r>
      <w:r w:rsidR="006D3D16" w:rsidRPr="009C3DF7">
        <w:rPr>
          <w:rFonts w:ascii="Calibri" w:hAnsi="Calibri"/>
        </w:rPr>
        <w:t>hierbij</w:t>
      </w:r>
      <w:r w:rsidRPr="009C3DF7">
        <w:rPr>
          <w:rFonts w:ascii="Calibri" w:hAnsi="Calibri"/>
        </w:rPr>
        <w:t xml:space="preserve"> op dat vanaf de tariefmethodologie 2021-2024 een dekking van het volumerisico voor het tarief inzake databeheer wordt voorzien, waar dit in de vorige tariefmethodologieën</w:t>
      </w:r>
      <w:r w:rsidRPr="009C3DF7">
        <w:rPr>
          <w:rStyle w:val="Voetnootmarkering"/>
          <w:rFonts w:ascii="Calibri" w:hAnsi="Calibri"/>
        </w:rPr>
        <w:footnoteReference w:id="15"/>
      </w:r>
      <w:r w:rsidRPr="009C3DF7">
        <w:rPr>
          <w:rFonts w:ascii="Calibri" w:hAnsi="Calibri"/>
        </w:rPr>
        <w:t xml:space="preserve"> niet het geval was. </w:t>
      </w:r>
    </w:p>
    <w:p w14:paraId="20F8A75E" w14:textId="32C803BF" w:rsidR="00EE5CD7" w:rsidRPr="009C3DF7" w:rsidRDefault="00EE5CD7" w:rsidP="009C3DF7">
      <w:pPr>
        <w:rPr>
          <w:rFonts w:ascii="Calibri" w:hAnsi="Calibri"/>
        </w:rPr>
      </w:pPr>
      <w:r w:rsidRPr="009C3DF7">
        <w:rPr>
          <w:rFonts w:ascii="Calibri" w:hAnsi="Calibri"/>
        </w:rPr>
        <w:t xml:space="preserve">Teneinde dit saldo op een correcte manier te bepalen, dient de distributienetbeheerder </w:t>
      </w:r>
      <w:r w:rsidR="000B1E1D">
        <w:rPr>
          <w:rFonts w:ascii="Calibri" w:hAnsi="Calibri"/>
        </w:rPr>
        <w:t>voor het boekjaar 20XX en de voorgaande boekjaren</w:t>
      </w:r>
      <w:r w:rsidRPr="009C3DF7">
        <w:rPr>
          <w:rFonts w:ascii="Calibri" w:hAnsi="Calibri"/>
        </w:rPr>
        <w:t xml:space="preserve"> vooreerst op ex-post basis per tariefcomponent het budget endogene kosten te rapporteren. Met het budget endogene kosten wordt het toegelaten inkomen inzake endogene kosten bedoeld zoals dit in </w:t>
      </w:r>
      <w:r w:rsidR="00CB7E96">
        <w:rPr>
          <w:rFonts w:ascii="Calibri" w:hAnsi="Calibri"/>
        </w:rPr>
        <w:t>tabel ‘</w:t>
      </w:r>
      <w:r w:rsidR="003F4973">
        <w:rPr>
          <w:rFonts w:ascii="Calibri" w:hAnsi="Calibri"/>
        </w:rPr>
        <w:t>T1’</w:t>
      </w:r>
      <w:r w:rsidRPr="009C3DF7">
        <w:rPr>
          <w:rFonts w:ascii="Calibri" w:hAnsi="Calibri"/>
        </w:rPr>
        <w:t xml:space="preserve"> (voor de gereguleerde activiteit ‘elektriciteit’) of </w:t>
      </w:r>
      <w:r w:rsidR="003F4973">
        <w:rPr>
          <w:rFonts w:ascii="Calibri" w:hAnsi="Calibri"/>
        </w:rPr>
        <w:t>tabel</w:t>
      </w:r>
      <w:r w:rsidR="00B71209">
        <w:rPr>
          <w:rFonts w:ascii="Calibri" w:hAnsi="Calibri"/>
        </w:rPr>
        <w:t xml:space="preserve"> ‘T5’</w:t>
      </w:r>
      <w:r w:rsidRPr="009C3DF7">
        <w:rPr>
          <w:rFonts w:ascii="Calibri" w:hAnsi="Calibri"/>
        </w:rPr>
        <w:t xml:space="preserve"> (voor de gereguleerde activiteit ‘gas’) van het tariefvoorstel voor het betreffende boekjaar aan elke tariefcomponent werd toegewezen. Een distributienetbeheerder is immers in de mogelijkheid in zijn tariefvoorstel een endogeen budget op te nemen dat lager is dan zijn door de VREG toegelaten inkomen inzake endogene kosten. Indien er in de loop van het jaar meerdere tariefvoorstellen van toepassing zijn geweest, dient voor het budget endogene kosten per tariefcomponent de waarde in rekening worden genomen zoals opgenomen in het laatste tariefvoorstel dat voor het boekjaar is opgemaakt.</w:t>
      </w:r>
      <w:r w:rsidR="009C3DF7" w:rsidRPr="009C3DF7">
        <w:rPr>
          <w:rFonts w:ascii="Calibri" w:hAnsi="Calibri"/>
        </w:rPr>
        <w:t xml:space="preserve"> </w:t>
      </w:r>
      <w:r w:rsidR="00A7678E">
        <w:rPr>
          <w:rFonts w:ascii="Calibri" w:hAnsi="Calibri"/>
        </w:rPr>
        <w:t>[</w:t>
      </w:r>
      <w:r w:rsidR="0077229C">
        <w:rPr>
          <w:rFonts w:ascii="Calibri" w:hAnsi="Calibri"/>
        </w:rPr>
        <w:t xml:space="preserve">Voor het boekjaar 2022 </w:t>
      </w:r>
      <w:r w:rsidR="008F0ABC">
        <w:rPr>
          <w:rFonts w:ascii="Calibri" w:hAnsi="Calibri"/>
        </w:rPr>
        <w:t xml:space="preserve">rapporteert </w:t>
      </w:r>
      <w:r w:rsidR="0005622A">
        <w:rPr>
          <w:rFonts w:ascii="Calibri" w:hAnsi="Calibri"/>
        </w:rPr>
        <w:t xml:space="preserve">de </w:t>
      </w:r>
      <w:r w:rsidR="009D0638">
        <w:rPr>
          <w:rFonts w:ascii="Calibri" w:hAnsi="Calibri"/>
        </w:rPr>
        <w:t>elektriciteits</w:t>
      </w:r>
      <w:r w:rsidR="0005622A">
        <w:rPr>
          <w:rFonts w:ascii="Calibri" w:hAnsi="Calibri"/>
        </w:rPr>
        <w:t xml:space="preserve">distributienetbeheerder de budgetindeling </w:t>
      </w:r>
      <w:r w:rsidR="00AE7E3F">
        <w:rPr>
          <w:rFonts w:ascii="Calibri" w:hAnsi="Calibri"/>
        </w:rPr>
        <w:t xml:space="preserve">per tariefcomponent </w:t>
      </w:r>
      <w:r w:rsidR="008F0ABC">
        <w:rPr>
          <w:rFonts w:ascii="Calibri" w:hAnsi="Calibri"/>
        </w:rPr>
        <w:t>conform</w:t>
      </w:r>
      <w:r w:rsidR="0005622A">
        <w:rPr>
          <w:rFonts w:ascii="Calibri" w:hAnsi="Calibri"/>
        </w:rPr>
        <w:t xml:space="preserve"> zijn </w:t>
      </w:r>
      <w:r w:rsidR="0005622A">
        <w:rPr>
          <w:rFonts w:ascii="Calibri" w:hAnsi="Calibri"/>
        </w:rPr>
        <w:lastRenderedPageBreak/>
        <w:t xml:space="preserve">tariefvoorstel </w:t>
      </w:r>
      <w:r w:rsidR="00B16F0E">
        <w:rPr>
          <w:rFonts w:ascii="Calibri" w:hAnsi="Calibri"/>
        </w:rPr>
        <w:t>voor 2022H2</w:t>
      </w:r>
      <w:r w:rsidR="00AE7E3F">
        <w:rPr>
          <w:rFonts w:ascii="Calibri" w:hAnsi="Calibri"/>
        </w:rPr>
        <w:t>, dus ongeacht</w:t>
      </w:r>
      <w:r w:rsidR="003350BD">
        <w:rPr>
          <w:rFonts w:ascii="Calibri" w:hAnsi="Calibri"/>
        </w:rPr>
        <w:t xml:space="preserve"> dat voor </w:t>
      </w:r>
      <w:r w:rsidR="00363DCE">
        <w:rPr>
          <w:rFonts w:ascii="Calibri" w:hAnsi="Calibri"/>
        </w:rPr>
        <w:t xml:space="preserve">2022H1 </w:t>
      </w:r>
      <w:r w:rsidR="003350BD">
        <w:rPr>
          <w:rFonts w:ascii="Calibri" w:hAnsi="Calibri"/>
        </w:rPr>
        <w:t>nog een tariefvoorstel volgens de voormalige tariefstructuur werd opgemaakt.]</w:t>
      </w:r>
      <w:r w:rsidR="003350BD">
        <w:rPr>
          <w:rStyle w:val="Voetnootmarkering"/>
          <w:rFonts w:ascii="Calibri" w:hAnsi="Calibri"/>
        </w:rPr>
        <w:footnoteReference w:id="16"/>
      </w:r>
      <w:r w:rsidR="00AE7E3F">
        <w:rPr>
          <w:rFonts w:ascii="Calibri" w:hAnsi="Calibri"/>
        </w:rPr>
        <w:t xml:space="preserve"> </w:t>
      </w:r>
      <w:r w:rsidR="008F0ABC">
        <w:rPr>
          <w:rFonts w:ascii="Calibri" w:hAnsi="Calibri"/>
        </w:rPr>
        <w:t xml:space="preserve"> </w:t>
      </w:r>
    </w:p>
    <w:p w14:paraId="7E397D16" w14:textId="0AE89914" w:rsidR="00EE5CD7" w:rsidRDefault="00EE5CD7" w:rsidP="00EE5CD7">
      <w:pPr>
        <w:rPr>
          <w:rFonts w:ascii="Calibri" w:hAnsi="Calibri"/>
        </w:rPr>
      </w:pPr>
      <w:r w:rsidRPr="009C3DF7">
        <w:rPr>
          <w:rFonts w:ascii="Calibri" w:hAnsi="Calibri"/>
        </w:rPr>
        <w:t xml:space="preserve">Hiernaast dient de distributienetbeheerder op ex-post basis </w:t>
      </w:r>
      <w:r w:rsidR="002B1672">
        <w:rPr>
          <w:rFonts w:ascii="Calibri" w:hAnsi="Calibri"/>
        </w:rPr>
        <w:t xml:space="preserve">voor het boekjaar 20XX en de voorgaande boekjaren </w:t>
      </w:r>
      <w:r w:rsidRPr="009C3DF7">
        <w:rPr>
          <w:rFonts w:ascii="Calibri" w:hAnsi="Calibri"/>
        </w:rPr>
        <w:t xml:space="preserve">per tariefcomponent de totale werkelijke opbrengsten uit periodieke distributienettarieven m.b.t. de endogene kosten voor het betreffende boekjaar te rapporteren. De in deze tabel gerapporteerde waarden dienen per tariefcomponent jaarlijks overeen te komen met de voor het betreffende boekjaar gerapporteerde opbrengsten voor endogene kosten in ‘tabel 5C’ (elektriciteit - afname) en ‘tabel 5D’ (elektriciteit - injectie) voor de gereguleerde activiteit ‘elektriciteit’ enerzijds en ‘tabel 5E’ (gas – afname) en ‘tabel 5F’ (gas – injectie) voor de gereguleerde activiteit ‘gas’ anderzijds. </w:t>
      </w:r>
      <w:r w:rsidR="005E3D86">
        <w:rPr>
          <w:rFonts w:ascii="Calibri" w:hAnsi="Calibri"/>
        </w:rPr>
        <w:t>[</w:t>
      </w:r>
      <w:r w:rsidR="00DD1429">
        <w:rPr>
          <w:rFonts w:ascii="Calibri" w:hAnsi="Calibri"/>
        </w:rPr>
        <w:t>We verwijzen naar de invulinstructie m.b.t. ‘tabel 5C’</w:t>
      </w:r>
      <w:r w:rsidR="00D81EA2">
        <w:rPr>
          <w:rFonts w:ascii="Calibri" w:hAnsi="Calibri"/>
        </w:rPr>
        <w:t xml:space="preserve"> (par. </w:t>
      </w:r>
      <w:r w:rsidR="00D81EA2">
        <w:rPr>
          <w:rFonts w:ascii="Calibri" w:hAnsi="Calibri"/>
        </w:rPr>
        <w:fldChar w:fldCharType="begin"/>
      </w:r>
      <w:r w:rsidR="00D81EA2">
        <w:rPr>
          <w:rFonts w:ascii="Calibri" w:hAnsi="Calibri"/>
        </w:rPr>
        <w:instrText xml:space="preserve"> REF _Ref39043394 \r \h </w:instrText>
      </w:r>
      <w:r w:rsidR="00D81EA2">
        <w:rPr>
          <w:rFonts w:ascii="Calibri" w:hAnsi="Calibri"/>
        </w:rPr>
      </w:r>
      <w:r w:rsidR="00D81EA2">
        <w:rPr>
          <w:rFonts w:ascii="Calibri" w:hAnsi="Calibri"/>
        </w:rPr>
        <w:fldChar w:fldCharType="separate"/>
      </w:r>
      <w:r w:rsidR="00D81EA2">
        <w:rPr>
          <w:rFonts w:ascii="Calibri" w:hAnsi="Calibri"/>
        </w:rPr>
        <w:t>1.2.1.9</w:t>
      </w:r>
      <w:r w:rsidR="00D81EA2">
        <w:rPr>
          <w:rFonts w:ascii="Calibri" w:hAnsi="Calibri"/>
        </w:rPr>
        <w:fldChar w:fldCharType="end"/>
      </w:r>
      <w:r w:rsidR="00D81EA2">
        <w:rPr>
          <w:rFonts w:ascii="Calibri" w:hAnsi="Calibri"/>
        </w:rPr>
        <w:t>)</w:t>
      </w:r>
      <w:r w:rsidR="00DD1429">
        <w:rPr>
          <w:rFonts w:ascii="Calibri" w:hAnsi="Calibri"/>
        </w:rPr>
        <w:t xml:space="preserve"> en ‘tabel 5D’ </w:t>
      </w:r>
      <w:r w:rsidR="00D81EA2">
        <w:rPr>
          <w:rFonts w:ascii="Calibri" w:hAnsi="Calibri"/>
        </w:rPr>
        <w:t xml:space="preserve">(par. </w:t>
      </w:r>
      <w:r w:rsidR="00D81EA2">
        <w:rPr>
          <w:rFonts w:ascii="Calibri" w:hAnsi="Calibri"/>
        </w:rPr>
        <w:fldChar w:fldCharType="begin"/>
      </w:r>
      <w:r w:rsidR="00D81EA2">
        <w:rPr>
          <w:rFonts w:ascii="Calibri" w:hAnsi="Calibri"/>
        </w:rPr>
        <w:instrText xml:space="preserve"> REF _Ref39043403 \r \h </w:instrText>
      </w:r>
      <w:r w:rsidR="00D81EA2">
        <w:rPr>
          <w:rFonts w:ascii="Calibri" w:hAnsi="Calibri"/>
        </w:rPr>
      </w:r>
      <w:r w:rsidR="00D81EA2">
        <w:rPr>
          <w:rFonts w:ascii="Calibri" w:hAnsi="Calibri"/>
        </w:rPr>
        <w:fldChar w:fldCharType="separate"/>
      </w:r>
      <w:r w:rsidR="00D81EA2">
        <w:rPr>
          <w:rFonts w:ascii="Calibri" w:hAnsi="Calibri"/>
        </w:rPr>
        <w:t>1.2.1.10</w:t>
      </w:r>
      <w:r w:rsidR="00D81EA2">
        <w:rPr>
          <w:rFonts w:ascii="Calibri" w:hAnsi="Calibri"/>
        </w:rPr>
        <w:fldChar w:fldCharType="end"/>
      </w:r>
      <w:r w:rsidR="001A1136">
        <w:rPr>
          <w:rFonts w:ascii="Calibri" w:hAnsi="Calibri"/>
        </w:rPr>
        <w:t xml:space="preserve">) </w:t>
      </w:r>
      <w:r w:rsidR="00DD1429">
        <w:rPr>
          <w:rFonts w:ascii="Calibri" w:hAnsi="Calibri"/>
        </w:rPr>
        <w:t xml:space="preserve">voor wat de </w:t>
      </w:r>
      <w:r w:rsidR="00D81EA2">
        <w:rPr>
          <w:rFonts w:ascii="Calibri" w:hAnsi="Calibri"/>
        </w:rPr>
        <w:t>rapporteringswijze van de werkelijke opbrengsten voor het boekjaar 2022 betreft</w:t>
      </w:r>
      <w:r w:rsidR="005E3D86">
        <w:rPr>
          <w:rFonts w:ascii="Calibri" w:hAnsi="Calibri"/>
        </w:rPr>
        <w:t>.]</w:t>
      </w:r>
      <w:r w:rsidR="005E3D86">
        <w:rPr>
          <w:rStyle w:val="Voetnootmarkering"/>
          <w:rFonts w:ascii="Calibri" w:hAnsi="Calibri"/>
        </w:rPr>
        <w:footnoteReference w:id="17"/>
      </w:r>
    </w:p>
    <w:p w14:paraId="611B178A" w14:textId="703D6CBA" w:rsidR="003579B7" w:rsidRPr="005B420D" w:rsidRDefault="003579B7" w:rsidP="003579B7">
      <w:pPr>
        <w:rPr>
          <w:rFonts w:ascii="Calibri" w:hAnsi="Calibri"/>
        </w:rPr>
      </w:pPr>
      <w:r w:rsidRPr="005B420D">
        <w:rPr>
          <w:rFonts w:ascii="Calibri" w:hAnsi="Calibri"/>
        </w:rPr>
        <w:t xml:space="preserve">Merk hierbij op dat t.g.v. de invoering van de nieuwe tariefstructuur vanaf 2022 </w:t>
      </w:r>
      <w:r>
        <w:rPr>
          <w:rFonts w:ascii="Calibri" w:hAnsi="Calibri"/>
        </w:rPr>
        <w:t xml:space="preserve">voor de gereguleerde activiteit ‘elektriciteit’ </w:t>
      </w:r>
      <w:r w:rsidRPr="005B420D">
        <w:rPr>
          <w:rFonts w:ascii="Calibri" w:hAnsi="Calibri"/>
        </w:rPr>
        <w:t xml:space="preserve">zowel </w:t>
      </w:r>
      <w:r w:rsidR="009C7156">
        <w:rPr>
          <w:rFonts w:ascii="Calibri" w:hAnsi="Calibri"/>
        </w:rPr>
        <w:t xml:space="preserve">nog </w:t>
      </w:r>
      <w:r w:rsidRPr="005B420D">
        <w:rPr>
          <w:rFonts w:ascii="Calibri" w:hAnsi="Calibri"/>
        </w:rPr>
        <w:t xml:space="preserve">de oude als nieuwe tariefcomponenten in deze tabel zijn opgenomen. We geven hieronder </w:t>
      </w:r>
      <w:r w:rsidR="004B265C">
        <w:rPr>
          <w:rFonts w:ascii="Calibri" w:hAnsi="Calibri"/>
        </w:rPr>
        <w:t>een toelichting</w:t>
      </w:r>
      <w:r w:rsidRPr="005B420D">
        <w:rPr>
          <w:rFonts w:ascii="Calibri" w:hAnsi="Calibri"/>
        </w:rPr>
        <w:t xml:space="preserve"> per specifieke tariefcomponent</w:t>
      </w:r>
      <w:r>
        <w:rPr>
          <w:rFonts w:ascii="Calibri" w:hAnsi="Calibri"/>
        </w:rPr>
        <w:t xml:space="preserve"> en per gereguleerde activiteit</w:t>
      </w:r>
      <w:r w:rsidRPr="005B420D">
        <w:rPr>
          <w:rFonts w:ascii="Calibri" w:hAnsi="Calibri"/>
        </w:rPr>
        <w:t>:</w:t>
      </w:r>
    </w:p>
    <w:p w14:paraId="6762E5F8" w14:textId="77777777" w:rsidR="003579B7" w:rsidRPr="005B420D" w:rsidRDefault="003579B7" w:rsidP="003579B7">
      <w:pPr>
        <w:pStyle w:val="Lijstalinea"/>
        <w:numPr>
          <w:ilvl w:val="0"/>
          <w:numId w:val="25"/>
        </w:numPr>
        <w:rPr>
          <w:rFonts w:ascii="Calibri" w:hAnsi="Calibri"/>
        </w:rPr>
      </w:pPr>
      <w:r w:rsidRPr="005B420D">
        <w:rPr>
          <w:rFonts w:ascii="Calibri" w:hAnsi="Calibri"/>
        </w:rPr>
        <w:t>Het basistarief voor het gebruik van het net</w:t>
      </w:r>
    </w:p>
    <w:p w14:paraId="581D36F4" w14:textId="14E83701" w:rsidR="003579B7" w:rsidRPr="005B420D" w:rsidRDefault="003579B7" w:rsidP="003579B7">
      <w:pPr>
        <w:pStyle w:val="Lijstalinea"/>
        <w:numPr>
          <w:ilvl w:val="1"/>
          <w:numId w:val="25"/>
        </w:numPr>
        <w:rPr>
          <w:rFonts w:ascii="Calibri" w:hAnsi="Calibri"/>
        </w:rPr>
      </w:pPr>
      <w:r w:rsidRPr="005B420D">
        <w:rPr>
          <w:rFonts w:ascii="Calibri" w:hAnsi="Calibri"/>
        </w:rPr>
        <w:t xml:space="preserve">Voor de gereguleerde activiteit ‘elektriciteit’ </w:t>
      </w:r>
      <w:r w:rsidR="006E54E4">
        <w:rPr>
          <w:rFonts w:ascii="Calibri" w:hAnsi="Calibri"/>
        </w:rPr>
        <w:t>dienen</w:t>
      </w:r>
      <w:r w:rsidR="00F1234E">
        <w:rPr>
          <w:rFonts w:ascii="Calibri" w:hAnsi="Calibri"/>
        </w:rPr>
        <w:t xml:space="preserve"> </w:t>
      </w:r>
      <w:r w:rsidRPr="005B420D">
        <w:rPr>
          <w:rFonts w:ascii="Calibri" w:hAnsi="Calibri"/>
        </w:rPr>
        <w:t xml:space="preserve">voor deze tariefcomponent </w:t>
      </w:r>
      <w:r w:rsidR="00CF6252">
        <w:rPr>
          <w:rFonts w:ascii="Calibri" w:hAnsi="Calibri"/>
        </w:rPr>
        <w:t>de</w:t>
      </w:r>
      <w:r w:rsidRPr="005B420D">
        <w:rPr>
          <w:rFonts w:ascii="Calibri" w:hAnsi="Calibri"/>
        </w:rPr>
        <w:t xml:space="preserve"> betreffende </w:t>
      </w:r>
      <w:r w:rsidR="006E54E4">
        <w:rPr>
          <w:rFonts w:ascii="Calibri" w:hAnsi="Calibri"/>
        </w:rPr>
        <w:t>budget</w:t>
      </w:r>
      <w:r w:rsidR="00CF6252">
        <w:rPr>
          <w:rFonts w:ascii="Calibri" w:hAnsi="Calibri"/>
        </w:rPr>
        <w:t>ten</w:t>
      </w:r>
      <w:r w:rsidR="006E54E4">
        <w:rPr>
          <w:rFonts w:ascii="Calibri" w:hAnsi="Calibri"/>
        </w:rPr>
        <w:t xml:space="preserve"> en opbrengsten</w:t>
      </w:r>
      <w:r w:rsidRPr="005B420D">
        <w:rPr>
          <w:rFonts w:ascii="Calibri" w:hAnsi="Calibri"/>
        </w:rPr>
        <w:t xml:space="preserve"> voor de periode 2015-2021 te worden gerapporteerd. Onder de nieuwe tariefstructuur (vanaf 2022) is deze tariefcomponent vervat in het tarief netgebruik;</w:t>
      </w:r>
    </w:p>
    <w:p w14:paraId="73D22300" w14:textId="4CB0F765" w:rsidR="003579B7" w:rsidRPr="005B420D" w:rsidRDefault="003579B7" w:rsidP="003579B7">
      <w:pPr>
        <w:pStyle w:val="Lijstalinea"/>
        <w:numPr>
          <w:ilvl w:val="1"/>
          <w:numId w:val="25"/>
        </w:numPr>
        <w:rPr>
          <w:rFonts w:ascii="Calibri" w:hAnsi="Calibri"/>
        </w:rPr>
      </w:pPr>
      <w:r w:rsidRPr="005B420D">
        <w:rPr>
          <w:rFonts w:ascii="Calibri" w:hAnsi="Calibri"/>
        </w:rPr>
        <w:t xml:space="preserve">Voor de gereguleerde activiteit ‘aardgas’ </w:t>
      </w:r>
      <w:r w:rsidR="00CF6252">
        <w:rPr>
          <w:rFonts w:ascii="Calibri" w:hAnsi="Calibri"/>
        </w:rPr>
        <w:t>kunnen</w:t>
      </w:r>
      <w:r w:rsidRPr="005B420D">
        <w:rPr>
          <w:rFonts w:ascii="Calibri" w:hAnsi="Calibri"/>
        </w:rPr>
        <w:t xml:space="preserve"> voor elk jaar in de periode 2015-2024 </w:t>
      </w:r>
      <w:r w:rsidR="00CF6252">
        <w:rPr>
          <w:rFonts w:ascii="Calibri" w:hAnsi="Calibri"/>
        </w:rPr>
        <w:t>de betreffende budgetten en opbrengsten</w:t>
      </w:r>
      <w:r w:rsidRPr="005B420D">
        <w:rPr>
          <w:rFonts w:ascii="Calibri" w:hAnsi="Calibri"/>
        </w:rPr>
        <w:t xml:space="preserve"> worden gerapporteerd.</w:t>
      </w:r>
    </w:p>
    <w:p w14:paraId="5F95BA93" w14:textId="77777777" w:rsidR="003579B7" w:rsidRPr="005B420D" w:rsidRDefault="003579B7" w:rsidP="003579B7">
      <w:pPr>
        <w:pStyle w:val="Lijstalinea"/>
        <w:numPr>
          <w:ilvl w:val="0"/>
          <w:numId w:val="25"/>
        </w:numPr>
        <w:rPr>
          <w:rFonts w:ascii="Calibri" w:hAnsi="Calibri"/>
        </w:rPr>
      </w:pPr>
      <w:r w:rsidRPr="005B420D">
        <w:rPr>
          <w:rFonts w:ascii="Calibri" w:hAnsi="Calibri"/>
        </w:rPr>
        <w:t>Het tarief netgebruik</w:t>
      </w:r>
    </w:p>
    <w:p w14:paraId="0E2371BF" w14:textId="1C4E4012" w:rsidR="003579B7" w:rsidRPr="005B420D" w:rsidRDefault="003579B7" w:rsidP="003579B7">
      <w:pPr>
        <w:pStyle w:val="Lijstalinea"/>
        <w:numPr>
          <w:ilvl w:val="1"/>
          <w:numId w:val="25"/>
        </w:numPr>
        <w:rPr>
          <w:rFonts w:ascii="Calibri" w:hAnsi="Calibri"/>
        </w:rPr>
      </w:pPr>
      <w:r w:rsidRPr="005B420D">
        <w:rPr>
          <w:rFonts w:ascii="Calibri" w:hAnsi="Calibri"/>
        </w:rPr>
        <w:t>Deze tariefcomponent ontstaat bij invoering van de nieuwe tariefstructuur (vanaf 2022)</w:t>
      </w:r>
      <w:r>
        <w:rPr>
          <w:rFonts w:ascii="Calibri" w:hAnsi="Calibri"/>
        </w:rPr>
        <w:t xml:space="preserve"> voor de gereguleerde activiteit ‘elektriciteit’</w:t>
      </w:r>
      <w:r w:rsidRPr="005B420D">
        <w:rPr>
          <w:rFonts w:ascii="Calibri" w:hAnsi="Calibri"/>
        </w:rPr>
        <w:t xml:space="preserve">. Voor deze tariefcomponent </w:t>
      </w:r>
      <w:r w:rsidR="009E1391">
        <w:rPr>
          <w:rFonts w:ascii="Calibri" w:hAnsi="Calibri"/>
        </w:rPr>
        <w:t>kunnen</w:t>
      </w:r>
      <w:r w:rsidRPr="005B420D">
        <w:rPr>
          <w:rFonts w:ascii="Calibri" w:hAnsi="Calibri"/>
        </w:rPr>
        <w:t xml:space="preserve"> bijgevolg enkel voor de gereguleerde activiteit ‘elektriciteit’ </w:t>
      </w:r>
      <w:r w:rsidR="009E1391">
        <w:rPr>
          <w:rFonts w:ascii="Calibri" w:hAnsi="Calibri"/>
        </w:rPr>
        <w:t>de betreffende budgetten en opbrengsten</w:t>
      </w:r>
      <w:r w:rsidRPr="005B420D">
        <w:rPr>
          <w:rFonts w:ascii="Calibri" w:hAnsi="Calibri"/>
        </w:rPr>
        <w:t xml:space="preserve"> worden gerapporteerd en dit voor de periode 2022-2024.</w:t>
      </w:r>
    </w:p>
    <w:p w14:paraId="00CF65C9" w14:textId="77777777" w:rsidR="003579B7" w:rsidRPr="005B420D" w:rsidRDefault="003579B7" w:rsidP="003579B7">
      <w:pPr>
        <w:pStyle w:val="Lijstalinea"/>
        <w:numPr>
          <w:ilvl w:val="0"/>
          <w:numId w:val="25"/>
        </w:numPr>
        <w:rPr>
          <w:rFonts w:ascii="Calibri" w:hAnsi="Calibri"/>
        </w:rPr>
      </w:pPr>
      <w:r w:rsidRPr="005B420D">
        <w:rPr>
          <w:rFonts w:ascii="Calibri" w:hAnsi="Calibri"/>
        </w:rPr>
        <w:t>Het tarief voor het systeembeheer</w:t>
      </w:r>
    </w:p>
    <w:p w14:paraId="2F8088BE" w14:textId="3043C941" w:rsidR="003579B7" w:rsidRPr="005B420D" w:rsidRDefault="003579B7" w:rsidP="003579B7">
      <w:pPr>
        <w:pStyle w:val="Lijstalinea"/>
        <w:numPr>
          <w:ilvl w:val="1"/>
          <w:numId w:val="25"/>
        </w:numPr>
        <w:rPr>
          <w:rFonts w:ascii="Calibri" w:hAnsi="Calibri"/>
        </w:rPr>
      </w:pPr>
      <w:r w:rsidRPr="005B420D">
        <w:rPr>
          <w:rFonts w:ascii="Calibri" w:hAnsi="Calibri"/>
        </w:rPr>
        <w:t>Voor de gereguleerde activiteit ‘elektriciteit’ dien</w:t>
      </w:r>
      <w:r w:rsidR="007679FE">
        <w:rPr>
          <w:rFonts w:ascii="Calibri" w:hAnsi="Calibri"/>
        </w:rPr>
        <w:t>en</w:t>
      </w:r>
      <w:r w:rsidRPr="005B420D">
        <w:rPr>
          <w:rFonts w:ascii="Calibri" w:hAnsi="Calibri"/>
        </w:rPr>
        <w:t xml:space="preserve"> voor deze tariefcomponent </w:t>
      </w:r>
      <w:r w:rsidR="007679FE">
        <w:rPr>
          <w:rFonts w:ascii="Calibri" w:hAnsi="Calibri"/>
        </w:rPr>
        <w:t>de betreffende budgetten en opbrengsten</w:t>
      </w:r>
      <w:r w:rsidRPr="005B420D">
        <w:rPr>
          <w:rFonts w:ascii="Calibri" w:hAnsi="Calibri"/>
        </w:rPr>
        <w:t xml:space="preserve"> voor de periode 2015-2021 te worden gerapporteerd. Onder de nieuwe tariefstructuur (vanaf 2022) is deze tariefcomponent vervat in het tarief netgebruik;</w:t>
      </w:r>
    </w:p>
    <w:p w14:paraId="710AA7C1" w14:textId="5B78302D" w:rsidR="003579B7" w:rsidRPr="005B420D" w:rsidRDefault="003579B7" w:rsidP="003579B7">
      <w:pPr>
        <w:pStyle w:val="Lijstalinea"/>
        <w:numPr>
          <w:ilvl w:val="1"/>
          <w:numId w:val="25"/>
        </w:numPr>
        <w:rPr>
          <w:rFonts w:ascii="Calibri" w:hAnsi="Calibri"/>
        </w:rPr>
      </w:pPr>
      <w:r w:rsidRPr="005B420D">
        <w:rPr>
          <w:rFonts w:ascii="Calibri" w:hAnsi="Calibri"/>
        </w:rPr>
        <w:t xml:space="preserve">Voor de gereguleerde activiteit ‘aardgas’ </w:t>
      </w:r>
      <w:r w:rsidR="00A22D54">
        <w:rPr>
          <w:rFonts w:ascii="Calibri" w:hAnsi="Calibri"/>
        </w:rPr>
        <w:t>kunnen</w:t>
      </w:r>
      <w:r w:rsidRPr="005B420D">
        <w:rPr>
          <w:rFonts w:ascii="Calibri" w:hAnsi="Calibri"/>
        </w:rPr>
        <w:t xml:space="preserve"> voor elk jaar in de periode 2015-2024 </w:t>
      </w:r>
      <w:r w:rsidR="00A22D54">
        <w:rPr>
          <w:rFonts w:ascii="Calibri" w:hAnsi="Calibri"/>
        </w:rPr>
        <w:t>de betreffende budgetten en opbrengsten</w:t>
      </w:r>
      <w:r w:rsidRPr="005B420D">
        <w:rPr>
          <w:rFonts w:ascii="Calibri" w:hAnsi="Calibri"/>
        </w:rPr>
        <w:t xml:space="preserve"> worden gerapporteerd.</w:t>
      </w:r>
    </w:p>
    <w:p w14:paraId="40D28E70" w14:textId="77777777" w:rsidR="003579B7" w:rsidRPr="005B420D" w:rsidRDefault="003579B7" w:rsidP="003579B7">
      <w:pPr>
        <w:pStyle w:val="Lijstalinea"/>
        <w:numPr>
          <w:ilvl w:val="0"/>
          <w:numId w:val="25"/>
        </w:numPr>
        <w:rPr>
          <w:rFonts w:ascii="Calibri" w:hAnsi="Calibri"/>
        </w:rPr>
      </w:pPr>
      <w:r w:rsidRPr="005B420D">
        <w:rPr>
          <w:rFonts w:ascii="Calibri" w:hAnsi="Calibri"/>
        </w:rPr>
        <w:t>Het tarief reactieve energie</w:t>
      </w:r>
    </w:p>
    <w:p w14:paraId="68AF2F88" w14:textId="5BAF616C" w:rsidR="003579B7" w:rsidRPr="005B420D" w:rsidRDefault="003579B7" w:rsidP="003579B7">
      <w:pPr>
        <w:pStyle w:val="Lijstalinea"/>
        <w:numPr>
          <w:ilvl w:val="1"/>
          <w:numId w:val="25"/>
        </w:numPr>
        <w:rPr>
          <w:rFonts w:ascii="Calibri" w:hAnsi="Calibri"/>
        </w:rPr>
      </w:pPr>
      <w:r w:rsidRPr="005B420D">
        <w:rPr>
          <w:rFonts w:ascii="Calibri" w:hAnsi="Calibri"/>
        </w:rPr>
        <w:t xml:space="preserve">Voor deze tariefcomponent </w:t>
      </w:r>
      <w:r w:rsidR="00693667">
        <w:rPr>
          <w:rFonts w:ascii="Calibri" w:hAnsi="Calibri"/>
        </w:rPr>
        <w:t>kunnen</w:t>
      </w:r>
      <w:r w:rsidRPr="005B420D">
        <w:rPr>
          <w:rFonts w:ascii="Calibri" w:hAnsi="Calibri"/>
        </w:rPr>
        <w:t xml:space="preserve"> enkel voor de gereguleerde activiteit ‘elektriciteit’ </w:t>
      </w:r>
      <w:r w:rsidR="00693667">
        <w:rPr>
          <w:rFonts w:ascii="Calibri" w:hAnsi="Calibri"/>
        </w:rPr>
        <w:t>de betreffende budgetten en opbrengsten</w:t>
      </w:r>
      <w:r w:rsidRPr="005B420D">
        <w:rPr>
          <w:rFonts w:ascii="Calibri" w:hAnsi="Calibri"/>
        </w:rPr>
        <w:t xml:space="preserve"> worden gerapporteerd en dit voor de periode 2015-202</w:t>
      </w:r>
      <w:r w:rsidR="00A67D59">
        <w:rPr>
          <w:rFonts w:ascii="Calibri" w:hAnsi="Calibri"/>
        </w:rPr>
        <w:t>4</w:t>
      </w:r>
      <w:r w:rsidRPr="005B420D">
        <w:rPr>
          <w:rFonts w:ascii="Calibri" w:hAnsi="Calibri"/>
        </w:rPr>
        <w:t xml:space="preserve">. </w:t>
      </w:r>
    </w:p>
    <w:p w14:paraId="23BF743C" w14:textId="77777777" w:rsidR="003579B7" w:rsidRPr="005B420D" w:rsidRDefault="003579B7" w:rsidP="003579B7">
      <w:pPr>
        <w:pStyle w:val="Lijstalinea"/>
        <w:numPr>
          <w:ilvl w:val="0"/>
          <w:numId w:val="25"/>
        </w:numPr>
        <w:rPr>
          <w:rFonts w:ascii="Calibri" w:hAnsi="Calibri"/>
        </w:rPr>
      </w:pPr>
      <w:r w:rsidRPr="005B420D">
        <w:rPr>
          <w:rFonts w:ascii="Calibri" w:hAnsi="Calibri"/>
        </w:rPr>
        <w:t>Het tarief voor het databeheer</w:t>
      </w:r>
    </w:p>
    <w:p w14:paraId="02DAF6FF" w14:textId="44DF4293" w:rsidR="003579B7" w:rsidRPr="005B420D" w:rsidRDefault="003579B7" w:rsidP="003579B7">
      <w:pPr>
        <w:pStyle w:val="Lijstalinea"/>
        <w:numPr>
          <w:ilvl w:val="1"/>
          <w:numId w:val="25"/>
        </w:numPr>
        <w:rPr>
          <w:rFonts w:ascii="Calibri" w:hAnsi="Calibri"/>
        </w:rPr>
      </w:pPr>
      <w:r w:rsidRPr="005B420D">
        <w:rPr>
          <w:rFonts w:ascii="Calibri" w:hAnsi="Calibri"/>
        </w:rPr>
        <w:lastRenderedPageBreak/>
        <w:t>Zowel voor de gereguleerde activiteit ‘elektriciteit’ als ‘aardgas’ k</w:t>
      </w:r>
      <w:r w:rsidR="00FE7E0D">
        <w:rPr>
          <w:rFonts w:ascii="Calibri" w:hAnsi="Calibri"/>
        </w:rPr>
        <w:t>unnen</w:t>
      </w:r>
      <w:r w:rsidRPr="005B420D">
        <w:rPr>
          <w:rFonts w:ascii="Calibri" w:hAnsi="Calibri"/>
        </w:rPr>
        <w:t xml:space="preserve"> voor elk jaar in de periode 20</w:t>
      </w:r>
      <w:r w:rsidR="00FE7E0D">
        <w:rPr>
          <w:rFonts w:ascii="Calibri" w:hAnsi="Calibri"/>
        </w:rPr>
        <w:t>21</w:t>
      </w:r>
      <w:r w:rsidRPr="005B420D">
        <w:rPr>
          <w:rFonts w:ascii="Calibri" w:hAnsi="Calibri"/>
        </w:rPr>
        <w:t xml:space="preserve">-2024 </w:t>
      </w:r>
      <w:r w:rsidR="00FE7E0D">
        <w:rPr>
          <w:rFonts w:ascii="Calibri" w:hAnsi="Calibri"/>
        </w:rPr>
        <w:t>de betreffende budgetten en opbrengsten</w:t>
      </w:r>
      <w:r w:rsidRPr="005B420D">
        <w:rPr>
          <w:rFonts w:ascii="Calibri" w:hAnsi="Calibri"/>
        </w:rPr>
        <w:t xml:space="preserve"> worden gerapporteerd.</w:t>
      </w:r>
      <w:r w:rsidR="00D04356" w:rsidRPr="00D04356">
        <w:rPr>
          <w:rFonts w:ascii="Calibri" w:hAnsi="Calibri"/>
        </w:rPr>
        <w:t xml:space="preserve"> </w:t>
      </w:r>
    </w:p>
    <w:p w14:paraId="254235E8" w14:textId="77777777" w:rsidR="003579B7" w:rsidRPr="005B420D" w:rsidRDefault="003579B7" w:rsidP="003579B7">
      <w:pPr>
        <w:pStyle w:val="Lijstalinea"/>
        <w:numPr>
          <w:ilvl w:val="0"/>
          <w:numId w:val="25"/>
        </w:numPr>
        <w:rPr>
          <w:rFonts w:ascii="Calibri" w:hAnsi="Calibri"/>
        </w:rPr>
      </w:pPr>
      <w:r w:rsidRPr="005B420D">
        <w:rPr>
          <w:rFonts w:ascii="Calibri" w:hAnsi="Calibri"/>
        </w:rPr>
        <w:t>Het tarief voor openbare dienstverplichtingen</w:t>
      </w:r>
    </w:p>
    <w:p w14:paraId="781AD1A2" w14:textId="1AB62BB2" w:rsidR="003579B7" w:rsidRPr="005B420D" w:rsidRDefault="003579B7" w:rsidP="003579B7">
      <w:pPr>
        <w:pStyle w:val="Lijstalinea"/>
        <w:numPr>
          <w:ilvl w:val="1"/>
          <w:numId w:val="25"/>
        </w:numPr>
        <w:rPr>
          <w:rFonts w:ascii="Calibri" w:hAnsi="Calibri"/>
        </w:rPr>
      </w:pPr>
      <w:r w:rsidRPr="005B420D">
        <w:rPr>
          <w:rFonts w:ascii="Calibri" w:hAnsi="Calibri"/>
        </w:rPr>
        <w:t>Zowel voor de gereguleerde activiteit ‘elektriciteit’ als ‘aardgas’ k</w:t>
      </w:r>
      <w:r w:rsidR="00AF5CE7">
        <w:rPr>
          <w:rFonts w:ascii="Calibri" w:hAnsi="Calibri"/>
        </w:rPr>
        <w:t>unnen</w:t>
      </w:r>
      <w:r w:rsidRPr="005B420D">
        <w:rPr>
          <w:rFonts w:ascii="Calibri" w:hAnsi="Calibri"/>
        </w:rPr>
        <w:t xml:space="preserve"> voor elk jaar in de periode 2015-2024 </w:t>
      </w:r>
      <w:r w:rsidR="00AF5CE7">
        <w:rPr>
          <w:rFonts w:ascii="Calibri" w:hAnsi="Calibri"/>
        </w:rPr>
        <w:t>de betreffende budgetten en opbrengsten</w:t>
      </w:r>
      <w:r w:rsidRPr="005B420D">
        <w:rPr>
          <w:rFonts w:ascii="Calibri" w:hAnsi="Calibri"/>
        </w:rPr>
        <w:t xml:space="preserve"> worden gerapporteerd. </w:t>
      </w:r>
    </w:p>
    <w:p w14:paraId="37E92837" w14:textId="77777777" w:rsidR="003579B7" w:rsidRPr="005B420D" w:rsidRDefault="003579B7" w:rsidP="003579B7">
      <w:pPr>
        <w:pStyle w:val="Lijstalinea"/>
        <w:numPr>
          <w:ilvl w:val="0"/>
          <w:numId w:val="25"/>
        </w:numPr>
        <w:rPr>
          <w:rFonts w:ascii="Calibri" w:hAnsi="Calibri"/>
        </w:rPr>
      </w:pPr>
      <w:r w:rsidRPr="005B420D">
        <w:rPr>
          <w:rFonts w:ascii="Calibri" w:hAnsi="Calibri"/>
        </w:rPr>
        <w:t>Het tarief voor compensatie van de netverliezen</w:t>
      </w:r>
    </w:p>
    <w:p w14:paraId="06B8A345" w14:textId="44B77291" w:rsidR="003579B7" w:rsidRPr="005B420D" w:rsidRDefault="003579B7" w:rsidP="003579B7">
      <w:pPr>
        <w:pStyle w:val="Lijstalinea"/>
        <w:numPr>
          <w:ilvl w:val="1"/>
          <w:numId w:val="25"/>
        </w:numPr>
        <w:rPr>
          <w:rFonts w:ascii="Calibri" w:hAnsi="Calibri"/>
        </w:rPr>
      </w:pPr>
      <w:r w:rsidRPr="005B420D">
        <w:rPr>
          <w:rFonts w:ascii="Calibri" w:hAnsi="Calibri"/>
        </w:rPr>
        <w:t xml:space="preserve">Voor deze tariefcomponent </w:t>
      </w:r>
      <w:r w:rsidR="00ED1BF0">
        <w:rPr>
          <w:rFonts w:ascii="Calibri" w:hAnsi="Calibri"/>
        </w:rPr>
        <w:t>kunnen</w:t>
      </w:r>
      <w:r w:rsidRPr="005B420D">
        <w:rPr>
          <w:rFonts w:ascii="Calibri" w:hAnsi="Calibri"/>
        </w:rPr>
        <w:t xml:space="preserve"> enkel voor de gereguleerde activiteit ‘elektriciteit’ </w:t>
      </w:r>
      <w:r w:rsidR="00ED1BF0">
        <w:rPr>
          <w:rFonts w:ascii="Calibri" w:hAnsi="Calibri"/>
        </w:rPr>
        <w:t>de betreffende budgetten en opbrengsten</w:t>
      </w:r>
      <w:r w:rsidRPr="005B420D">
        <w:rPr>
          <w:rFonts w:ascii="Calibri" w:hAnsi="Calibri"/>
        </w:rPr>
        <w:t xml:space="preserve"> worden gerapporteerd en dit voor de periode 2015-2021. Onder de nieuwe tariefstructuur (vanaf 2022) is deze tariefcomponent vervat in het tarief netgebruik;</w:t>
      </w:r>
    </w:p>
    <w:p w14:paraId="0C7FE5D7" w14:textId="77777777" w:rsidR="00ED1BF0" w:rsidRPr="00ED1BF0" w:rsidRDefault="003579B7" w:rsidP="003579B7">
      <w:pPr>
        <w:pStyle w:val="Lijstalinea"/>
        <w:numPr>
          <w:ilvl w:val="0"/>
          <w:numId w:val="25"/>
        </w:numPr>
        <w:rPr>
          <w:rFonts w:ascii="Calibri" w:hAnsi="Calibri"/>
        </w:rPr>
      </w:pPr>
      <w:r w:rsidRPr="00ED1BF0">
        <w:rPr>
          <w:rFonts w:ascii="Calibri" w:hAnsi="Calibri"/>
        </w:rPr>
        <w:t>Het tarief voor toeslagen</w:t>
      </w:r>
    </w:p>
    <w:p w14:paraId="131D19BB" w14:textId="12E7E54B" w:rsidR="003579B7" w:rsidRPr="00ED1BF0" w:rsidRDefault="003579B7" w:rsidP="00ED1BF0">
      <w:pPr>
        <w:pStyle w:val="Lijstalinea"/>
        <w:numPr>
          <w:ilvl w:val="1"/>
          <w:numId w:val="25"/>
        </w:numPr>
        <w:rPr>
          <w:rFonts w:ascii="Calibri" w:hAnsi="Calibri"/>
        </w:rPr>
      </w:pPr>
      <w:r w:rsidRPr="00ED1BF0">
        <w:rPr>
          <w:rFonts w:ascii="Calibri" w:hAnsi="Calibri"/>
        </w:rPr>
        <w:t>Zowel voor de gereguleerde activiteit ‘elektriciteit’ als ‘aardgas’ k</w:t>
      </w:r>
      <w:r w:rsidR="00ED1BF0">
        <w:rPr>
          <w:rFonts w:ascii="Calibri" w:hAnsi="Calibri"/>
        </w:rPr>
        <w:t>unnen</w:t>
      </w:r>
      <w:r w:rsidRPr="00ED1BF0">
        <w:rPr>
          <w:rFonts w:ascii="Calibri" w:hAnsi="Calibri"/>
        </w:rPr>
        <w:t xml:space="preserve"> voor elk jaar in de periode 2015-2024 </w:t>
      </w:r>
      <w:r w:rsidR="00FD7F2F">
        <w:rPr>
          <w:rFonts w:ascii="Calibri" w:hAnsi="Calibri"/>
        </w:rPr>
        <w:t>de betreffende budgetten en opbrengsten</w:t>
      </w:r>
      <w:r w:rsidRPr="00ED1BF0">
        <w:rPr>
          <w:rFonts w:ascii="Calibri" w:hAnsi="Calibri"/>
        </w:rPr>
        <w:t xml:space="preserve"> worden gerapporteerd.</w:t>
      </w:r>
    </w:p>
    <w:p w14:paraId="7E80C12E" w14:textId="77777777" w:rsidR="00EE5CD7" w:rsidRPr="00F63A61" w:rsidRDefault="00EE5CD7" w:rsidP="00EE5CD7">
      <w:pPr>
        <w:rPr>
          <w:rFonts w:ascii="Calibri" w:hAnsi="Calibri"/>
        </w:rPr>
      </w:pPr>
      <w:r w:rsidRPr="00F63A61">
        <w:rPr>
          <w:rFonts w:ascii="Calibri" w:hAnsi="Calibri"/>
        </w:rPr>
        <w:t xml:space="preserve">Het regulatoir saldo dat voortvloeit uit de afwijking van het budget endogene kosten en de hiermee samenhangende werkelijke opbrengsten, wordt overgeboekt van de resultatenrekening naar de overlopende rekeningen, zoals weergegeven in de eerste tabel onder rubriek ‘Invloed op het resultaat’. Eventuele correcties op dit saldo kunnen nog door de VREG in de daaropvolgende boekja(a)r(en) worden beslist. </w:t>
      </w:r>
    </w:p>
    <w:p w14:paraId="0F08CE87" w14:textId="5FE7C498" w:rsidR="009574D4" w:rsidRPr="00F63A61" w:rsidRDefault="009574D4" w:rsidP="00EE5CD7">
      <w:pPr>
        <w:rPr>
          <w:rFonts w:ascii="Calibri" w:hAnsi="Calibri"/>
        </w:rPr>
      </w:pPr>
      <w:r>
        <w:rPr>
          <w:rFonts w:ascii="Calibri" w:hAnsi="Calibri"/>
        </w:rPr>
        <w:t>Op ex-ante basis dient de distributienetbeheerder een waarde te rapporteren voor de boekjaren waarvoor door de VREG in de voorgaande jaren reeds een regulatoir saldo werd beslist.</w:t>
      </w:r>
    </w:p>
    <w:p w14:paraId="2C7FFC38" w14:textId="77777777" w:rsidR="00EE5CD7" w:rsidRPr="00F63A61" w:rsidRDefault="00EE5CD7" w:rsidP="00EE5CD7">
      <w:pPr>
        <w:rPr>
          <w:rFonts w:ascii="Calibri" w:hAnsi="Calibri"/>
        </w:rPr>
      </w:pPr>
      <w:r w:rsidRPr="00F63A61">
        <w:rPr>
          <w:rFonts w:ascii="Calibri" w:hAnsi="Calibri"/>
        </w:rPr>
        <w:t xml:space="preserve">De volgende tabel onder rubriek ‘Invloed op het resultaat’ toont de terugname of afbouw van deze saldi vanuit de overlopende rekeningen naar de resultatenrekening, conform de bepalingen in de huidige en vorige tariefmethodologieën. </w:t>
      </w:r>
    </w:p>
    <w:p w14:paraId="44FBC995" w14:textId="77777777" w:rsidR="00EE5CD7" w:rsidRPr="00F63A61" w:rsidRDefault="00EE5CD7" w:rsidP="00EE5CD7">
      <w:pPr>
        <w:rPr>
          <w:rFonts w:ascii="Calibri" w:hAnsi="Calibri"/>
        </w:rPr>
      </w:pPr>
      <w:r w:rsidRPr="00F63A61">
        <w:rPr>
          <w:rFonts w:ascii="Calibri" w:hAnsi="Calibri"/>
        </w:rPr>
        <w:t>De laatste, onderste tabel toont de evolutie van de overlopende rekeningen voor een specifiek boekjaar op basis van de boeking en terugname van de saldi in de loop van het boekjaar.</w:t>
      </w:r>
    </w:p>
    <w:p w14:paraId="0A713FC9" w14:textId="77777777" w:rsidR="00EE5CD7" w:rsidRPr="00F63A61" w:rsidRDefault="00EE5CD7" w:rsidP="00EE5CD7">
      <w:pPr>
        <w:rPr>
          <w:rFonts w:ascii="Calibri" w:hAnsi="Calibri"/>
        </w:rPr>
      </w:pPr>
      <w:r w:rsidRPr="00F63A61">
        <w:rPr>
          <w:rFonts w:ascii="Calibri" w:hAnsi="Calibri"/>
        </w:rPr>
        <w:t>Het regulatoir saldo m.b.t. volumeverschillen voor endogene kosten zal een negatieve waarde aannemen indien het betreffende budget endogene kosten lager was dan de betreffende werkelijke opbrengsten. In dat geval zullen de werkelijke opbrengsten worden afgeroomd ten bedrage van dit saldo en worden overgeboekt naar de overlopende rekening op het passief. De terugname van dit saldo zal bijgevolg een teruggave van een overschot betekenen en dus ook een verlaging van de toekomstige periodieke distributienettarieven inhouden.</w:t>
      </w:r>
    </w:p>
    <w:p w14:paraId="35A8AFA7" w14:textId="77777777" w:rsidR="00EE5CD7" w:rsidRPr="00940D32" w:rsidRDefault="00EE5CD7" w:rsidP="00EE5CD7">
      <w:pPr>
        <w:pStyle w:val="Kop4"/>
      </w:pPr>
      <w:bookmarkStart w:id="87" w:name="_Ref39040235"/>
      <w:bookmarkStart w:id="88" w:name="_Toc81512466"/>
      <w:r w:rsidRPr="00940D32">
        <w:t>TABEL 5B: Overzicht regulatoir saldo inzake volumerisico endogeen budget per tariefcomponent</w:t>
      </w:r>
      <w:bookmarkEnd w:id="87"/>
      <w:bookmarkEnd w:id="88"/>
    </w:p>
    <w:p w14:paraId="236764E6" w14:textId="77ADFE58" w:rsidR="00EE5CD7" w:rsidRPr="001E7D67" w:rsidRDefault="00EE5CD7" w:rsidP="00EE5CD7">
      <w:pPr>
        <w:rPr>
          <w:rFonts w:ascii="Calibri" w:hAnsi="Calibri"/>
        </w:rPr>
      </w:pPr>
      <w:r w:rsidRPr="00940D32">
        <w:rPr>
          <w:rFonts w:ascii="Calibri" w:hAnsi="Calibri"/>
        </w:rPr>
        <w:t xml:space="preserve">Op basis van de gerapporteerde waarden per tariefcomponent in ‘tabel 5A’ kan het regulatoir saldo inzake volumeverschillen ook per tariefcomponent worden geïdentificeerd. Daarom wordt in </w:t>
      </w:r>
      <w:r w:rsidRPr="001E7D67">
        <w:rPr>
          <w:rFonts w:ascii="Calibri" w:hAnsi="Calibri"/>
        </w:rPr>
        <w:t>deze tabel vooreerst automatisch een overzicht gegeven van de jaarlijks geboekte regulatoire saldi per tariefcomponent</w:t>
      </w:r>
      <w:r w:rsidR="00940D32" w:rsidRPr="001E7D67">
        <w:rPr>
          <w:rFonts w:ascii="Calibri" w:hAnsi="Calibri"/>
        </w:rPr>
        <w:t xml:space="preserve">, zoals besproken in paragraaf </w:t>
      </w:r>
      <w:r w:rsidR="00940D32" w:rsidRPr="001E7D67">
        <w:rPr>
          <w:rFonts w:ascii="Calibri" w:hAnsi="Calibri"/>
        </w:rPr>
        <w:fldChar w:fldCharType="begin"/>
      </w:r>
      <w:r w:rsidR="00940D32" w:rsidRPr="001E7D67">
        <w:rPr>
          <w:rFonts w:ascii="Calibri" w:hAnsi="Calibri"/>
        </w:rPr>
        <w:instrText xml:space="preserve"> REF _Ref39133586 \r \h  \* MERGEFORMAT </w:instrText>
      </w:r>
      <w:r w:rsidR="00940D32" w:rsidRPr="001E7D67">
        <w:rPr>
          <w:rFonts w:ascii="Calibri" w:hAnsi="Calibri"/>
        </w:rPr>
      </w:r>
      <w:r w:rsidR="00940D32" w:rsidRPr="001E7D67">
        <w:rPr>
          <w:rFonts w:ascii="Calibri" w:hAnsi="Calibri"/>
        </w:rPr>
        <w:fldChar w:fldCharType="separate"/>
      </w:r>
      <w:r w:rsidR="00964FA9">
        <w:rPr>
          <w:rFonts w:ascii="Calibri" w:hAnsi="Calibri"/>
        </w:rPr>
        <w:t>1.2.1.7</w:t>
      </w:r>
      <w:r w:rsidR="00940D32" w:rsidRPr="001E7D67">
        <w:rPr>
          <w:rFonts w:ascii="Calibri" w:hAnsi="Calibri"/>
        </w:rPr>
        <w:fldChar w:fldCharType="end"/>
      </w:r>
      <w:r w:rsidRPr="001E7D67">
        <w:rPr>
          <w:rFonts w:ascii="Calibri" w:hAnsi="Calibri"/>
        </w:rPr>
        <w:t xml:space="preserve">. </w:t>
      </w:r>
    </w:p>
    <w:p w14:paraId="50968D1E" w14:textId="77777777" w:rsidR="00EE5CD7" w:rsidRPr="001E7D67" w:rsidRDefault="00EE5CD7" w:rsidP="00EE5CD7">
      <w:pPr>
        <w:rPr>
          <w:rFonts w:ascii="Calibri" w:hAnsi="Calibri"/>
        </w:rPr>
      </w:pPr>
      <w:r w:rsidRPr="001E7D67">
        <w:rPr>
          <w:rFonts w:ascii="Calibri" w:hAnsi="Calibri"/>
        </w:rPr>
        <w:t xml:space="preserve">Vervolgens wordt in de tabel per tariefcomponent automatisch berekend welk gedeelte van het saldo reeds werd afgebouwd op het einde van elk boekjaar over de periode 2015-2024. De </w:t>
      </w:r>
      <w:r w:rsidRPr="001E7D67">
        <w:rPr>
          <w:rFonts w:ascii="Calibri" w:hAnsi="Calibri"/>
        </w:rPr>
        <w:lastRenderedPageBreak/>
        <w:t xml:space="preserve">afbouw van deze saldi gebeurt hierbij conform de bepalingen in de huidige en vorige tariefmethodologieën. Uiteindelijk kunnen op basis van deze waarden de nog af te bouwen saldi per tariefcomponent worden geïdentificeerd waarbij opnieuw een aansluiting wordt gemaakt van het totaal nog af te bouwen saldo met de gerapporteerde waarden in ‘tabel 5A’. </w:t>
      </w:r>
    </w:p>
    <w:p w14:paraId="3D820A2B" w14:textId="5ACAED33" w:rsidR="001E7D67" w:rsidRPr="005B420D" w:rsidRDefault="001E7D67" w:rsidP="001E7D67">
      <w:pPr>
        <w:rPr>
          <w:rFonts w:ascii="Calibri" w:hAnsi="Calibri"/>
        </w:rPr>
      </w:pPr>
      <w:r w:rsidRPr="005B420D">
        <w:rPr>
          <w:rFonts w:ascii="Calibri" w:hAnsi="Calibri"/>
        </w:rPr>
        <w:t xml:space="preserve">Ten laatste wordt per tariefcomponent bepaald welke gedeelte van de regulatoire saldi inzake </w:t>
      </w:r>
      <w:r>
        <w:rPr>
          <w:rFonts w:ascii="Calibri" w:hAnsi="Calibri"/>
        </w:rPr>
        <w:t>volumerisico endogeen budget</w:t>
      </w:r>
      <w:r w:rsidRPr="005B420D">
        <w:rPr>
          <w:rFonts w:ascii="Calibri" w:hAnsi="Calibri"/>
        </w:rPr>
        <w:t xml:space="preserve"> in het toegelaten inkomen van het betreffende boekjaar wordt afgebouwd. Op basis van deze waarden wordt </w:t>
      </w:r>
      <w:r w:rsidR="00564538">
        <w:rPr>
          <w:rFonts w:ascii="Calibri" w:hAnsi="Calibri"/>
        </w:rPr>
        <w:t xml:space="preserve">per tariefcomponent </w:t>
      </w:r>
      <w:r w:rsidRPr="005B420D">
        <w:rPr>
          <w:rFonts w:ascii="Calibri" w:hAnsi="Calibri"/>
        </w:rPr>
        <w:t xml:space="preserve">de betreffende rubriek in ‘tabel 3’ automatisch aangevuld. Merk hierbij op dat voor de gereguleerde activiteit ‘elektriciteit’ de tariefcomponenten conform de nieuwe tariefstructuur in rekening worden genomen. Aan het tarief netgebruik worden daarbij </w:t>
      </w:r>
      <w:r w:rsidR="00017CC0">
        <w:rPr>
          <w:rFonts w:ascii="Calibri" w:hAnsi="Calibri"/>
        </w:rPr>
        <w:t xml:space="preserve">voor de gereguleerde activiteit ‘elektriciteit’ </w:t>
      </w:r>
      <w:r w:rsidRPr="005B420D">
        <w:rPr>
          <w:rFonts w:ascii="Calibri" w:hAnsi="Calibri"/>
        </w:rPr>
        <w:t>volgende regulatoire saldi toegewezen:</w:t>
      </w:r>
    </w:p>
    <w:p w14:paraId="40CCE452" w14:textId="6752C9FD" w:rsidR="001E7D67" w:rsidRPr="005B420D" w:rsidRDefault="001E7D67" w:rsidP="001E7D67">
      <w:pPr>
        <w:pStyle w:val="Lijstalinea"/>
        <w:numPr>
          <w:ilvl w:val="0"/>
          <w:numId w:val="25"/>
        </w:numPr>
        <w:rPr>
          <w:rFonts w:ascii="Calibri" w:hAnsi="Calibri"/>
        </w:rPr>
      </w:pPr>
      <w:r w:rsidRPr="005B420D">
        <w:rPr>
          <w:rFonts w:ascii="Calibri" w:hAnsi="Calibri"/>
        </w:rPr>
        <w:t xml:space="preserve">Afbouw van het regulatoir saldo inzake </w:t>
      </w:r>
      <w:r w:rsidR="001B276B">
        <w:rPr>
          <w:rFonts w:ascii="Calibri" w:hAnsi="Calibri"/>
        </w:rPr>
        <w:t>v</w:t>
      </w:r>
      <w:r w:rsidR="00A32C59">
        <w:rPr>
          <w:rFonts w:ascii="Calibri" w:hAnsi="Calibri"/>
        </w:rPr>
        <w:t>olumerisico</w:t>
      </w:r>
      <w:r w:rsidRPr="005B420D">
        <w:rPr>
          <w:rFonts w:ascii="Calibri" w:hAnsi="Calibri"/>
        </w:rPr>
        <w:t xml:space="preserve"> voor het basistarief voor het gebruik van het net in het boekjaar 20XX, opgebouwd in de periode 2015-2021;</w:t>
      </w:r>
    </w:p>
    <w:p w14:paraId="0F5FE952" w14:textId="18586658" w:rsidR="001E7D67" w:rsidRPr="005B420D" w:rsidRDefault="001E7D67" w:rsidP="001E7D67">
      <w:pPr>
        <w:pStyle w:val="Lijstalinea"/>
        <w:numPr>
          <w:ilvl w:val="0"/>
          <w:numId w:val="25"/>
        </w:numPr>
        <w:rPr>
          <w:rFonts w:ascii="Calibri" w:hAnsi="Calibri"/>
        </w:rPr>
      </w:pPr>
      <w:r w:rsidRPr="005B420D">
        <w:rPr>
          <w:rFonts w:ascii="Calibri" w:hAnsi="Calibri"/>
        </w:rPr>
        <w:t xml:space="preserve">Afbouw van het regulatoir saldo inzake </w:t>
      </w:r>
      <w:r w:rsidR="00042426">
        <w:rPr>
          <w:rFonts w:ascii="Calibri" w:hAnsi="Calibri"/>
        </w:rPr>
        <w:t>volumerisico</w:t>
      </w:r>
      <w:r w:rsidRPr="005B420D">
        <w:rPr>
          <w:rFonts w:ascii="Calibri" w:hAnsi="Calibri"/>
        </w:rPr>
        <w:t xml:space="preserve"> voor het tarief netgebruik in het boekjaar 20XX, opgebouwd in de periode 2022-2024;</w:t>
      </w:r>
    </w:p>
    <w:p w14:paraId="6D86A5DC" w14:textId="779DC558" w:rsidR="001E7D67" w:rsidRDefault="001E7D67" w:rsidP="001E7D67">
      <w:pPr>
        <w:pStyle w:val="Lijstalinea"/>
        <w:numPr>
          <w:ilvl w:val="0"/>
          <w:numId w:val="25"/>
        </w:numPr>
        <w:rPr>
          <w:rFonts w:ascii="Calibri" w:hAnsi="Calibri"/>
        </w:rPr>
      </w:pPr>
      <w:r w:rsidRPr="005B420D">
        <w:rPr>
          <w:rFonts w:ascii="Calibri" w:hAnsi="Calibri"/>
        </w:rPr>
        <w:t xml:space="preserve">Afbouw van het regulatoir saldo inzake </w:t>
      </w:r>
      <w:r w:rsidR="005077E7">
        <w:rPr>
          <w:rFonts w:ascii="Calibri" w:hAnsi="Calibri"/>
        </w:rPr>
        <w:t>volumerisico</w:t>
      </w:r>
      <w:r w:rsidR="001B276B" w:rsidRPr="005B420D">
        <w:rPr>
          <w:rFonts w:ascii="Calibri" w:hAnsi="Calibri"/>
        </w:rPr>
        <w:t xml:space="preserve"> </w:t>
      </w:r>
      <w:r w:rsidRPr="005B420D">
        <w:rPr>
          <w:rFonts w:ascii="Calibri" w:hAnsi="Calibri"/>
        </w:rPr>
        <w:t>voor het tarief systeembeheer in het boekjaar 20XX, opgebouwd in de periode 2015-2021;</w:t>
      </w:r>
    </w:p>
    <w:p w14:paraId="4E5FC6AC" w14:textId="562D5AAB" w:rsidR="00B41472" w:rsidRPr="005B420D" w:rsidRDefault="00B41472" w:rsidP="001E7D67">
      <w:pPr>
        <w:pStyle w:val="Lijstalinea"/>
        <w:numPr>
          <w:ilvl w:val="0"/>
          <w:numId w:val="25"/>
        </w:numPr>
        <w:rPr>
          <w:rFonts w:ascii="Calibri" w:hAnsi="Calibri"/>
        </w:rPr>
      </w:pPr>
      <w:r w:rsidRPr="005B420D">
        <w:rPr>
          <w:rFonts w:ascii="Calibri" w:hAnsi="Calibri"/>
        </w:rPr>
        <w:t xml:space="preserve">Afbouw van het regulatoir saldo inzake </w:t>
      </w:r>
      <w:r>
        <w:rPr>
          <w:rFonts w:ascii="Calibri" w:hAnsi="Calibri"/>
        </w:rPr>
        <w:t>volumerisico</w:t>
      </w:r>
      <w:r w:rsidRPr="005B420D">
        <w:rPr>
          <w:rFonts w:ascii="Calibri" w:hAnsi="Calibri"/>
        </w:rPr>
        <w:t xml:space="preserve"> voor het tarief </w:t>
      </w:r>
      <w:r>
        <w:rPr>
          <w:rFonts w:ascii="Calibri" w:hAnsi="Calibri"/>
        </w:rPr>
        <w:t>databeheer</w:t>
      </w:r>
      <w:r w:rsidRPr="005B420D">
        <w:rPr>
          <w:rFonts w:ascii="Calibri" w:hAnsi="Calibri"/>
        </w:rPr>
        <w:t xml:space="preserve"> in het boekjaar 20XX, opgebouwd in de periode 20</w:t>
      </w:r>
      <w:r>
        <w:rPr>
          <w:rFonts w:ascii="Calibri" w:hAnsi="Calibri"/>
        </w:rPr>
        <w:t>21</w:t>
      </w:r>
      <w:r w:rsidRPr="005B420D">
        <w:rPr>
          <w:rFonts w:ascii="Calibri" w:hAnsi="Calibri"/>
        </w:rPr>
        <w:t>-202</w:t>
      </w:r>
      <w:r>
        <w:rPr>
          <w:rFonts w:ascii="Calibri" w:hAnsi="Calibri"/>
        </w:rPr>
        <w:t>4</w:t>
      </w:r>
      <w:r w:rsidRPr="005B420D">
        <w:rPr>
          <w:rFonts w:ascii="Calibri" w:hAnsi="Calibri"/>
        </w:rPr>
        <w:t>;</w:t>
      </w:r>
    </w:p>
    <w:p w14:paraId="6195D62A" w14:textId="36862CA0" w:rsidR="001E7D67" w:rsidRPr="005B420D" w:rsidRDefault="001E7D67" w:rsidP="001E7D67">
      <w:pPr>
        <w:pStyle w:val="Lijstalinea"/>
        <w:numPr>
          <w:ilvl w:val="0"/>
          <w:numId w:val="25"/>
        </w:numPr>
        <w:rPr>
          <w:rFonts w:ascii="Calibri" w:hAnsi="Calibri"/>
        </w:rPr>
      </w:pPr>
      <w:r w:rsidRPr="005B420D">
        <w:rPr>
          <w:rFonts w:ascii="Calibri" w:hAnsi="Calibri"/>
        </w:rPr>
        <w:t xml:space="preserve">Afbouw van het regulatoir saldo inzake </w:t>
      </w:r>
      <w:r w:rsidR="005077E7">
        <w:rPr>
          <w:rFonts w:ascii="Calibri" w:hAnsi="Calibri"/>
        </w:rPr>
        <w:t>volumerisico</w:t>
      </w:r>
      <w:r w:rsidR="001B276B" w:rsidRPr="005B420D">
        <w:rPr>
          <w:rFonts w:ascii="Calibri" w:hAnsi="Calibri"/>
        </w:rPr>
        <w:t xml:space="preserve"> </w:t>
      </w:r>
      <w:r w:rsidRPr="005B420D">
        <w:rPr>
          <w:rFonts w:ascii="Calibri" w:hAnsi="Calibri"/>
        </w:rPr>
        <w:t>voor het tarief reactieve energie in het boekjaar 20XX, opgebouwd in de periode 2015-2020;</w:t>
      </w:r>
    </w:p>
    <w:p w14:paraId="4C46032A" w14:textId="21CCFBFD" w:rsidR="001E7D67" w:rsidRPr="005B420D" w:rsidRDefault="001E7D67" w:rsidP="001E7D67">
      <w:pPr>
        <w:pStyle w:val="Lijstalinea"/>
        <w:numPr>
          <w:ilvl w:val="0"/>
          <w:numId w:val="25"/>
        </w:numPr>
        <w:rPr>
          <w:rFonts w:ascii="Calibri" w:hAnsi="Calibri"/>
        </w:rPr>
      </w:pPr>
      <w:r w:rsidRPr="005B420D">
        <w:rPr>
          <w:rFonts w:ascii="Calibri" w:hAnsi="Calibri"/>
        </w:rPr>
        <w:t xml:space="preserve">Afbouw van het regulatoir saldo inzake </w:t>
      </w:r>
      <w:r w:rsidR="005077E7">
        <w:rPr>
          <w:rFonts w:ascii="Calibri" w:hAnsi="Calibri"/>
        </w:rPr>
        <w:t>volumerisico</w:t>
      </w:r>
      <w:r w:rsidR="001B276B" w:rsidRPr="005B420D">
        <w:rPr>
          <w:rFonts w:ascii="Calibri" w:hAnsi="Calibri"/>
        </w:rPr>
        <w:t xml:space="preserve"> </w:t>
      </w:r>
      <w:r w:rsidRPr="005B420D">
        <w:rPr>
          <w:rFonts w:ascii="Calibri" w:hAnsi="Calibri"/>
        </w:rPr>
        <w:t>voor het tarief voor de compensatie van de netverliezen in het boekjaar 20XX, opgebouwd in de periode 2015-2021;</w:t>
      </w:r>
    </w:p>
    <w:p w14:paraId="6049D709" w14:textId="45D63C5A" w:rsidR="001E7D67" w:rsidRDefault="001E7D67" w:rsidP="001E7D67">
      <w:pPr>
        <w:rPr>
          <w:rFonts w:ascii="Calibri" w:hAnsi="Calibri"/>
        </w:rPr>
      </w:pPr>
      <w:r>
        <w:rPr>
          <w:rFonts w:ascii="Calibri" w:hAnsi="Calibri"/>
        </w:rPr>
        <w:t xml:space="preserve">Voor de bepaling van de afbouw van het regulatoir saldo in de overige tariefcomponenten verwijzen we naar onze toelichting bij de betreffende tariefcomponenten in de </w:t>
      </w:r>
      <w:r w:rsidR="00F3700E">
        <w:rPr>
          <w:rFonts w:ascii="Calibri" w:hAnsi="Calibri"/>
        </w:rPr>
        <w:t xml:space="preserve">paragraaf </w:t>
      </w:r>
      <w:r w:rsidR="00F3700E">
        <w:rPr>
          <w:rFonts w:ascii="Calibri" w:hAnsi="Calibri"/>
        </w:rPr>
        <w:fldChar w:fldCharType="begin"/>
      </w:r>
      <w:r w:rsidR="00F3700E">
        <w:rPr>
          <w:rFonts w:ascii="Calibri" w:hAnsi="Calibri"/>
        </w:rPr>
        <w:instrText xml:space="preserve"> REF _Ref39133784 \r \h </w:instrText>
      </w:r>
      <w:r w:rsidR="00F3700E">
        <w:rPr>
          <w:rFonts w:ascii="Calibri" w:hAnsi="Calibri"/>
        </w:rPr>
      </w:r>
      <w:r w:rsidR="00F3700E">
        <w:rPr>
          <w:rFonts w:ascii="Calibri" w:hAnsi="Calibri"/>
        </w:rPr>
        <w:fldChar w:fldCharType="separate"/>
      </w:r>
      <w:r w:rsidR="00964FA9">
        <w:rPr>
          <w:rFonts w:ascii="Calibri" w:hAnsi="Calibri"/>
        </w:rPr>
        <w:t>1.2.1.7</w:t>
      </w:r>
      <w:r w:rsidR="00F3700E">
        <w:rPr>
          <w:rFonts w:ascii="Calibri" w:hAnsi="Calibri"/>
        </w:rPr>
        <w:fldChar w:fldCharType="end"/>
      </w:r>
      <w:r>
        <w:rPr>
          <w:rFonts w:ascii="Calibri" w:hAnsi="Calibri"/>
        </w:rPr>
        <w:t>.</w:t>
      </w:r>
    </w:p>
    <w:p w14:paraId="7B6C6599" w14:textId="3C0B6E5E" w:rsidR="00EE5CD7" w:rsidRPr="003F514D" w:rsidRDefault="00EE5CD7" w:rsidP="00EE5CD7">
      <w:pPr>
        <w:pStyle w:val="Kop4"/>
      </w:pPr>
      <w:bookmarkStart w:id="89" w:name="_Ref39043394"/>
      <w:bookmarkStart w:id="90" w:name="_Ref39140049"/>
      <w:bookmarkStart w:id="91" w:name="_Toc81512467"/>
      <w:r w:rsidRPr="003F514D">
        <w:t>TABEL 5C: Werkelijke opbrengsten uit periodieke distributienettarieven in boekjaar 20</w:t>
      </w:r>
      <w:r w:rsidR="00415BCC" w:rsidRPr="003F514D">
        <w:t>XX</w:t>
      </w:r>
      <w:r w:rsidRPr="003F514D">
        <w:t xml:space="preserve"> (elektriciteit – afname)</w:t>
      </w:r>
      <w:bookmarkEnd w:id="89"/>
      <w:bookmarkEnd w:id="90"/>
      <w:bookmarkEnd w:id="91"/>
    </w:p>
    <w:p w14:paraId="088291E6" w14:textId="1E56E632" w:rsidR="00EE5CD7" w:rsidRPr="003F514D" w:rsidRDefault="00EE5CD7" w:rsidP="00EE5CD7">
      <w:pPr>
        <w:rPr>
          <w:rFonts w:ascii="Calibri" w:hAnsi="Calibri"/>
        </w:rPr>
      </w:pPr>
      <w:r w:rsidRPr="003F514D">
        <w:rPr>
          <w:rFonts w:ascii="Calibri" w:hAnsi="Calibri"/>
        </w:rPr>
        <w:t>Teneinde de werkelijke opbrengsten voor zowel de exogene als de endogene kosten voor boekjaar 20</w:t>
      </w:r>
      <w:r w:rsidR="00C723E9" w:rsidRPr="003F514D">
        <w:rPr>
          <w:rFonts w:ascii="Calibri" w:hAnsi="Calibri"/>
        </w:rPr>
        <w:t>XX</w:t>
      </w:r>
      <w:r w:rsidRPr="003F514D">
        <w:rPr>
          <w:rFonts w:ascii="Calibri" w:hAnsi="Calibri"/>
        </w:rPr>
        <w:t xml:space="preserve"> correct te bepalen, worden in deze tabel de totale werkelijke opbrengsten voor de gereguleerde activiteit elektriciteit (afname) opgevraagd en dit per tariefcomponent en per spanningsniveau. Merk op dat de totale werkelijke opbrengsten uit het ‘aanvullend capaciteitstarief voor prosumenten met terugdraaiende teller’ moeten gespreid worden over de overige tariefcomponenten waaruit dit tarief is samengesteld (d.w.z. uitgezonderd het tarief databeheer</w:t>
      </w:r>
      <w:r w:rsidR="00F73A05">
        <w:rPr>
          <w:rFonts w:ascii="Calibri" w:hAnsi="Calibri"/>
        </w:rPr>
        <w:t xml:space="preserve"> en het tarief reactieve energie</w:t>
      </w:r>
      <w:r w:rsidRPr="003F514D">
        <w:rPr>
          <w:rFonts w:ascii="Calibri" w:hAnsi="Calibri"/>
        </w:rPr>
        <w:t xml:space="preserve">). Deze methodiek wordt namelijk ook toegepast bij de verdeling van het toegelaten inkomen over de verschillende tariefcomponenten in </w:t>
      </w:r>
      <w:r w:rsidR="00E6572E">
        <w:rPr>
          <w:rFonts w:ascii="Calibri" w:hAnsi="Calibri"/>
        </w:rPr>
        <w:t xml:space="preserve">tabel ‘T3’ </w:t>
      </w:r>
      <w:r w:rsidR="00DC04FC">
        <w:rPr>
          <w:rFonts w:ascii="Calibri" w:hAnsi="Calibri"/>
        </w:rPr>
        <w:t xml:space="preserve">(zie kolom H) </w:t>
      </w:r>
      <w:r w:rsidRPr="003F514D">
        <w:rPr>
          <w:rFonts w:ascii="Calibri" w:hAnsi="Calibri"/>
        </w:rPr>
        <w:t>van het rapporteringsmodel ‘tariefvoorstel’ (cfr paragraaf</w:t>
      </w:r>
      <w:r w:rsidR="00F8208D">
        <w:rPr>
          <w:rFonts w:ascii="Calibri" w:hAnsi="Calibri"/>
        </w:rPr>
        <w:t xml:space="preserve"> </w:t>
      </w:r>
      <w:r w:rsidR="00981814">
        <w:rPr>
          <w:rFonts w:ascii="Calibri" w:hAnsi="Calibri"/>
        </w:rPr>
        <w:fldChar w:fldCharType="begin"/>
      </w:r>
      <w:r w:rsidR="00981814">
        <w:rPr>
          <w:rFonts w:ascii="Calibri" w:hAnsi="Calibri"/>
        </w:rPr>
        <w:instrText xml:space="preserve"> REF _Ref43983378 \r \h </w:instrText>
      </w:r>
      <w:r w:rsidR="00981814">
        <w:rPr>
          <w:rFonts w:ascii="Calibri" w:hAnsi="Calibri"/>
        </w:rPr>
      </w:r>
      <w:r w:rsidR="00981814">
        <w:rPr>
          <w:rFonts w:ascii="Calibri" w:hAnsi="Calibri"/>
        </w:rPr>
        <w:fldChar w:fldCharType="separate"/>
      </w:r>
      <w:r w:rsidR="00964FA9">
        <w:rPr>
          <w:rFonts w:ascii="Calibri" w:hAnsi="Calibri"/>
        </w:rPr>
        <w:t>2.2.1.9</w:t>
      </w:r>
      <w:r w:rsidR="00981814">
        <w:rPr>
          <w:rFonts w:ascii="Calibri" w:hAnsi="Calibri"/>
        </w:rPr>
        <w:fldChar w:fldCharType="end"/>
      </w:r>
      <w:r w:rsidRPr="003F514D">
        <w:rPr>
          <w:rFonts w:ascii="Calibri" w:hAnsi="Calibri"/>
        </w:rPr>
        <w:t>) waardoor op die manier het aandeel van de endogene kosten in de totale werkelijke opbrengsten op een correcte wijze kan worden bepaald.</w:t>
      </w:r>
    </w:p>
    <w:p w14:paraId="1423ED03" w14:textId="080882E1" w:rsidR="00EE5CD7" w:rsidRPr="003F514D" w:rsidRDefault="00EE5CD7" w:rsidP="00EE5CD7">
      <w:pPr>
        <w:rPr>
          <w:rFonts w:ascii="Calibri" w:hAnsi="Calibri"/>
        </w:rPr>
      </w:pPr>
      <w:r w:rsidRPr="003F514D">
        <w:rPr>
          <w:rFonts w:ascii="Calibri" w:hAnsi="Calibri"/>
        </w:rPr>
        <w:t>Vervolgens moet per tariefcomponent het relatief aandeel voor de endogene kosten in de totale werkelijke opbrengsten voor de gereguleerde activiteit elektriciteit (afname) worden gerapporteerd (afgerond op 2 decimalen). Dit aandeel kan eenduidig worden afgeleid uit</w:t>
      </w:r>
      <w:r w:rsidR="00FB0C4F">
        <w:rPr>
          <w:rFonts w:ascii="Calibri" w:hAnsi="Calibri"/>
        </w:rPr>
        <w:t xml:space="preserve"> tabel ‘T1’</w:t>
      </w:r>
      <w:r w:rsidRPr="003F514D">
        <w:rPr>
          <w:rFonts w:ascii="Calibri" w:hAnsi="Calibri"/>
        </w:rPr>
        <w:t xml:space="preserve"> (cfr paragraaf</w:t>
      </w:r>
      <w:r w:rsidR="00840E6C">
        <w:rPr>
          <w:rFonts w:ascii="Calibri" w:hAnsi="Calibri"/>
        </w:rPr>
        <w:t xml:space="preserve"> </w:t>
      </w:r>
      <w:r w:rsidR="00840E6C">
        <w:rPr>
          <w:rFonts w:ascii="Calibri" w:hAnsi="Calibri"/>
        </w:rPr>
        <w:fldChar w:fldCharType="begin"/>
      </w:r>
      <w:r w:rsidR="00840E6C">
        <w:rPr>
          <w:rFonts w:ascii="Calibri" w:hAnsi="Calibri"/>
        </w:rPr>
        <w:instrText xml:space="preserve"> REF _Ref43983425 \r \h </w:instrText>
      </w:r>
      <w:r w:rsidR="00840E6C">
        <w:rPr>
          <w:rFonts w:ascii="Calibri" w:hAnsi="Calibri"/>
        </w:rPr>
      </w:r>
      <w:r w:rsidR="00840E6C">
        <w:rPr>
          <w:rFonts w:ascii="Calibri" w:hAnsi="Calibri"/>
        </w:rPr>
        <w:fldChar w:fldCharType="separate"/>
      </w:r>
      <w:r w:rsidR="00964FA9">
        <w:rPr>
          <w:rFonts w:ascii="Calibri" w:hAnsi="Calibri"/>
        </w:rPr>
        <w:t>2.2.1.7</w:t>
      </w:r>
      <w:r w:rsidR="00840E6C">
        <w:rPr>
          <w:rFonts w:ascii="Calibri" w:hAnsi="Calibri"/>
        </w:rPr>
        <w:fldChar w:fldCharType="end"/>
      </w:r>
      <w:r w:rsidRPr="003F514D">
        <w:rPr>
          <w:rFonts w:ascii="Calibri" w:hAnsi="Calibri"/>
        </w:rPr>
        <w:t xml:space="preserve">), dewelke dient te worden gerapporteerd vóór de ex-post rapportering m.b.t. de exogene kosten. Dit betekent dus dat het aandeel in deze tabel dient overeen te komen </w:t>
      </w:r>
      <w:r w:rsidRPr="003F514D">
        <w:rPr>
          <w:rFonts w:ascii="Calibri" w:hAnsi="Calibri"/>
        </w:rPr>
        <w:lastRenderedPageBreak/>
        <w:t>met het aandeel van de endogene kosten in iedere tariefcomponent, zoals dit in</w:t>
      </w:r>
      <w:r w:rsidR="004334AF">
        <w:rPr>
          <w:rFonts w:ascii="Calibri" w:hAnsi="Calibri"/>
        </w:rPr>
        <w:t xml:space="preserve"> tabel ‘T1’</w:t>
      </w:r>
      <w:r w:rsidRPr="003F514D">
        <w:rPr>
          <w:rFonts w:ascii="Calibri" w:hAnsi="Calibri"/>
        </w:rPr>
        <w:t xml:space="preserve"> van het rapporteringsmodel ‘tariefvoorstel’ voor boekjaar 20</w:t>
      </w:r>
      <w:r w:rsidR="00D03658" w:rsidRPr="003F514D">
        <w:rPr>
          <w:rFonts w:ascii="Calibri" w:hAnsi="Calibri"/>
        </w:rPr>
        <w:t>XX</w:t>
      </w:r>
      <w:r w:rsidRPr="003F514D">
        <w:rPr>
          <w:rFonts w:ascii="Calibri" w:hAnsi="Calibri"/>
        </w:rPr>
        <w:t xml:space="preserve"> kan teruggevonden worden. </w:t>
      </w:r>
    </w:p>
    <w:p w14:paraId="4148585E" w14:textId="7A96A541" w:rsidR="00EE5CD7" w:rsidRPr="003F514D" w:rsidRDefault="00EE5CD7" w:rsidP="00EE5CD7">
      <w:pPr>
        <w:rPr>
          <w:rFonts w:ascii="Calibri" w:hAnsi="Calibri"/>
        </w:rPr>
      </w:pPr>
      <w:r w:rsidRPr="003F514D">
        <w:rPr>
          <w:rFonts w:ascii="Calibri" w:hAnsi="Calibri"/>
        </w:rPr>
        <w:t>Indien in een boekjaar periodieke elektriciteitsdistributienettarieven (afname) van meer dan één tariefvoorstel worden toegepast, zal per tariefcomponent het relatief aandeel van de endogene kosten voor dat boekjaar worden bepaald op basis van het pro rata aandeel van de endogene kosten (afgerond op 2 decimalen), conform de methodiek zoals beschreven in paragraaf 5.6.6 van de hoofdtekst van de tariefmethodologie. Dit pro rata aandeel (afgerond op 2 decimalen) wordt aldus bepaald op basis van het aantal kalenderdagen dat de periodieke elektriciteitsdistributienettarieven (afname) volgens elk van de tariefvoorstellen van kracht waren. Hierbij dient de distributienetbeheerder in een afzonderlijk verklarende nota de detailberekening van het pro rata aandeel van de endogene kosten per tariefcomponent op te geven, d.w.z. dat uit de detailberekening voor elke tariefcomponent duidelijk dient te zijn wat het aandeel van de endogene kosten in elk van de toepasselijke tariefvoorstellen was en hoeveel kalenderdagen de tarieven uit elk van de tariefvoorstellen in het betreffende boekjaar van kracht waren.</w:t>
      </w:r>
      <w:r w:rsidR="000E39B4">
        <w:rPr>
          <w:rFonts w:ascii="Calibri" w:hAnsi="Calibri"/>
        </w:rPr>
        <w:t xml:space="preserve"> </w:t>
      </w:r>
      <w:r w:rsidR="0002643C">
        <w:rPr>
          <w:rFonts w:ascii="Calibri" w:hAnsi="Calibri"/>
        </w:rPr>
        <w:t>[Zoals ook in par. 5.6.6 van de hoofdtekst van de tariefmethodologie aangegeven, dient dit pro rata aandeel niet worden bepaald in het geval waarbij in een boekjaar verschillende tariefvoorstellen naar aanleiding van een wijzigende tariefstructuur</w:t>
      </w:r>
      <w:r w:rsidR="0007148E">
        <w:rPr>
          <w:rFonts w:ascii="Calibri" w:hAnsi="Calibri"/>
        </w:rPr>
        <w:t xml:space="preserve"> van toepassing zijn</w:t>
      </w:r>
      <w:r w:rsidR="0002643C">
        <w:rPr>
          <w:rFonts w:ascii="Calibri" w:hAnsi="Calibri"/>
        </w:rPr>
        <w:t>. Voor het boekjaar 2022 rapporteert de elektriciteitsdistributienetbeheerder aldus de werkelijke opbrengsten per tariefcomponent volgens de tariefstructuur v</w:t>
      </w:r>
      <w:r w:rsidR="00C17E04">
        <w:rPr>
          <w:rFonts w:ascii="Calibri" w:hAnsi="Calibri"/>
        </w:rPr>
        <w:t>oor 2022H2</w:t>
      </w:r>
      <w:r w:rsidR="00297A2F">
        <w:rPr>
          <w:rFonts w:ascii="Calibri" w:hAnsi="Calibri"/>
        </w:rPr>
        <w:t>, en zoals voorzien in ‘tabel 5C’ van het rapporteringsmodel</w:t>
      </w:r>
      <w:r w:rsidR="0002643C">
        <w:rPr>
          <w:rFonts w:ascii="Calibri" w:hAnsi="Calibri"/>
        </w:rPr>
        <w:t>. Ook het</w:t>
      </w:r>
      <w:r w:rsidR="001615B0">
        <w:rPr>
          <w:rFonts w:ascii="Calibri" w:hAnsi="Calibri"/>
        </w:rPr>
        <w:t xml:space="preserve"> relatief</w:t>
      </w:r>
      <w:r w:rsidR="0002643C">
        <w:rPr>
          <w:rFonts w:ascii="Calibri" w:hAnsi="Calibri"/>
        </w:rPr>
        <w:t xml:space="preserve"> aandeel van de endogene kosten </w:t>
      </w:r>
      <w:r w:rsidR="001615B0">
        <w:rPr>
          <w:rFonts w:ascii="Calibri" w:hAnsi="Calibri"/>
        </w:rPr>
        <w:t xml:space="preserve">wordt bepaald op basis van het tariefvoorstel </w:t>
      </w:r>
      <w:r w:rsidR="002C4860">
        <w:rPr>
          <w:rFonts w:ascii="Calibri" w:hAnsi="Calibri"/>
        </w:rPr>
        <w:t>voor 2022H2</w:t>
      </w:r>
      <w:r w:rsidR="001615B0">
        <w:rPr>
          <w:rFonts w:ascii="Calibri" w:hAnsi="Calibri"/>
        </w:rPr>
        <w:t xml:space="preserve">. Dit houdt in dat de distributienetbeheerder de werkelijke opbrengsten </w:t>
      </w:r>
      <w:r w:rsidR="002C4860">
        <w:rPr>
          <w:rFonts w:ascii="Calibri" w:hAnsi="Calibri"/>
        </w:rPr>
        <w:t>in 2022H1</w:t>
      </w:r>
      <w:r w:rsidR="001615B0">
        <w:rPr>
          <w:rFonts w:ascii="Calibri" w:hAnsi="Calibri"/>
        </w:rPr>
        <w:t xml:space="preserve"> op dergelijke wijze registreert zodat een </w:t>
      </w:r>
      <w:r w:rsidR="008B5A36">
        <w:rPr>
          <w:rFonts w:ascii="Calibri" w:hAnsi="Calibri"/>
        </w:rPr>
        <w:t xml:space="preserve">rapporteringswijze ervan volgens </w:t>
      </w:r>
      <w:r w:rsidR="003F686B">
        <w:rPr>
          <w:rFonts w:ascii="Calibri" w:hAnsi="Calibri"/>
        </w:rPr>
        <w:t>de indeling in ‘tabel 5C’ van het rapporteringsmodel</w:t>
      </w:r>
      <w:r w:rsidR="008B5A36">
        <w:rPr>
          <w:rFonts w:ascii="Calibri" w:hAnsi="Calibri"/>
        </w:rPr>
        <w:t xml:space="preserve"> mogelijk is.</w:t>
      </w:r>
      <w:r w:rsidR="0002643C">
        <w:rPr>
          <w:rFonts w:ascii="Calibri" w:hAnsi="Calibri"/>
        </w:rPr>
        <w:t>]</w:t>
      </w:r>
      <w:r w:rsidR="0002643C">
        <w:rPr>
          <w:rStyle w:val="Voetnootmarkering"/>
          <w:rFonts w:ascii="Calibri" w:hAnsi="Calibri"/>
        </w:rPr>
        <w:footnoteReference w:id="18"/>
      </w:r>
    </w:p>
    <w:p w14:paraId="0F72E48B" w14:textId="7328A466" w:rsidR="00EE5CD7" w:rsidRPr="003F514D" w:rsidRDefault="00EE5CD7" w:rsidP="00EE5CD7">
      <w:pPr>
        <w:rPr>
          <w:rFonts w:ascii="Calibri" w:hAnsi="Calibri"/>
        </w:rPr>
      </w:pPr>
      <w:r w:rsidRPr="003F514D">
        <w:rPr>
          <w:rFonts w:ascii="Calibri" w:hAnsi="Calibri"/>
        </w:rPr>
        <w:t>Vervolgens worden uit deze informatie de werkelijke opbrengsten voor endogene kosten m.b.t. de gereguleerde activiteit elektriciteit (afname) per tariefcomponent berekend, dewelke op hun beurt voor het betreffende boekjaar, samen met de endogene opbrengsten m.b.t. injectie (cfr paragraaf</w:t>
      </w:r>
      <w:r w:rsidR="000F64AE" w:rsidRPr="003F514D">
        <w:rPr>
          <w:rFonts w:ascii="Calibri" w:hAnsi="Calibri"/>
        </w:rPr>
        <w:t xml:space="preserve"> </w:t>
      </w:r>
      <w:r w:rsidR="000F64AE" w:rsidRPr="003F514D">
        <w:rPr>
          <w:rFonts w:ascii="Calibri" w:hAnsi="Calibri"/>
        </w:rPr>
        <w:fldChar w:fldCharType="begin"/>
      </w:r>
      <w:r w:rsidR="000F64AE" w:rsidRPr="003F514D">
        <w:rPr>
          <w:rFonts w:ascii="Calibri" w:hAnsi="Calibri"/>
        </w:rPr>
        <w:instrText xml:space="preserve"> REF _Ref39138101 \r \h </w:instrText>
      </w:r>
      <w:r w:rsidR="003F514D">
        <w:rPr>
          <w:rFonts w:ascii="Calibri" w:hAnsi="Calibri"/>
        </w:rPr>
        <w:instrText xml:space="preserve"> \* MERGEFORMAT </w:instrText>
      </w:r>
      <w:r w:rsidR="000F64AE" w:rsidRPr="003F514D">
        <w:rPr>
          <w:rFonts w:ascii="Calibri" w:hAnsi="Calibri"/>
        </w:rPr>
      </w:r>
      <w:r w:rsidR="000F64AE" w:rsidRPr="003F514D">
        <w:rPr>
          <w:rFonts w:ascii="Calibri" w:hAnsi="Calibri"/>
        </w:rPr>
        <w:fldChar w:fldCharType="separate"/>
      </w:r>
      <w:r w:rsidR="00964FA9">
        <w:rPr>
          <w:rFonts w:ascii="Calibri" w:hAnsi="Calibri"/>
        </w:rPr>
        <w:t>1.2.1.10</w:t>
      </w:r>
      <w:r w:rsidR="000F64AE" w:rsidRPr="003F514D">
        <w:rPr>
          <w:rFonts w:ascii="Calibri" w:hAnsi="Calibri"/>
        </w:rPr>
        <w:fldChar w:fldCharType="end"/>
      </w:r>
      <w:r w:rsidRPr="003F514D">
        <w:rPr>
          <w:rFonts w:ascii="Calibri" w:hAnsi="Calibri"/>
        </w:rPr>
        <w:t xml:space="preserve">), in ‘tabel 5A’ in rekening moeten worden genomen (uiteraard enkel indien het de rapportering voor de gereguleerde activiteit ‘elektriciteit’ betreft). </w:t>
      </w:r>
    </w:p>
    <w:p w14:paraId="45B66C88" w14:textId="6FC857CB" w:rsidR="00EE5CD7" w:rsidRPr="00CF0323" w:rsidRDefault="00EE5CD7" w:rsidP="00EE5CD7">
      <w:pPr>
        <w:rPr>
          <w:rFonts w:ascii="Calibri" w:hAnsi="Calibri"/>
        </w:rPr>
      </w:pPr>
      <w:r w:rsidRPr="003F514D">
        <w:rPr>
          <w:rFonts w:ascii="Calibri" w:hAnsi="Calibri"/>
        </w:rPr>
        <w:t>Uiteraard kunnen uit deze tabel dan ook eenduidig de werkelijke opbrengsten m.b.t. de exogene kosten voor de gereguleerde activiteit elektriciteit (afname) worden afgeleid. Deze dienen als basis voor de bepaling van het regulatoir saldo inzake exogene kosten in ‘tabel 3’ (cfr paragraaf</w:t>
      </w:r>
      <w:r w:rsidR="000F64AE" w:rsidRPr="003F514D">
        <w:rPr>
          <w:rFonts w:ascii="Calibri" w:hAnsi="Calibri"/>
        </w:rPr>
        <w:t xml:space="preserve"> </w:t>
      </w:r>
      <w:r w:rsidR="000F64AE" w:rsidRPr="00CF0323">
        <w:rPr>
          <w:rFonts w:ascii="Calibri" w:hAnsi="Calibri"/>
        </w:rPr>
        <w:fldChar w:fldCharType="begin"/>
      </w:r>
      <w:r w:rsidR="000F64AE" w:rsidRPr="00CF0323">
        <w:rPr>
          <w:rFonts w:ascii="Calibri" w:hAnsi="Calibri"/>
        </w:rPr>
        <w:instrText xml:space="preserve"> REF _Ref39138140 \r \h </w:instrText>
      </w:r>
      <w:r w:rsidR="003F514D" w:rsidRPr="00CF0323">
        <w:rPr>
          <w:rFonts w:ascii="Calibri" w:hAnsi="Calibri"/>
        </w:rPr>
        <w:instrText xml:space="preserve"> \* MERGEFORMAT </w:instrText>
      </w:r>
      <w:r w:rsidR="000F64AE" w:rsidRPr="00CF0323">
        <w:rPr>
          <w:rFonts w:ascii="Calibri" w:hAnsi="Calibri"/>
        </w:rPr>
      </w:r>
      <w:r w:rsidR="000F64AE" w:rsidRPr="00CF0323">
        <w:rPr>
          <w:rFonts w:ascii="Calibri" w:hAnsi="Calibri"/>
        </w:rPr>
        <w:fldChar w:fldCharType="separate"/>
      </w:r>
      <w:r w:rsidR="00964FA9">
        <w:rPr>
          <w:rFonts w:ascii="Calibri" w:hAnsi="Calibri"/>
        </w:rPr>
        <w:t>1.2.1.4</w:t>
      </w:r>
      <w:r w:rsidR="000F64AE" w:rsidRPr="00CF0323">
        <w:rPr>
          <w:rFonts w:ascii="Calibri" w:hAnsi="Calibri"/>
        </w:rPr>
        <w:fldChar w:fldCharType="end"/>
      </w:r>
      <w:r w:rsidRPr="00CF0323">
        <w:rPr>
          <w:rFonts w:ascii="Calibri" w:hAnsi="Calibri"/>
        </w:rPr>
        <w:t>), dewelke automatisch in ‘tabel 3’ in rekening worden genomen indien het de ex-post rapportering over de gereguleerde activiteit ‘elektriciteit’ omvat.</w:t>
      </w:r>
    </w:p>
    <w:p w14:paraId="026E748D" w14:textId="785CC5F3" w:rsidR="00EE5CD7" w:rsidRPr="00CF0323" w:rsidRDefault="00EE5CD7" w:rsidP="00EE5CD7">
      <w:pPr>
        <w:rPr>
          <w:rFonts w:ascii="Calibri" w:hAnsi="Calibri"/>
        </w:rPr>
      </w:pPr>
      <w:r w:rsidRPr="00CF0323">
        <w:rPr>
          <w:rFonts w:ascii="Calibri" w:hAnsi="Calibri"/>
        </w:rPr>
        <w:t xml:space="preserve">Ten laatste merkt de VREG op dat </w:t>
      </w:r>
      <w:r w:rsidR="001D5AD6" w:rsidRPr="00CF0323">
        <w:rPr>
          <w:rFonts w:ascii="Calibri" w:hAnsi="Calibri"/>
        </w:rPr>
        <w:t>hier ook</w:t>
      </w:r>
      <w:r w:rsidRPr="00CF0323">
        <w:rPr>
          <w:rFonts w:ascii="Calibri" w:hAnsi="Calibri"/>
        </w:rPr>
        <w:t xml:space="preserve"> de werkelijke opbrengsten </w:t>
      </w:r>
      <w:r w:rsidR="00E55650" w:rsidRPr="00CF0323">
        <w:rPr>
          <w:rFonts w:ascii="Calibri" w:hAnsi="Calibri"/>
        </w:rPr>
        <w:t xml:space="preserve">m.b.t. </w:t>
      </w:r>
      <w:r w:rsidRPr="00CF0323">
        <w:rPr>
          <w:rFonts w:ascii="Calibri" w:hAnsi="Calibri"/>
        </w:rPr>
        <w:t xml:space="preserve">de aan een andere distributienetbeheerder (via doorvoer) aangerekende </w:t>
      </w:r>
      <w:r w:rsidR="001D5AD6" w:rsidRPr="00CF0323">
        <w:rPr>
          <w:rFonts w:ascii="Calibri" w:hAnsi="Calibri"/>
        </w:rPr>
        <w:t xml:space="preserve">tarieven </w:t>
      </w:r>
      <w:r w:rsidRPr="00CF0323">
        <w:rPr>
          <w:rFonts w:ascii="Calibri" w:hAnsi="Calibri"/>
        </w:rPr>
        <w:t xml:space="preserve">worden begrepen. </w:t>
      </w:r>
    </w:p>
    <w:p w14:paraId="627A0236" w14:textId="11791114" w:rsidR="00EE5CD7" w:rsidRPr="00CF0323" w:rsidRDefault="00EE5CD7" w:rsidP="00EE5CD7">
      <w:pPr>
        <w:pStyle w:val="Kop4"/>
      </w:pPr>
      <w:bookmarkStart w:id="92" w:name="_Ref39043403"/>
      <w:bookmarkStart w:id="93" w:name="_Ref39138101"/>
      <w:bookmarkStart w:id="94" w:name="_Toc81512468"/>
      <w:r w:rsidRPr="00CF0323">
        <w:t>TABEL 5D: Werkelijke opbrengsten uit periodieke distributienettarieven in boekjaar 20</w:t>
      </w:r>
      <w:r w:rsidR="00B203C2">
        <w:t>XX</w:t>
      </w:r>
      <w:r w:rsidRPr="00CF0323">
        <w:t xml:space="preserve"> (elektriciteit – injectie)</w:t>
      </w:r>
      <w:bookmarkEnd w:id="92"/>
      <w:bookmarkEnd w:id="93"/>
      <w:bookmarkEnd w:id="94"/>
    </w:p>
    <w:p w14:paraId="7DB3CC46" w14:textId="329AE667" w:rsidR="00EE5CD7" w:rsidRPr="00CF0323" w:rsidRDefault="00EE5CD7" w:rsidP="00EE5CD7">
      <w:pPr>
        <w:rPr>
          <w:rFonts w:ascii="Calibri" w:hAnsi="Calibri"/>
        </w:rPr>
      </w:pPr>
      <w:r w:rsidRPr="00CF0323">
        <w:rPr>
          <w:rFonts w:ascii="Calibri" w:hAnsi="Calibri"/>
        </w:rPr>
        <w:t>Teneinde de werkelijke opbrengsten voor zowel de exogene als de endogene kosten voor boekjaar 20</w:t>
      </w:r>
      <w:r w:rsidR="003F514D" w:rsidRPr="00CF0323">
        <w:rPr>
          <w:rFonts w:ascii="Calibri" w:hAnsi="Calibri"/>
        </w:rPr>
        <w:t>XX</w:t>
      </w:r>
      <w:r w:rsidRPr="00CF0323">
        <w:rPr>
          <w:rFonts w:ascii="Calibri" w:hAnsi="Calibri"/>
        </w:rPr>
        <w:t xml:space="preserve"> correct te bepalen, worden in deze tabel de totale werkelijke opbrengsten voor de gereguleerde activiteit elektriciteit (injectie) opgevraagd en dit per tariefcomponent en per spanningsniveau. </w:t>
      </w:r>
    </w:p>
    <w:p w14:paraId="75B09788" w14:textId="7D559894" w:rsidR="00EE5CD7" w:rsidRPr="00CF0323" w:rsidRDefault="00EE5CD7" w:rsidP="00EE5CD7">
      <w:pPr>
        <w:rPr>
          <w:rFonts w:ascii="Calibri" w:hAnsi="Calibri"/>
        </w:rPr>
      </w:pPr>
      <w:r w:rsidRPr="00CF0323">
        <w:rPr>
          <w:rFonts w:ascii="Calibri" w:hAnsi="Calibri"/>
        </w:rPr>
        <w:lastRenderedPageBreak/>
        <w:t xml:space="preserve">Vervolgens moet per tariefcomponent het relatief aandeel voor de endogene kosten in de totale werkelijke opbrengsten voor de gereguleerde activiteit elektriciteit (injectie) worden gerapporteerd (afgerond op 2 decimalen). Dit aandeel kan eenduidig worden afgeleid uit </w:t>
      </w:r>
      <w:r w:rsidR="00236C4E">
        <w:rPr>
          <w:rFonts w:ascii="Calibri" w:hAnsi="Calibri"/>
        </w:rPr>
        <w:t xml:space="preserve">tabel ‘T1’ </w:t>
      </w:r>
      <w:r w:rsidRPr="00CF0323">
        <w:rPr>
          <w:rFonts w:ascii="Calibri" w:hAnsi="Calibri"/>
        </w:rPr>
        <w:t xml:space="preserve">van het rapporteringsmodel ‘tariefvoorstel’ (cfr </w:t>
      </w:r>
      <w:r w:rsidR="00840E6C" w:rsidRPr="003F514D">
        <w:rPr>
          <w:rFonts w:ascii="Calibri" w:hAnsi="Calibri"/>
        </w:rPr>
        <w:t>paragraaf</w:t>
      </w:r>
      <w:r w:rsidR="00840E6C">
        <w:rPr>
          <w:rFonts w:ascii="Calibri" w:hAnsi="Calibri"/>
        </w:rPr>
        <w:t xml:space="preserve"> </w:t>
      </w:r>
      <w:r w:rsidR="00840E6C">
        <w:rPr>
          <w:rFonts w:ascii="Calibri" w:hAnsi="Calibri"/>
        </w:rPr>
        <w:fldChar w:fldCharType="begin"/>
      </w:r>
      <w:r w:rsidR="00840E6C">
        <w:rPr>
          <w:rFonts w:ascii="Calibri" w:hAnsi="Calibri"/>
        </w:rPr>
        <w:instrText xml:space="preserve"> REF _Ref43983425 \r \h </w:instrText>
      </w:r>
      <w:r w:rsidR="00840E6C">
        <w:rPr>
          <w:rFonts w:ascii="Calibri" w:hAnsi="Calibri"/>
        </w:rPr>
      </w:r>
      <w:r w:rsidR="00840E6C">
        <w:rPr>
          <w:rFonts w:ascii="Calibri" w:hAnsi="Calibri"/>
        </w:rPr>
        <w:fldChar w:fldCharType="separate"/>
      </w:r>
      <w:r w:rsidR="00964FA9">
        <w:rPr>
          <w:rFonts w:ascii="Calibri" w:hAnsi="Calibri"/>
        </w:rPr>
        <w:t>2.2.1.7</w:t>
      </w:r>
      <w:r w:rsidR="00840E6C">
        <w:rPr>
          <w:rFonts w:ascii="Calibri" w:hAnsi="Calibri"/>
        </w:rPr>
        <w:fldChar w:fldCharType="end"/>
      </w:r>
      <w:r w:rsidRPr="00CF0323">
        <w:rPr>
          <w:rFonts w:ascii="Calibri" w:hAnsi="Calibri"/>
        </w:rPr>
        <w:t xml:space="preserve">), dewelke dient te worden gerapporteerd vóór de ex-post rapportering m.b.t. de exogene kosten. Dit betekent dus dat het aandeel in deze tabel dient overeen te komen met het aandeel van de endogene kosten in iedere tariefcomponent, zoals dit in </w:t>
      </w:r>
      <w:r w:rsidR="00676048">
        <w:rPr>
          <w:rFonts w:ascii="Calibri" w:hAnsi="Calibri"/>
        </w:rPr>
        <w:t xml:space="preserve">tabel ‘T1’ </w:t>
      </w:r>
      <w:r w:rsidRPr="00CF0323">
        <w:rPr>
          <w:rFonts w:ascii="Calibri" w:hAnsi="Calibri"/>
        </w:rPr>
        <w:t>van het rapporteringsmodel ‘tariefvoorstel’ voor boekjaar 20</w:t>
      </w:r>
      <w:r w:rsidR="003F514D" w:rsidRPr="00CF0323">
        <w:rPr>
          <w:rFonts w:ascii="Calibri" w:hAnsi="Calibri"/>
        </w:rPr>
        <w:t>XX</w:t>
      </w:r>
      <w:r w:rsidRPr="00CF0323">
        <w:rPr>
          <w:rFonts w:ascii="Calibri" w:hAnsi="Calibri"/>
        </w:rPr>
        <w:t xml:space="preserve"> m.b.t. injectie kan teruggevonden worden. </w:t>
      </w:r>
    </w:p>
    <w:p w14:paraId="12B23139" w14:textId="69737075" w:rsidR="00EE5CD7" w:rsidRPr="00CF0323" w:rsidRDefault="00EE5CD7" w:rsidP="00EE5CD7">
      <w:pPr>
        <w:rPr>
          <w:rFonts w:ascii="Calibri" w:hAnsi="Calibri"/>
        </w:rPr>
      </w:pPr>
      <w:r w:rsidRPr="00CF0323">
        <w:rPr>
          <w:rFonts w:ascii="Calibri" w:hAnsi="Calibri"/>
        </w:rPr>
        <w:t>Indien in een boekjaar periodieke elektriciteitsdistributienettarieven (injectie) van meer dan één tariefvoorstel worden toegepast, zal per tariefcomponent het relatief aandeel van de endogene kosten voor dat boekjaar worden bepaald op basis van het pro rata aandeel van de endogene kosten (afgerond op 2 decimalen), conform de methodiek zoals beschreven in paragraaf 5.6.6 van de hoofdtekst van de tariefmethodologie. Dit pro rata aandeel (afgerond op 2 decimalen) wordt aldus bepaald op basis van het aantal kalenderdagen dat de periodieke elektriciteitsdistributienettarieven (injectie) volgens elk van de tariefvoorstellen van kracht waren. Hierbij dient de distributienetbeheerder in een afzonderlijk verklarende nota de detailberekening van het pro rata aandeel van de endogene kosten per tariefcomponent op te geven, d.w.z. dat uit de detailberekening voor elke tariefcomponent duidelijk dient te zijn wat het aandeel van de endogene kosten in elk van de toepasselijke tariefvoorstellen was en hoeveel kalenderdagen de tarieven uit elk van de tariefvoorstellen in het betreffende boekjaar van kracht waren.</w:t>
      </w:r>
      <w:r w:rsidR="00774D6C">
        <w:rPr>
          <w:rFonts w:ascii="Calibri" w:hAnsi="Calibri"/>
        </w:rPr>
        <w:t xml:space="preserve"> [Zoals ook in par. 5.6.6 van de hoofdtekst van de tariefmethodologie aangegeven, dient dit pro rata aandeel niet worden bepaald in het geval waarbij in een boekjaar verschillende tariefvoorstellen naar aanleiding van een wijzigende tariefstructuur van toepassing zijn. Voor het boekjaar 2022 rapporteert de elektriciteitsdistributienetbeheerder aldus de werkelijke opbrengsten per tariefcomponent volgens de tariefstructuur </w:t>
      </w:r>
      <w:r w:rsidR="00D6447C">
        <w:rPr>
          <w:rFonts w:ascii="Calibri" w:hAnsi="Calibri"/>
        </w:rPr>
        <w:t>voor 2022H2</w:t>
      </w:r>
      <w:r w:rsidR="00774D6C">
        <w:rPr>
          <w:rFonts w:ascii="Calibri" w:hAnsi="Calibri"/>
        </w:rPr>
        <w:t xml:space="preserve">, en zoals voorzien in ‘tabel 5D’ van het rapporteringsmodel. Ook het relatief aandeel van de endogene kosten wordt bepaald op basis van het tariefvoorstel van toepassing </w:t>
      </w:r>
      <w:r w:rsidR="004809CD">
        <w:rPr>
          <w:rFonts w:ascii="Calibri" w:hAnsi="Calibri"/>
        </w:rPr>
        <w:t>voor 2022H2</w:t>
      </w:r>
      <w:r w:rsidR="00774D6C">
        <w:rPr>
          <w:rFonts w:ascii="Calibri" w:hAnsi="Calibri"/>
        </w:rPr>
        <w:t xml:space="preserve">. Dit houdt in dat de distributienetbeheerder de werkelijke opbrengsten in </w:t>
      </w:r>
      <w:r w:rsidR="004809CD">
        <w:rPr>
          <w:rFonts w:ascii="Calibri" w:hAnsi="Calibri"/>
        </w:rPr>
        <w:t>2022H1</w:t>
      </w:r>
      <w:r w:rsidR="00774D6C">
        <w:rPr>
          <w:rFonts w:ascii="Calibri" w:hAnsi="Calibri"/>
        </w:rPr>
        <w:t xml:space="preserve"> op dergelijke wijze registreert zodat een rapporteringswijze ervan volgens de indeling in ‘tabel 5D’ van het rapporteringsmodel mogelijk is.]</w:t>
      </w:r>
      <w:r w:rsidR="00774D6C">
        <w:rPr>
          <w:rStyle w:val="Voetnootmarkering"/>
          <w:rFonts w:ascii="Calibri" w:hAnsi="Calibri"/>
        </w:rPr>
        <w:footnoteReference w:id="19"/>
      </w:r>
    </w:p>
    <w:p w14:paraId="59171213" w14:textId="302DB730" w:rsidR="00EE5CD7" w:rsidRPr="00CF0323" w:rsidRDefault="00EE5CD7" w:rsidP="00EE5CD7">
      <w:pPr>
        <w:rPr>
          <w:rFonts w:ascii="Calibri" w:hAnsi="Calibri"/>
        </w:rPr>
      </w:pPr>
      <w:r w:rsidRPr="00CF0323">
        <w:rPr>
          <w:rFonts w:ascii="Calibri" w:hAnsi="Calibri"/>
        </w:rPr>
        <w:t>Vervolgens worden uit deze informatie de werkelijke opbrengsten voor endogene kosten m.b.t. de gereguleerde activiteit elektriciteit (injectie) per tariefcomponent berekend, dewelke op hun beurt voor het betreffende boekjaar, samen met de endogene opbrengsten m.b.t. afname (cfr paragraaf</w:t>
      </w:r>
      <w:r w:rsidR="00CF0323" w:rsidRPr="00CF0323">
        <w:rPr>
          <w:rFonts w:ascii="Calibri" w:hAnsi="Calibri"/>
        </w:rPr>
        <w:t xml:space="preserve"> </w:t>
      </w:r>
      <w:r w:rsidR="00CF0323" w:rsidRPr="00CF0323">
        <w:rPr>
          <w:rFonts w:ascii="Calibri" w:hAnsi="Calibri"/>
        </w:rPr>
        <w:fldChar w:fldCharType="begin"/>
      </w:r>
      <w:r w:rsidR="00CF0323" w:rsidRPr="00CF0323">
        <w:rPr>
          <w:rFonts w:ascii="Calibri" w:hAnsi="Calibri"/>
        </w:rPr>
        <w:instrText xml:space="preserve"> REF _Ref39140049 \r \h </w:instrText>
      </w:r>
      <w:r w:rsidR="00CF0323">
        <w:rPr>
          <w:rFonts w:ascii="Calibri" w:hAnsi="Calibri"/>
        </w:rPr>
        <w:instrText xml:space="preserve"> \* MERGEFORMAT </w:instrText>
      </w:r>
      <w:r w:rsidR="00CF0323" w:rsidRPr="00CF0323">
        <w:rPr>
          <w:rFonts w:ascii="Calibri" w:hAnsi="Calibri"/>
        </w:rPr>
      </w:r>
      <w:r w:rsidR="00CF0323" w:rsidRPr="00CF0323">
        <w:rPr>
          <w:rFonts w:ascii="Calibri" w:hAnsi="Calibri"/>
        </w:rPr>
        <w:fldChar w:fldCharType="separate"/>
      </w:r>
      <w:r w:rsidR="00964FA9">
        <w:rPr>
          <w:rFonts w:ascii="Calibri" w:hAnsi="Calibri"/>
        </w:rPr>
        <w:t>1.2.1.9</w:t>
      </w:r>
      <w:r w:rsidR="00CF0323" w:rsidRPr="00CF0323">
        <w:rPr>
          <w:rFonts w:ascii="Calibri" w:hAnsi="Calibri"/>
        </w:rPr>
        <w:fldChar w:fldCharType="end"/>
      </w:r>
      <w:r w:rsidRPr="00CF0323">
        <w:rPr>
          <w:rFonts w:ascii="Calibri" w:hAnsi="Calibri"/>
        </w:rPr>
        <w:t xml:space="preserve">), in ‘tabel 5A’ in rekening moeten worden genomen (uiteraard enkel indien het de rapportering voor de gereguleerde activiteit ‘elektriciteit’ betreft). </w:t>
      </w:r>
    </w:p>
    <w:p w14:paraId="651D4FD9" w14:textId="06A5531E" w:rsidR="00EE5CD7" w:rsidRPr="00F27E0E" w:rsidRDefault="00EE5CD7" w:rsidP="00EE5CD7">
      <w:pPr>
        <w:rPr>
          <w:rFonts w:ascii="Calibri" w:hAnsi="Calibri"/>
        </w:rPr>
      </w:pPr>
      <w:r w:rsidRPr="00CF0323">
        <w:rPr>
          <w:rFonts w:ascii="Calibri" w:hAnsi="Calibri"/>
        </w:rPr>
        <w:t>Uiteraard kunnen uit deze tabel dan ook eenduidig de werkelijke opbrengsten m.b.t. de exogene kosten voor de gereguleerde activiteit elektriciteit (injectie) worden afgeleid. Deze dienen als basis voor de bepaling van het regulatoir saldo inzake exogene kosten in ‘tabel 3’ (</w:t>
      </w:r>
      <w:r w:rsidR="00CF0323" w:rsidRPr="00CF0323">
        <w:rPr>
          <w:rFonts w:ascii="Calibri" w:hAnsi="Calibri"/>
        </w:rPr>
        <w:t xml:space="preserve">cfr paragraaf </w:t>
      </w:r>
      <w:r w:rsidR="00CF0323" w:rsidRPr="00CF0323">
        <w:rPr>
          <w:rFonts w:ascii="Calibri" w:hAnsi="Calibri"/>
        </w:rPr>
        <w:fldChar w:fldCharType="begin"/>
      </w:r>
      <w:r w:rsidR="00CF0323" w:rsidRPr="00CF0323">
        <w:rPr>
          <w:rFonts w:ascii="Calibri" w:hAnsi="Calibri"/>
        </w:rPr>
        <w:instrText xml:space="preserve"> REF _Ref39138140 \r \h  \* MERGEFORMAT </w:instrText>
      </w:r>
      <w:r w:rsidR="00CF0323" w:rsidRPr="00CF0323">
        <w:rPr>
          <w:rFonts w:ascii="Calibri" w:hAnsi="Calibri"/>
        </w:rPr>
      </w:r>
      <w:r w:rsidR="00CF0323" w:rsidRPr="00CF0323">
        <w:rPr>
          <w:rFonts w:ascii="Calibri" w:hAnsi="Calibri"/>
        </w:rPr>
        <w:fldChar w:fldCharType="separate"/>
      </w:r>
      <w:r w:rsidR="00964FA9">
        <w:rPr>
          <w:rFonts w:ascii="Calibri" w:hAnsi="Calibri"/>
        </w:rPr>
        <w:t>1.2.1.4</w:t>
      </w:r>
      <w:r w:rsidR="00CF0323" w:rsidRPr="00CF0323">
        <w:rPr>
          <w:rFonts w:ascii="Calibri" w:hAnsi="Calibri"/>
        </w:rPr>
        <w:fldChar w:fldCharType="end"/>
      </w:r>
      <w:r w:rsidRPr="00CF0323">
        <w:rPr>
          <w:rFonts w:ascii="Calibri" w:hAnsi="Calibri"/>
        </w:rPr>
        <w:t xml:space="preserve">), dewelke automatisch in ‘tabel 3’ in rekening worden genomen indien het de ex-post </w:t>
      </w:r>
      <w:r w:rsidRPr="00F27E0E">
        <w:rPr>
          <w:rFonts w:ascii="Calibri" w:hAnsi="Calibri"/>
        </w:rPr>
        <w:t>rapportering over de gereguleerde activiteit ‘elektriciteit’ omvat.</w:t>
      </w:r>
    </w:p>
    <w:p w14:paraId="308D15B8" w14:textId="392D11A7" w:rsidR="00EE5CD7" w:rsidRPr="00F27E0E" w:rsidRDefault="00EE5CD7" w:rsidP="00EE5CD7">
      <w:pPr>
        <w:pStyle w:val="Kop4"/>
      </w:pPr>
      <w:bookmarkStart w:id="95" w:name="_Ref39043411"/>
      <w:bookmarkStart w:id="96" w:name="_Ref39140556"/>
      <w:bookmarkStart w:id="97" w:name="_Toc81512469"/>
      <w:r w:rsidRPr="00F27E0E">
        <w:t>TABEL 5E: Werkelijke opbrengsten uit periodieke distributienettarieven in boekjaar 20</w:t>
      </w:r>
      <w:r w:rsidR="00B203C2">
        <w:t>XX</w:t>
      </w:r>
      <w:r w:rsidRPr="00F27E0E">
        <w:t xml:space="preserve"> (gas - afname)</w:t>
      </w:r>
      <w:bookmarkEnd w:id="95"/>
      <w:bookmarkEnd w:id="96"/>
      <w:bookmarkEnd w:id="97"/>
    </w:p>
    <w:p w14:paraId="2F86FE2D" w14:textId="2B5B34BA" w:rsidR="00EE5CD7" w:rsidRPr="00F27E0E" w:rsidRDefault="00EE5CD7" w:rsidP="00EE5CD7">
      <w:pPr>
        <w:rPr>
          <w:rFonts w:ascii="Calibri" w:hAnsi="Calibri"/>
        </w:rPr>
      </w:pPr>
      <w:r w:rsidRPr="00F27E0E">
        <w:rPr>
          <w:rFonts w:ascii="Calibri" w:hAnsi="Calibri"/>
        </w:rPr>
        <w:t>Teneinde de werkelijke opbrengsten voor zowel de exogene als de endogene kosten voor boekjaar 20</w:t>
      </w:r>
      <w:r w:rsidR="00276FD6" w:rsidRPr="00F27E0E">
        <w:rPr>
          <w:rFonts w:ascii="Calibri" w:hAnsi="Calibri"/>
        </w:rPr>
        <w:t>XX</w:t>
      </w:r>
      <w:r w:rsidRPr="00F27E0E">
        <w:rPr>
          <w:rFonts w:ascii="Calibri" w:hAnsi="Calibri"/>
          <w:i/>
        </w:rPr>
        <w:t xml:space="preserve"> </w:t>
      </w:r>
      <w:r w:rsidRPr="00F27E0E">
        <w:rPr>
          <w:rFonts w:ascii="Calibri" w:hAnsi="Calibri"/>
        </w:rPr>
        <w:t xml:space="preserve">correct te bepalen, worden in deze tabel de totale werkelijke opbrengsten voor de </w:t>
      </w:r>
      <w:r w:rsidRPr="00F27E0E">
        <w:rPr>
          <w:rFonts w:ascii="Calibri" w:hAnsi="Calibri"/>
        </w:rPr>
        <w:lastRenderedPageBreak/>
        <w:t xml:space="preserve">gereguleerde activiteit gas (afname) opgevraagd en dit per tariefcomponent en per </w:t>
      </w:r>
      <w:r w:rsidR="00224193">
        <w:rPr>
          <w:rFonts w:ascii="Calibri" w:hAnsi="Calibri"/>
        </w:rPr>
        <w:t>klantencategorie</w:t>
      </w:r>
      <w:r w:rsidRPr="00F27E0E">
        <w:rPr>
          <w:rFonts w:ascii="Calibri" w:hAnsi="Calibri"/>
        </w:rPr>
        <w:t xml:space="preserve">. </w:t>
      </w:r>
    </w:p>
    <w:p w14:paraId="68D1BF04" w14:textId="30C76A74" w:rsidR="00EE5CD7" w:rsidRPr="00F27E0E" w:rsidRDefault="00EE5CD7" w:rsidP="00EE5CD7">
      <w:pPr>
        <w:rPr>
          <w:rFonts w:ascii="Calibri" w:hAnsi="Calibri"/>
        </w:rPr>
      </w:pPr>
      <w:r w:rsidRPr="00F27E0E">
        <w:rPr>
          <w:rFonts w:ascii="Calibri" w:hAnsi="Calibri"/>
        </w:rPr>
        <w:t xml:space="preserve">Vervolgens moet per tariefcomponent het relatief aandeel voor de endogene kosten in de totale werkelijke opbrengsten voor de gereguleerde activiteit aardgas (afname) worden gerapporteerd (afgerond op 2 decimalen). Dit aandeel kan eenduidig worden afgeleid uit </w:t>
      </w:r>
      <w:r w:rsidR="000E478A">
        <w:rPr>
          <w:rFonts w:ascii="Calibri" w:hAnsi="Calibri"/>
        </w:rPr>
        <w:t xml:space="preserve">tabel ‘T5’ </w:t>
      </w:r>
      <w:r w:rsidRPr="00F27E0E">
        <w:rPr>
          <w:rFonts w:ascii="Calibri" w:hAnsi="Calibri"/>
        </w:rPr>
        <w:t>van het rapporteringsmodel ‘tariefvoorstel’ (cfr paragraaf</w:t>
      </w:r>
      <w:r w:rsidR="00C43927">
        <w:rPr>
          <w:rFonts w:ascii="Calibri" w:hAnsi="Calibri"/>
        </w:rPr>
        <w:t xml:space="preserve"> </w:t>
      </w:r>
      <w:r w:rsidR="00C43927">
        <w:rPr>
          <w:rFonts w:ascii="Calibri" w:hAnsi="Calibri"/>
        </w:rPr>
        <w:fldChar w:fldCharType="begin"/>
      </w:r>
      <w:r w:rsidR="00C43927">
        <w:rPr>
          <w:rFonts w:ascii="Calibri" w:hAnsi="Calibri"/>
        </w:rPr>
        <w:instrText xml:space="preserve"> REF _Ref43983476 \r \h </w:instrText>
      </w:r>
      <w:r w:rsidR="00C43927">
        <w:rPr>
          <w:rFonts w:ascii="Calibri" w:hAnsi="Calibri"/>
        </w:rPr>
      </w:r>
      <w:r w:rsidR="00C43927">
        <w:rPr>
          <w:rFonts w:ascii="Calibri" w:hAnsi="Calibri"/>
        </w:rPr>
        <w:fldChar w:fldCharType="separate"/>
      </w:r>
      <w:r w:rsidR="00964FA9">
        <w:rPr>
          <w:rFonts w:ascii="Calibri" w:hAnsi="Calibri"/>
        </w:rPr>
        <w:t>2.2.1.11</w:t>
      </w:r>
      <w:r w:rsidR="00C43927">
        <w:rPr>
          <w:rFonts w:ascii="Calibri" w:hAnsi="Calibri"/>
        </w:rPr>
        <w:fldChar w:fldCharType="end"/>
      </w:r>
      <w:r w:rsidRPr="00F27E0E">
        <w:rPr>
          <w:rFonts w:ascii="Calibri" w:hAnsi="Calibri"/>
        </w:rPr>
        <w:t xml:space="preserve">), dewelke dient te worden gerapporteerd vóór de ex-post rapportering m.b.t. de exogene kosten. Dit betekent dus dat het aandeel in deze tabel dient overeen te komen met het aandeel van de endogene kosten in iedere tariefcomponent, zoals dit in </w:t>
      </w:r>
      <w:r w:rsidR="0010444A">
        <w:rPr>
          <w:rFonts w:ascii="Calibri" w:hAnsi="Calibri"/>
        </w:rPr>
        <w:t xml:space="preserve">tabel ‘T5’ </w:t>
      </w:r>
      <w:r w:rsidRPr="00F27E0E">
        <w:rPr>
          <w:rFonts w:ascii="Calibri" w:hAnsi="Calibri"/>
        </w:rPr>
        <w:t>van het rapporteringsmodel ‘tariefvoorstel’ voor boekjaar 20</w:t>
      </w:r>
      <w:r w:rsidR="001F4870" w:rsidRPr="00F27E0E">
        <w:rPr>
          <w:rFonts w:ascii="Calibri" w:hAnsi="Calibri"/>
        </w:rPr>
        <w:t>XX</w:t>
      </w:r>
      <w:r w:rsidRPr="00F27E0E">
        <w:rPr>
          <w:rFonts w:ascii="Calibri" w:hAnsi="Calibri"/>
          <w:i/>
        </w:rPr>
        <w:t xml:space="preserve"> </w:t>
      </w:r>
      <w:r w:rsidRPr="00F27E0E">
        <w:rPr>
          <w:rFonts w:ascii="Calibri" w:hAnsi="Calibri"/>
        </w:rPr>
        <w:t xml:space="preserve">kan teruggevonden worden. </w:t>
      </w:r>
    </w:p>
    <w:p w14:paraId="5199DEE8" w14:textId="77777777" w:rsidR="00EE5CD7" w:rsidRPr="00F27E0E" w:rsidRDefault="00EE5CD7" w:rsidP="00EE5CD7">
      <w:pPr>
        <w:rPr>
          <w:rFonts w:ascii="Calibri" w:hAnsi="Calibri"/>
        </w:rPr>
      </w:pPr>
      <w:r w:rsidRPr="00F27E0E">
        <w:rPr>
          <w:rFonts w:ascii="Calibri" w:hAnsi="Calibri"/>
        </w:rPr>
        <w:t>Indien in een boekjaar periodieke aardgasdistributienettarieven (afname) van meer dan één tariefvoorstel worden toegepast, zal per tariefcomponent het relatief aandeel van de endogene kosten voor dat boekjaar worden bepaald op basis van het pro rata aandeel van de endogene kosten (afgerond op 2 decimalen), conform de methodiek zoals beschreven in paragraaf 5.6.6 van de hoofdtekst van de tariefmethodologie. Dit pro rata aandeel (afgerond op 2 decimalen) wordt aldus bepaald op basis van het aantal kalenderdagen dat de periodieke aardgasdistributienettarieven (afname) volgens elk van de tariefvoorstellen van kracht waren. Hierbij dient de distributienetbeheerder in een afzonderlijk verklarende nota de detailberekening van het pro rata aandeel van de endogene kosten per tariefcomponent op te geven, d.w.z. dat uit de detailberekening voor elke tariefcomponent duidelijk dient te zijn wat het aandeel van de endogene kosten in elk van de toepasselijke tariefvoorstellen was en hoeveel kalenderdagen de tarieven uit elk van de tariefvoorstellen in het betreffende boekjaar van kracht waren.</w:t>
      </w:r>
    </w:p>
    <w:p w14:paraId="17095E0C" w14:textId="0C45C90F" w:rsidR="00EE5CD7" w:rsidRPr="00B203C2" w:rsidRDefault="00EE5CD7" w:rsidP="00EE5CD7">
      <w:pPr>
        <w:rPr>
          <w:rFonts w:ascii="Calibri" w:hAnsi="Calibri"/>
        </w:rPr>
      </w:pPr>
      <w:r w:rsidRPr="00F27E0E">
        <w:rPr>
          <w:rFonts w:ascii="Calibri" w:hAnsi="Calibri"/>
        </w:rPr>
        <w:t xml:space="preserve">Vervolgens worden uit deze informatie de werkelijke opbrengsten voor endogene kosten m.b.t. de gereguleerde activiteit aardgas (afname) per tariefcomponent berekend, dewelke op hun beurt </w:t>
      </w:r>
      <w:r w:rsidRPr="00B203C2">
        <w:rPr>
          <w:rFonts w:ascii="Calibri" w:hAnsi="Calibri"/>
        </w:rPr>
        <w:t>voor het betreffende boekjaar, samen met de endogene opbrengsten m.b.t. injectie (cfr paragraaf</w:t>
      </w:r>
      <w:r w:rsidR="00F27E0E" w:rsidRPr="00B203C2">
        <w:rPr>
          <w:rFonts w:ascii="Calibri" w:hAnsi="Calibri"/>
        </w:rPr>
        <w:t xml:space="preserve"> </w:t>
      </w:r>
      <w:r w:rsidR="00F27E0E" w:rsidRPr="00B203C2">
        <w:rPr>
          <w:rFonts w:ascii="Calibri" w:hAnsi="Calibri"/>
        </w:rPr>
        <w:fldChar w:fldCharType="begin"/>
      </w:r>
      <w:r w:rsidR="00F27E0E" w:rsidRPr="00B203C2">
        <w:rPr>
          <w:rFonts w:ascii="Calibri" w:hAnsi="Calibri"/>
        </w:rPr>
        <w:instrText xml:space="preserve"> REF _Ref39140229 \r \h  \* MERGEFORMAT </w:instrText>
      </w:r>
      <w:r w:rsidR="00F27E0E" w:rsidRPr="00B203C2">
        <w:rPr>
          <w:rFonts w:ascii="Calibri" w:hAnsi="Calibri"/>
        </w:rPr>
      </w:r>
      <w:r w:rsidR="00F27E0E" w:rsidRPr="00B203C2">
        <w:rPr>
          <w:rFonts w:ascii="Calibri" w:hAnsi="Calibri"/>
        </w:rPr>
        <w:fldChar w:fldCharType="separate"/>
      </w:r>
      <w:r w:rsidR="00964FA9">
        <w:rPr>
          <w:rFonts w:ascii="Calibri" w:hAnsi="Calibri"/>
        </w:rPr>
        <w:t>1.2.1.12</w:t>
      </w:r>
      <w:r w:rsidR="00F27E0E" w:rsidRPr="00B203C2">
        <w:rPr>
          <w:rFonts w:ascii="Calibri" w:hAnsi="Calibri"/>
        </w:rPr>
        <w:fldChar w:fldCharType="end"/>
      </w:r>
      <w:r w:rsidRPr="00B203C2">
        <w:rPr>
          <w:rFonts w:ascii="Calibri" w:hAnsi="Calibri"/>
        </w:rPr>
        <w:t xml:space="preserve">), in ‘tabel 5A’ in rekening moeten worden genomen (uiteraard enkel indien het de rapportering voor de gereguleerde activiteit ‘aardgas’ betreft). </w:t>
      </w:r>
    </w:p>
    <w:p w14:paraId="5D69BE2F" w14:textId="48523E68" w:rsidR="00EE5CD7" w:rsidRPr="00B203C2" w:rsidRDefault="00EE5CD7" w:rsidP="00EE5CD7">
      <w:pPr>
        <w:rPr>
          <w:rFonts w:ascii="Calibri" w:hAnsi="Calibri"/>
        </w:rPr>
      </w:pPr>
      <w:r w:rsidRPr="00B203C2">
        <w:rPr>
          <w:rFonts w:ascii="Calibri" w:hAnsi="Calibri"/>
        </w:rPr>
        <w:t>Uiteraard kunnen uit deze tabel dan ook eenduidig de werkelijke opbrengsten m.b.t. de exogene kosten voor de gereguleerde activiteit aardgas (afname) worden afgeleid. Deze dienen als basis voor de bepaling van het regulatoir saldo inzake exogene kosten in ‘tabel 3’ (</w:t>
      </w:r>
      <w:r w:rsidR="00F27E0E" w:rsidRPr="00B203C2">
        <w:rPr>
          <w:rFonts w:ascii="Calibri" w:hAnsi="Calibri"/>
        </w:rPr>
        <w:t xml:space="preserve">cfr paragraaf </w:t>
      </w:r>
      <w:r w:rsidR="00F27E0E" w:rsidRPr="00B203C2">
        <w:rPr>
          <w:rFonts w:ascii="Calibri" w:hAnsi="Calibri"/>
        </w:rPr>
        <w:fldChar w:fldCharType="begin"/>
      </w:r>
      <w:r w:rsidR="00F27E0E" w:rsidRPr="00B203C2">
        <w:rPr>
          <w:rFonts w:ascii="Calibri" w:hAnsi="Calibri"/>
        </w:rPr>
        <w:instrText xml:space="preserve"> REF _Ref39138140 \r \h  \* MERGEFORMAT </w:instrText>
      </w:r>
      <w:r w:rsidR="00F27E0E" w:rsidRPr="00B203C2">
        <w:rPr>
          <w:rFonts w:ascii="Calibri" w:hAnsi="Calibri"/>
        </w:rPr>
      </w:r>
      <w:r w:rsidR="00F27E0E" w:rsidRPr="00B203C2">
        <w:rPr>
          <w:rFonts w:ascii="Calibri" w:hAnsi="Calibri"/>
        </w:rPr>
        <w:fldChar w:fldCharType="separate"/>
      </w:r>
      <w:r w:rsidR="00964FA9">
        <w:rPr>
          <w:rFonts w:ascii="Calibri" w:hAnsi="Calibri"/>
        </w:rPr>
        <w:t>1.2.1.4</w:t>
      </w:r>
      <w:r w:rsidR="00F27E0E" w:rsidRPr="00B203C2">
        <w:rPr>
          <w:rFonts w:ascii="Calibri" w:hAnsi="Calibri"/>
        </w:rPr>
        <w:fldChar w:fldCharType="end"/>
      </w:r>
      <w:r w:rsidRPr="00B203C2">
        <w:rPr>
          <w:rFonts w:ascii="Calibri" w:hAnsi="Calibri"/>
        </w:rPr>
        <w:t>), dewelke automatisch in ‘tabel 3’ in rekening worden genomen indien het de ex-post rapportering over de gereguleerde activiteit ‘aardgas’ omvat.</w:t>
      </w:r>
    </w:p>
    <w:p w14:paraId="2E795792" w14:textId="00215475" w:rsidR="001F4870" w:rsidRPr="00B203C2" w:rsidRDefault="001F4870" w:rsidP="00EE5CD7">
      <w:pPr>
        <w:rPr>
          <w:rFonts w:ascii="Calibri" w:hAnsi="Calibri"/>
        </w:rPr>
      </w:pPr>
      <w:r w:rsidRPr="00B203C2">
        <w:rPr>
          <w:rFonts w:ascii="Calibri" w:hAnsi="Calibri"/>
        </w:rPr>
        <w:t>Ten laatste merkt de VREG op dat hier ook de werkelijke opbrengsten m.b.t. de aan een andere distributienetbeheerder (via doorvoer) aangerekende tarieven worden begrepen.</w:t>
      </w:r>
    </w:p>
    <w:p w14:paraId="3CB20A62" w14:textId="674919DB" w:rsidR="00EE5CD7" w:rsidRPr="00B203C2" w:rsidRDefault="00EE5CD7" w:rsidP="00EE5CD7">
      <w:pPr>
        <w:pStyle w:val="Kop4"/>
      </w:pPr>
      <w:bookmarkStart w:id="98" w:name="_Ref39043428"/>
      <w:bookmarkStart w:id="99" w:name="_Ref39140229"/>
      <w:bookmarkStart w:id="100" w:name="_Toc81512470"/>
      <w:r w:rsidRPr="00B203C2">
        <w:t>TABEL 5F: Werkelijke opbrengsten uit periodieke distributienettarieven in boekjaar 20</w:t>
      </w:r>
      <w:r w:rsidR="00B203C2" w:rsidRPr="00B203C2">
        <w:t>XX</w:t>
      </w:r>
      <w:r w:rsidRPr="00B203C2">
        <w:t xml:space="preserve"> (gas - injectie)</w:t>
      </w:r>
      <w:bookmarkEnd w:id="98"/>
      <w:bookmarkEnd w:id="99"/>
      <w:bookmarkEnd w:id="100"/>
    </w:p>
    <w:p w14:paraId="15452E5E" w14:textId="5E46DCB6" w:rsidR="00EE5CD7" w:rsidRPr="00B203C2" w:rsidRDefault="00EE5CD7" w:rsidP="00EE5CD7">
      <w:pPr>
        <w:rPr>
          <w:rFonts w:ascii="Calibri" w:hAnsi="Calibri"/>
        </w:rPr>
      </w:pPr>
      <w:r w:rsidRPr="00B203C2">
        <w:rPr>
          <w:rFonts w:ascii="Calibri" w:hAnsi="Calibri"/>
        </w:rPr>
        <w:t>Teneinde de werkelijke opbrengsten voor zowel de exogene als de endogene kosten voor boekjaar 20</w:t>
      </w:r>
      <w:r w:rsidR="00F27E0E" w:rsidRPr="00B203C2">
        <w:rPr>
          <w:rFonts w:ascii="Calibri" w:hAnsi="Calibri"/>
        </w:rPr>
        <w:t>XX</w:t>
      </w:r>
      <w:r w:rsidRPr="00B203C2">
        <w:rPr>
          <w:rFonts w:ascii="Calibri" w:hAnsi="Calibri"/>
          <w:i/>
        </w:rPr>
        <w:t xml:space="preserve"> </w:t>
      </w:r>
      <w:r w:rsidRPr="00B203C2">
        <w:rPr>
          <w:rFonts w:ascii="Calibri" w:hAnsi="Calibri"/>
        </w:rPr>
        <w:t xml:space="preserve">correct te bepalen, worden in deze tabel de totale werkelijke opbrengsten voor de gereguleerde activiteit gas (injectie) opgevraagd en dit per tariefcomponent. </w:t>
      </w:r>
    </w:p>
    <w:p w14:paraId="1A107AAE" w14:textId="6DC4B805" w:rsidR="00EE5CD7" w:rsidRPr="00B203C2" w:rsidRDefault="00EE5CD7" w:rsidP="00EE5CD7">
      <w:pPr>
        <w:rPr>
          <w:rFonts w:ascii="Calibri" w:hAnsi="Calibri"/>
        </w:rPr>
      </w:pPr>
      <w:r w:rsidRPr="00B203C2">
        <w:rPr>
          <w:rFonts w:ascii="Calibri" w:hAnsi="Calibri"/>
        </w:rPr>
        <w:t xml:space="preserve">Vervolgens moet per tariefcomponent het relatief aandeel voor de endogene kosten in de totale werkelijke opbrengsten voor de gereguleerde activiteit aardgas (injectie) worden gerapporteerd (afgerond op 2 decimalen). Dit aandeel kan eenduidig worden afgeleid uit </w:t>
      </w:r>
      <w:r w:rsidR="008242C2">
        <w:rPr>
          <w:rFonts w:ascii="Calibri" w:hAnsi="Calibri"/>
        </w:rPr>
        <w:t xml:space="preserve">tabel ‘T5’ </w:t>
      </w:r>
      <w:r w:rsidRPr="00B203C2">
        <w:rPr>
          <w:rFonts w:ascii="Calibri" w:hAnsi="Calibri"/>
        </w:rPr>
        <w:t xml:space="preserve">van het rapporteringsmodel ‘tariefvoorstel’ (cfr </w:t>
      </w:r>
      <w:r w:rsidR="00C43927" w:rsidRPr="00F27E0E">
        <w:rPr>
          <w:rFonts w:ascii="Calibri" w:hAnsi="Calibri"/>
        </w:rPr>
        <w:t>paragraaf</w:t>
      </w:r>
      <w:r w:rsidR="00C43927">
        <w:rPr>
          <w:rFonts w:ascii="Calibri" w:hAnsi="Calibri"/>
        </w:rPr>
        <w:t xml:space="preserve"> </w:t>
      </w:r>
      <w:r w:rsidR="00C43927">
        <w:rPr>
          <w:rFonts w:ascii="Calibri" w:hAnsi="Calibri"/>
        </w:rPr>
        <w:fldChar w:fldCharType="begin"/>
      </w:r>
      <w:r w:rsidR="00C43927">
        <w:rPr>
          <w:rFonts w:ascii="Calibri" w:hAnsi="Calibri"/>
        </w:rPr>
        <w:instrText xml:space="preserve"> REF _Ref43983476 \r \h </w:instrText>
      </w:r>
      <w:r w:rsidR="00C43927">
        <w:rPr>
          <w:rFonts w:ascii="Calibri" w:hAnsi="Calibri"/>
        </w:rPr>
      </w:r>
      <w:r w:rsidR="00C43927">
        <w:rPr>
          <w:rFonts w:ascii="Calibri" w:hAnsi="Calibri"/>
        </w:rPr>
        <w:fldChar w:fldCharType="separate"/>
      </w:r>
      <w:r w:rsidR="00964FA9">
        <w:rPr>
          <w:rFonts w:ascii="Calibri" w:hAnsi="Calibri"/>
        </w:rPr>
        <w:t>2.2.1.11</w:t>
      </w:r>
      <w:r w:rsidR="00C43927">
        <w:rPr>
          <w:rFonts w:ascii="Calibri" w:hAnsi="Calibri"/>
        </w:rPr>
        <w:fldChar w:fldCharType="end"/>
      </w:r>
      <w:r w:rsidRPr="00B203C2">
        <w:rPr>
          <w:rFonts w:ascii="Calibri" w:hAnsi="Calibri"/>
        </w:rPr>
        <w:t xml:space="preserve">), dewelke dient te worden </w:t>
      </w:r>
      <w:r w:rsidRPr="00B203C2">
        <w:rPr>
          <w:rFonts w:ascii="Calibri" w:hAnsi="Calibri"/>
        </w:rPr>
        <w:lastRenderedPageBreak/>
        <w:t xml:space="preserve">gerapporteerd vóór de ex-post rapportering m.b.t. de exogene kosten. Dit betekent dus dat het aandeel in deze tabel dient overeen te komen met het aandeel van de endogene kosten in iedere tariefcomponent, zoals dit in </w:t>
      </w:r>
      <w:r w:rsidR="00052ECD">
        <w:rPr>
          <w:rFonts w:ascii="Calibri" w:hAnsi="Calibri"/>
        </w:rPr>
        <w:t>tabel ‘T5’</w:t>
      </w:r>
      <w:r w:rsidRPr="00B203C2">
        <w:rPr>
          <w:rFonts w:ascii="Calibri" w:hAnsi="Calibri"/>
        </w:rPr>
        <w:t xml:space="preserve"> van het rapporteringsmodel ‘tariefvoorstel’ voor boekjaar 20</w:t>
      </w:r>
      <w:r w:rsidR="00B203C2" w:rsidRPr="00B203C2">
        <w:rPr>
          <w:rFonts w:ascii="Calibri" w:hAnsi="Calibri"/>
        </w:rPr>
        <w:t>XX</w:t>
      </w:r>
      <w:r w:rsidRPr="00B203C2">
        <w:rPr>
          <w:rFonts w:ascii="Calibri" w:hAnsi="Calibri"/>
          <w:i/>
        </w:rPr>
        <w:t xml:space="preserve"> </w:t>
      </w:r>
      <w:r w:rsidRPr="00B203C2">
        <w:rPr>
          <w:rFonts w:ascii="Calibri" w:hAnsi="Calibri"/>
        </w:rPr>
        <w:t xml:space="preserve">kan teruggevonden worden. </w:t>
      </w:r>
    </w:p>
    <w:p w14:paraId="053F3756" w14:textId="77777777" w:rsidR="00EE5CD7" w:rsidRPr="00B203C2" w:rsidRDefault="00EE5CD7" w:rsidP="00EE5CD7">
      <w:pPr>
        <w:rPr>
          <w:rFonts w:ascii="Calibri" w:hAnsi="Calibri"/>
        </w:rPr>
      </w:pPr>
      <w:r w:rsidRPr="00B203C2">
        <w:rPr>
          <w:rFonts w:ascii="Calibri" w:hAnsi="Calibri"/>
        </w:rPr>
        <w:t>Indien in een boekjaar periodieke aardgasdistributienettarieven (injectie) van meer dan één tariefvoorstel worden toegepast, zal per tariefcomponent het relatief aandeel van de endogene kosten voor dat boekjaar worden bepaald op basis van het pro rata aandeel van de endogene kosten (afgerond op 2 decimalen), conform de methodiek zoals beschreven in paragraaf 5.6.6 van de hoofdtekst van de tariefmethodologie. Dit pro rata aandeel (afgerond op 2 decimalen) wordt aldus bepaald op basis van het aantal kalenderdagen dat de periodieke aardgasdistributienettarieven (injectie) volgens elk van de tariefvoorstellen van kracht waren. Hierbij dient de distributienetbeheerder in een afzonderlijk verklarende nota de detailberekening van het pro rata aandeel van de endogene kosten per tariefcomponent op te geven, d.w.z. dat uit de detailberekening voor elke tariefcomponent duidelijk dient te zijn wat het aandeel van de endogene kosten in elk van de toepasselijke tariefvoorstellen was en hoeveel kalenderdagen de tarieven uit elk van de tariefvoorstellen in het betreffende boekjaar van kracht waren.</w:t>
      </w:r>
    </w:p>
    <w:p w14:paraId="653A94B7" w14:textId="2A88A435" w:rsidR="00EE5CD7" w:rsidRPr="00B203C2" w:rsidRDefault="00EE5CD7" w:rsidP="00EE5CD7">
      <w:pPr>
        <w:rPr>
          <w:rFonts w:ascii="Calibri" w:hAnsi="Calibri"/>
        </w:rPr>
      </w:pPr>
      <w:r w:rsidRPr="00B203C2">
        <w:rPr>
          <w:rFonts w:ascii="Calibri" w:hAnsi="Calibri"/>
        </w:rPr>
        <w:t>Vervolgens worden uit deze informatie de werkelijke opbrengsten voor endogene kosten m.b.t. de gereguleerde activiteit aardgas (injectie) per tariefcomponent berekend, dewelke op hun beurt voor het betreffende boekjaar, samen met de endogene opbrengsten m.b.t. afname (cfr paragraaf</w:t>
      </w:r>
      <w:r w:rsidR="00B203C2" w:rsidRPr="00B203C2">
        <w:rPr>
          <w:rFonts w:ascii="Calibri" w:hAnsi="Calibri"/>
        </w:rPr>
        <w:t xml:space="preserve"> </w:t>
      </w:r>
      <w:r w:rsidR="00B203C2" w:rsidRPr="00B203C2">
        <w:rPr>
          <w:rFonts w:ascii="Calibri" w:hAnsi="Calibri"/>
        </w:rPr>
        <w:fldChar w:fldCharType="begin"/>
      </w:r>
      <w:r w:rsidR="00B203C2" w:rsidRPr="00B203C2">
        <w:rPr>
          <w:rFonts w:ascii="Calibri" w:hAnsi="Calibri"/>
        </w:rPr>
        <w:instrText xml:space="preserve"> REF _Ref39140556 \r \h </w:instrText>
      </w:r>
      <w:r w:rsidR="00B203C2">
        <w:rPr>
          <w:rFonts w:ascii="Calibri" w:hAnsi="Calibri"/>
        </w:rPr>
        <w:instrText xml:space="preserve"> \* MERGEFORMAT </w:instrText>
      </w:r>
      <w:r w:rsidR="00B203C2" w:rsidRPr="00B203C2">
        <w:rPr>
          <w:rFonts w:ascii="Calibri" w:hAnsi="Calibri"/>
        </w:rPr>
      </w:r>
      <w:r w:rsidR="00B203C2" w:rsidRPr="00B203C2">
        <w:rPr>
          <w:rFonts w:ascii="Calibri" w:hAnsi="Calibri"/>
        </w:rPr>
        <w:fldChar w:fldCharType="separate"/>
      </w:r>
      <w:r w:rsidR="00964FA9">
        <w:rPr>
          <w:rFonts w:ascii="Calibri" w:hAnsi="Calibri"/>
        </w:rPr>
        <w:t>1.2.1.11</w:t>
      </w:r>
      <w:r w:rsidR="00B203C2" w:rsidRPr="00B203C2">
        <w:rPr>
          <w:rFonts w:ascii="Calibri" w:hAnsi="Calibri"/>
        </w:rPr>
        <w:fldChar w:fldCharType="end"/>
      </w:r>
      <w:r w:rsidRPr="00B203C2">
        <w:rPr>
          <w:rFonts w:ascii="Calibri" w:hAnsi="Calibri"/>
        </w:rPr>
        <w:t xml:space="preserve">), in ‘tabel 5A’ in rekening moeten worden genomen (uiteraard enkel indien het de rapportering voor de gereguleerde activiteit ‘aardgas’ betreft). </w:t>
      </w:r>
    </w:p>
    <w:p w14:paraId="13680C58" w14:textId="2614FBD2" w:rsidR="00EE5CD7" w:rsidRPr="005B78F6" w:rsidRDefault="00EE5CD7" w:rsidP="00EE5CD7">
      <w:pPr>
        <w:rPr>
          <w:rFonts w:ascii="Calibri" w:hAnsi="Calibri"/>
        </w:rPr>
      </w:pPr>
      <w:r w:rsidRPr="00B203C2">
        <w:rPr>
          <w:rFonts w:ascii="Calibri" w:hAnsi="Calibri"/>
        </w:rPr>
        <w:t xml:space="preserve">Uiteraard kunnen uit deze tabel dan ook eenduidig de werkelijke opbrengsten m.b.t. de exogene kosten voor de gereguleerde activiteit aardgas (injectie) worden afgeleid. Deze dienen als basis </w:t>
      </w:r>
      <w:r w:rsidRPr="00926E25">
        <w:rPr>
          <w:rFonts w:ascii="Calibri" w:hAnsi="Calibri"/>
        </w:rPr>
        <w:t>voor de bepaling van het regulatoir saldo inzake exogene kosten in ‘tabel 3’ (</w:t>
      </w:r>
      <w:r w:rsidR="00B203C2" w:rsidRPr="00926E25">
        <w:rPr>
          <w:rFonts w:ascii="Calibri" w:hAnsi="Calibri"/>
        </w:rPr>
        <w:t xml:space="preserve">cfr paragraaf </w:t>
      </w:r>
      <w:r w:rsidR="00B203C2" w:rsidRPr="00926E25">
        <w:rPr>
          <w:rFonts w:ascii="Calibri" w:hAnsi="Calibri"/>
        </w:rPr>
        <w:fldChar w:fldCharType="begin"/>
      </w:r>
      <w:r w:rsidR="00B203C2" w:rsidRPr="00926E25">
        <w:rPr>
          <w:rFonts w:ascii="Calibri" w:hAnsi="Calibri"/>
        </w:rPr>
        <w:instrText xml:space="preserve"> REF _Ref39138140 \r \h  \* MERGEFORMAT </w:instrText>
      </w:r>
      <w:r w:rsidR="00B203C2" w:rsidRPr="00926E25">
        <w:rPr>
          <w:rFonts w:ascii="Calibri" w:hAnsi="Calibri"/>
        </w:rPr>
      </w:r>
      <w:r w:rsidR="00B203C2" w:rsidRPr="00926E25">
        <w:rPr>
          <w:rFonts w:ascii="Calibri" w:hAnsi="Calibri"/>
        </w:rPr>
        <w:fldChar w:fldCharType="separate"/>
      </w:r>
      <w:r w:rsidR="00964FA9">
        <w:rPr>
          <w:rFonts w:ascii="Calibri" w:hAnsi="Calibri"/>
        </w:rPr>
        <w:t>1.2.1.4</w:t>
      </w:r>
      <w:r w:rsidR="00B203C2" w:rsidRPr="00926E25">
        <w:rPr>
          <w:rFonts w:ascii="Calibri" w:hAnsi="Calibri"/>
        </w:rPr>
        <w:fldChar w:fldCharType="end"/>
      </w:r>
      <w:r w:rsidRPr="00926E25">
        <w:rPr>
          <w:rFonts w:ascii="Calibri" w:hAnsi="Calibri"/>
        </w:rPr>
        <w:t xml:space="preserve">), dewelke automatisch in ‘tabel 3’ in rekening worden genomen indien het de ex-post rapportering over de </w:t>
      </w:r>
      <w:r w:rsidRPr="005B78F6">
        <w:rPr>
          <w:rFonts w:ascii="Calibri" w:hAnsi="Calibri"/>
        </w:rPr>
        <w:t>gereguleerde activiteit ‘aardgas’ omvat.</w:t>
      </w:r>
    </w:p>
    <w:p w14:paraId="19AE59F9" w14:textId="77777777" w:rsidR="00EE5CD7" w:rsidRPr="005B78F6" w:rsidRDefault="00EE5CD7" w:rsidP="00EE5CD7">
      <w:pPr>
        <w:pStyle w:val="Kop4"/>
      </w:pPr>
      <w:bookmarkStart w:id="101" w:name="_Toc81512471"/>
      <w:r w:rsidRPr="005B78F6">
        <w:t>TABEL 6A: Opvolging regulatoir saldo inzake herindexering van het budget voor endogene kosten</w:t>
      </w:r>
      <w:bookmarkEnd w:id="101"/>
    </w:p>
    <w:p w14:paraId="50BE5C4E" w14:textId="77777777" w:rsidR="00EE5CD7" w:rsidRPr="005B78F6" w:rsidRDefault="00EE5CD7" w:rsidP="00EE5CD7">
      <w:pPr>
        <w:rPr>
          <w:rFonts w:ascii="Calibri" w:hAnsi="Calibri"/>
        </w:rPr>
      </w:pPr>
      <w:r w:rsidRPr="005B78F6">
        <w:rPr>
          <w:rFonts w:ascii="Calibri" w:hAnsi="Calibri"/>
        </w:rPr>
        <w:t>Deze tabel laat een jaarlijkse opvolging toe van de saldi inzake de herindexering van het budget voor endogene kosten. De tabel toont finaal enerzijds de saldi voor de herindexering van het budget endogene kosten zoals ze door de VREG werden goedgekeurd en anderzijds de saldi die door de distributienetbeheerder werden ingeboekt.</w:t>
      </w:r>
    </w:p>
    <w:p w14:paraId="2AA2709C" w14:textId="76C4D94F" w:rsidR="00EE5CD7" w:rsidRPr="005B78F6" w:rsidRDefault="00EE5CD7" w:rsidP="00EE5CD7">
      <w:pPr>
        <w:rPr>
          <w:rFonts w:ascii="Calibri" w:hAnsi="Calibri"/>
        </w:rPr>
      </w:pPr>
      <w:r w:rsidRPr="005B78F6">
        <w:rPr>
          <w:rFonts w:ascii="Calibri" w:hAnsi="Calibri"/>
        </w:rPr>
        <w:t xml:space="preserve">Teneinde het regulatoir saldo op een correcte manier te bepalen, wordt vooreerst per tariefcomponent het budget endogene kosten voor het betrekkende boekjaar </w:t>
      </w:r>
      <w:r w:rsidR="003C3DE4">
        <w:rPr>
          <w:rFonts w:ascii="Calibri" w:hAnsi="Calibri"/>
        </w:rPr>
        <w:t xml:space="preserve">en de voorgaande boekjaren </w:t>
      </w:r>
      <w:r w:rsidRPr="005B78F6">
        <w:rPr>
          <w:rFonts w:ascii="Calibri" w:hAnsi="Calibri"/>
        </w:rPr>
        <w:t xml:space="preserve">beschouwd. Met het budget endogene kosten wordt het toegelaten inkomen inzake endogene kosten voor het betreffende boekjaar bedoeld zoals dit in </w:t>
      </w:r>
      <w:r w:rsidR="005A3B01">
        <w:rPr>
          <w:rFonts w:ascii="Calibri" w:hAnsi="Calibri"/>
        </w:rPr>
        <w:t>tabel ‘T1’</w:t>
      </w:r>
      <w:r w:rsidRPr="005B78F6">
        <w:rPr>
          <w:rFonts w:ascii="Calibri" w:hAnsi="Calibri"/>
        </w:rPr>
        <w:t xml:space="preserve"> (voor de gereguleerde activiteit ‘elektriciteit’) of </w:t>
      </w:r>
      <w:r w:rsidR="005A3B01">
        <w:rPr>
          <w:rFonts w:ascii="Calibri" w:hAnsi="Calibri"/>
        </w:rPr>
        <w:t>tabel ‘T5’</w:t>
      </w:r>
      <w:r w:rsidRPr="005B78F6">
        <w:rPr>
          <w:rFonts w:ascii="Calibri" w:hAnsi="Calibri"/>
        </w:rPr>
        <w:t xml:space="preserve"> (voor de gereguleerde activiteit ‘gas’) van het rapporteringsmodel ‘tariefvoorstel’ aan elke tariefcomponent werd toegewezen. Een distributienetbeheerder is in zijn tariefvoorstel immers in de mogelijkheid een endogeen budget op te nemen dat lager is dan zijn door de VREG toegelaten inkomen inzake endogene kosten voor het betreffende boekjaar. </w:t>
      </w:r>
      <w:r w:rsidR="003061A0">
        <w:rPr>
          <w:rFonts w:ascii="Calibri" w:hAnsi="Calibri"/>
        </w:rPr>
        <w:t xml:space="preserve">[Voor het boekjaar 2022 rapporteert de elektriciteitsdistributienetbeheerder de budgetindeling per tariefcomponent conform zijn </w:t>
      </w:r>
      <w:r w:rsidR="003061A0">
        <w:rPr>
          <w:rFonts w:ascii="Calibri" w:hAnsi="Calibri"/>
        </w:rPr>
        <w:lastRenderedPageBreak/>
        <w:t xml:space="preserve">tariefvoorstel </w:t>
      </w:r>
      <w:r w:rsidR="00340394">
        <w:rPr>
          <w:rFonts w:ascii="Calibri" w:hAnsi="Calibri"/>
        </w:rPr>
        <w:t>voor 2022H2</w:t>
      </w:r>
      <w:r w:rsidR="003061A0">
        <w:rPr>
          <w:rFonts w:ascii="Calibri" w:hAnsi="Calibri"/>
        </w:rPr>
        <w:t xml:space="preserve">, dus ongeacht dat voor </w:t>
      </w:r>
      <w:r w:rsidR="00340394">
        <w:rPr>
          <w:rFonts w:ascii="Calibri" w:hAnsi="Calibri"/>
        </w:rPr>
        <w:t>2022H1</w:t>
      </w:r>
      <w:r w:rsidR="003061A0">
        <w:rPr>
          <w:rFonts w:ascii="Calibri" w:hAnsi="Calibri"/>
        </w:rPr>
        <w:t xml:space="preserve"> nog een tariefvoorstel volgens de voormalige tariefstructuur werd opgemaakt.]</w:t>
      </w:r>
      <w:r w:rsidR="003061A0">
        <w:rPr>
          <w:rStyle w:val="Voetnootmarkering"/>
          <w:rFonts w:ascii="Calibri" w:hAnsi="Calibri"/>
        </w:rPr>
        <w:footnoteReference w:id="20"/>
      </w:r>
    </w:p>
    <w:p w14:paraId="2994CF10" w14:textId="6B1BF403" w:rsidR="002259E8" w:rsidRPr="005B78F6" w:rsidRDefault="002259E8" w:rsidP="002259E8">
      <w:pPr>
        <w:rPr>
          <w:rFonts w:ascii="Calibri" w:hAnsi="Calibri"/>
        </w:rPr>
      </w:pPr>
      <w:r w:rsidRPr="005B78F6">
        <w:rPr>
          <w:rFonts w:ascii="Calibri" w:hAnsi="Calibri"/>
        </w:rPr>
        <w:t xml:space="preserve">Merk hierbij op dat t.g.v. de invoering van de nieuwe tariefstructuur vanaf 2022 voor de gereguleerde activiteit ‘elektriciteit’ zowel </w:t>
      </w:r>
      <w:r w:rsidR="004B4E7B">
        <w:rPr>
          <w:rFonts w:ascii="Calibri" w:hAnsi="Calibri"/>
        </w:rPr>
        <w:t xml:space="preserve">nog </w:t>
      </w:r>
      <w:r w:rsidRPr="005B78F6">
        <w:rPr>
          <w:rFonts w:ascii="Calibri" w:hAnsi="Calibri"/>
        </w:rPr>
        <w:t>de oude als nieuwe tariefcomponenten in deze tabel zijn opgenomen. We geven hieronder een toelichting per specifieke tariefcomponent en per gereguleerde activiteit:</w:t>
      </w:r>
    </w:p>
    <w:p w14:paraId="4CD86AB5" w14:textId="77777777" w:rsidR="002259E8" w:rsidRPr="005B78F6" w:rsidRDefault="002259E8" w:rsidP="002259E8">
      <w:pPr>
        <w:pStyle w:val="Lijstalinea"/>
        <w:numPr>
          <w:ilvl w:val="0"/>
          <w:numId w:val="25"/>
        </w:numPr>
        <w:rPr>
          <w:rFonts w:ascii="Calibri" w:hAnsi="Calibri"/>
        </w:rPr>
      </w:pPr>
      <w:r w:rsidRPr="005B78F6">
        <w:rPr>
          <w:rFonts w:ascii="Calibri" w:hAnsi="Calibri"/>
        </w:rPr>
        <w:t>Het basistarief voor het gebruik van het net</w:t>
      </w:r>
    </w:p>
    <w:p w14:paraId="2582900D" w14:textId="4AEF62CD" w:rsidR="002259E8" w:rsidRPr="005B78F6" w:rsidRDefault="002259E8" w:rsidP="002259E8">
      <w:pPr>
        <w:pStyle w:val="Lijstalinea"/>
        <w:numPr>
          <w:ilvl w:val="1"/>
          <w:numId w:val="25"/>
        </w:numPr>
        <w:rPr>
          <w:rFonts w:ascii="Calibri" w:hAnsi="Calibri"/>
        </w:rPr>
      </w:pPr>
      <w:r w:rsidRPr="005B78F6">
        <w:rPr>
          <w:rFonts w:ascii="Calibri" w:hAnsi="Calibri"/>
        </w:rPr>
        <w:t xml:space="preserve">Voor de gereguleerde activiteit ‘elektriciteit’ dient voor deze tariefcomponent </w:t>
      </w:r>
      <w:bookmarkStart w:id="102" w:name="_Hlk39566197"/>
      <w:r w:rsidRPr="005B78F6">
        <w:rPr>
          <w:rFonts w:ascii="Calibri" w:hAnsi="Calibri"/>
        </w:rPr>
        <w:t>het betreffende budget</w:t>
      </w:r>
      <w:bookmarkEnd w:id="102"/>
      <w:r w:rsidRPr="005B78F6">
        <w:rPr>
          <w:rFonts w:ascii="Calibri" w:hAnsi="Calibri"/>
        </w:rPr>
        <w:t xml:space="preserve"> voor de periode 201</w:t>
      </w:r>
      <w:r w:rsidR="00FA6B89" w:rsidRPr="005B78F6">
        <w:rPr>
          <w:rFonts w:ascii="Calibri" w:hAnsi="Calibri"/>
        </w:rPr>
        <w:t>7</w:t>
      </w:r>
      <w:r w:rsidRPr="005B78F6">
        <w:rPr>
          <w:rFonts w:ascii="Calibri" w:hAnsi="Calibri"/>
        </w:rPr>
        <w:t>-2021 te worden gerapporteerd. Onder de nieuwe tariefstructuur (vanaf 2022) is deze tariefcomponent vervat in het tarief netgebruik;</w:t>
      </w:r>
    </w:p>
    <w:p w14:paraId="1CDD0496" w14:textId="1E96A561" w:rsidR="002259E8" w:rsidRPr="005B78F6" w:rsidRDefault="002259E8" w:rsidP="002259E8">
      <w:pPr>
        <w:pStyle w:val="Lijstalinea"/>
        <w:numPr>
          <w:ilvl w:val="1"/>
          <w:numId w:val="25"/>
        </w:numPr>
        <w:rPr>
          <w:rFonts w:ascii="Calibri" w:hAnsi="Calibri"/>
        </w:rPr>
      </w:pPr>
      <w:r w:rsidRPr="005B78F6">
        <w:rPr>
          <w:rFonts w:ascii="Calibri" w:hAnsi="Calibri"/>
        </w:rPr>
        <w:t>Voor de gereguleerde activiteit ‘aardgas’ kan voor elk jaar in de periode 201</w:t>
      </w:r>
      <w:r w:rsidR="00FA6B89" w:rsidRPr="005B78F6">
        <w:rPr>
          <w:rFonts w:ascii="Calibri" w:hAnsi="Calibri"/>
        </w:rPr>
        <w:t>7</w:t>
      </w:r>
      <w:r w:rsidRPr="005B78F6">
        <w:rPr>
          <w:rFonts w:ascii="Calibri" w:hAnsi="Calibri"/>
        </w:rPr>
        <w:t>-2024 het betreffende budget worden gerapporteerd.</w:t>
      </w:r>
    </w:p>
    <w:p w14:paraId="6605BB5E" w14:textId="77777777" w:rsidR="002259E8" w:rsidRPr="005B78F6" w:rsidRDefault="002259E8" w:rsidP="002259E8">
      <w:pPr>
        <w:pStyle w:val="Lijstalinea"/>
        <w:numPr>
          <w:ilvl w:val="0"/>
          <w:numId w:val="25"/>
        </w:numPr>
        <w:rPr>
          <w:rFonts w:ascii="Calibri" w:hAnsi="Calibri"/>
        </w:rPr>
      </w:pPr>
      <w:r w:rsidRPr="005B78F6">
        <w:rPr>
          <w:rFonts w:ascii="Calibri" w:hAnsi="Calibri"/>
        </w:rPr>
        <w:t>Het tarief netgebruik</w:t>
      </w:r>
    </w:p>
    <w:p w14:paraId="04F1ECEE" w14:textId="16CDBE33" w:rsidR="002259E8" w:rsidRPr="005B78F6" w:rsidRDefault="002259E8" w:rsidP="002259E8">
      <w:pPr>
        <w:pStyle w:val="Lijstalinea"/>
        <w:numPr>
          <w:ilvl w:val="1"/>
          <w:numId w:val="25"/>
        </w:numPr>
        <w:rPr>
          <w:rFonts w:ascii="Calibri" w:hAnsi="Calibri"/>
        </w:rPr>
      </w:pPr>
      <w:r w:rsidRPr="005B78F6">
        <w:rPr>
          <w:rFonts w:ascii="Calibri" w:hAnsi="Calibri"/>
        </w:rPr>
        <w:t xml:space="preserve">Deze tariefcomponent ontstaat bij invoering van de nieuwe tariefstructuur (vanaf 2022) voor de gereguleerde activiteit ‘elektriciteit’. Voor deze tariefcomponent </w:t>
      </w:r>
      <w:r w:rsidR="005018D0" w:rsidRPr="005B78F6">
        <w:rPr>
          <w:rFonts w:ascii="Calibri" w:hAnsi="Calibri"/>
        </w:rPr>
        <w:t>kan</w:t>
      </w:r>
      <w:r w:rsidRPr="005B78F6">
        <w:rPr>
          <w:rFonts w:ascii="Calibri" w:hAnsi="Calibri"/>
        </w:rPr>
        <w:t xml:space="preserve"> bijgevolg enkel voor de gereguleerde activiteit ‘elektriciteit’ </w:t>
      </w:r>
      <w:r w:rsidR="005018D0" w:rsidRPr="005B78F6">
        <w:rPr>
          <w:rFonts w:ascii="Calibri" w:hAnsi="Calibri"/>
        </w:rPr>
        <w:t>het betreffende budget</w:t>
      </w:r>
      <w:r w:rsidRPr="005B78F6">
        <w:rPr>
          <w:rFonts w:ascii="Calibri" w:hAnsi="Calibri"/>
        </w:rPr>
        <w:t xml:space="preserve"> worden gerapporteerd en dit voor de periode 2022-2024.</w:t>
      </w:r>
    </w:p>
    <w:p w14:paraId="501B0987" w14:textId="77777777" w:rsidR="002259E8" w:rsidRPr="005B78F6" w:rsidRDefault="002259E8" w:rsidP="002259E8">
      <w:pPr>
        <w:pStyle w:val="Lijstalinea"/>
        <w:numPr>
          <w:ilvl w:val="0"/>
          <w:numId w:val="25"/>
        </w:numPr>
        <w:rPr>
          <w:rFonts w:ascii="Calibri" w:hAnsi="Calibri"/>
        </w:rPr>
      </w:pPr>
      <w:r w:rsidRPr="005B78F6">
        <w:rPr>
          <w:rFonts w:ascii="Calibri" w:hAnsi="Calibri"/>
        </w:rPr>
        <w:t>Het tarief voor het systeembeheer</w:t>
      </w:r>
    </w:p>
    <w:p w14:paraId="38495A2F" w14:textId="56BA0F64" w:rsidR="002259E8" w:rsidRPr="005B78F6" w:rsidRDefault="002259E8" w:rsidP="002259E8">
      <w:pPr>
        <w:pStyle w:val="Lijstalinea"/>
        <w:numPr>
          <w:ilvl w:val="1"/>
          <w:numId w:val="25"/>
        </w:numPr>
        <w:rPr>
          <w:rFonts w:ascii="Calibri" w:hAnsi="Calibri"/>
        </w:rPr>
      </w:pPr>
      <w:r w:rsidRPr="005B78F6">
        <w:rPr>
          <w:rFonts w:ascii="Calibri" w:hAnsi="Calibri"/>
        </w:rPr>
        <w:t>Voor de gereguleerde activiteit ‘elektriciteit’ dien</w:t>
      </w:r>
      <w:r w:rsidR="005018D0" w:rsidRPr="005B78F6">
        <w:rPr>
          <w:rFonts w:ascii="Calibri" w:hAnsi="Calibri"/>
        </w:rPr>
        <w:t>t</w:t>
      </w:r>
      <w:r w:rsidRPr="005B78F6">
        <w:rPr>
          <w:rFonts w:ascii="Calibri" w:hAnsi="Calibri"/>
        </w:rPr>
        <w:t xml:space="preserve"> voor deze tariefcomponent </w:t>
      </w:r>
      <w:r w:rsidR="005018D0" w:rsidRPr="005B78F6">
        <w:rPr>
          <w:rFonts w:ascii="Calibri" w:hAnsi="Calibri"/>
        </w:rPr>
        <w:t>het betreffende budget</w:t>
      </w:r>
      <w:r w:rsidRPr="005B78F6">
        <w:rPr>
          <w:rFonts w:ascii="Calibri" w:hAnsi="Calibri"/>
        </w:rPr>
        <w:t xml:space="preserve"> voor de periode 201</w:t>
      </w:r>
      <w:r w:rsidR="00FA6B89" w:rsidRPr="005B78F6">
        <w:rPr>
          <w:rFonts w:ascii="Calibri" w:hAnsi="Calibri"/>
        </w:rPr>
        <w:t>7</w:t>
      </w:r>
      <w:r w:rsidRPr="005B78F6">
        <w:rPr>
          <w:rFonts w:ascii="Calibri" w:hAnsi="Calibri"/>
        </w:rPr>
        <w:t>-2021 te worden gerapporteerd. Onder de nieuwe tariefstructuur (vanaf 2022) is deze tariefcomponent vervat in het tarief netgebruik;</w:t>
      </w:r>
    </w:p>
    <w:p w14:paraId="71158441" w14:textId="7B5A92BC" w:rsidR="002259E8" w:rsidRPr="005B78F6" w:rsidRDefault="002259E8" w:rsidP="002259E8">
      <w:pPr>
        <w:pStyle w:val="Lijstalinea"/>
        <w:numPr>
          <w:ilvl w:val="1"/>
          <w:numId w:val="25"/>
        </w:numPr>
        <w:rPr>
          <w:rFonts w:ascii="Calibri" w:hAnsi="Calibri"/>
        </w:rPr>
      </w:pPr>
      <w:r w:rsidRPr="005B78F6">
        <w:rPr>
          <w:rFonts w:ascii="Calibri" w:hAnsi="Calibri"/>
        </w:rPr>
        <w:t>Voor de gereguleerde activiteit ‘aardgas’ k</w:t>
      </w:r>
      <w:r w:rsidR="00177887" w:rsidRPr="005B78F6">
        <w:rPr>
          <w:rFonts w:ascii="Calibri" w:hAnsi="Calibri"/>
        </w:rPr>
        <w:t>a</w:t>
      </w:r>
      <w:r w:rsidRPr="005B78F6">
        <w:rPr>
          <w:rFonts w:ascii="Calibri" w:hAnsi="Calibri"/>
        </w:rPr>
        <w:t>n voor elk jaar in de periode 201</w:t>
      </w:r>
      <w:r w:rsidR="00825D22" w:rsidRPr="005B78F6">
        <w:rPr>
          <w:rFonts w:ascii="Calibri" w:hAnsi="Calibri"/>
        </w:rPr>
        <w:t>7</w:t>
      </w:r>
      <w:r w:rsidRPr="005B78F6">
        <w:rPr>
          <w:rFonts w:ascii="Calibri" w:hAnsi="Calibri"/>
        </w:rPr>
        <w:t xml:space="preserve">-2024 </w:t>
      </w:r>
      <w:r w:rsidR="00177887" w:rsidRPr="005B78F6">
        <w:rPr>
          <w:rFonts w:ascii="Calibri" w:hAnsi="Calibri"/>
        </w:rPr>
        <w:t>het betreffende budget</w:t>
      </w:r>
      <w:r w:rsidRPr="005B78F6">
        <w:rPr>
          <w:rFonts w:ascii="Calibri" w:hAnsi="Calibri"/>
        </w:rPr>
        <w:t xml:space="preserve"> worden gerapporteerd.</w:t>
      </w:r>
    </w:p>
    <w:p w14:paraId="617FA0E1" w14:textId="77777777" w:rsidR="002259E8" w:rsidRPr="005B78F6" w:rsidRDefault="002259E8" w:rsidP="002259E8">
      <w:pPr>
        <w:pStyle w:val="Lijstalinea"/>
        <w:numPr>
          <w:ilvl w:val="0"/>
          <w:numId w:val="25"/>
        </w:numPr>
        <w:rPr>
          <w:rFonts w:ascii="Calibri" w:hAnsi="Calibri"/>
        </w:rPr>
      </w:pPr>
      <w:r w:rsidRPr="005B78F6">
        <w:rPr>
          <w:rFonts w:ascii="Calibri" w:hAnsi="Calibri"/>
        </w:rPr>
        <w:t>Het tarief reactieve energie</w:t>
      </w:r>
    </w:p>
    <w:p w14:paraId="784BCDE6" w14:textId="66DF6B23" w:rsidR="002259E8" w:rsidRPr="005B78F6" w:rsidRDefault="002259E8" w:rsidP="002259E8">
      <w:pPr>
        <w:pStyle w:val="Lijstalinea"/>
        <w:numPr>
          <w:ilvl w:val="1"/>
          <w:numId w:val="25"/>
        </w:numPr>
        <w:rPr>
          <w:rFonts w:ascii="Calibri" w:hAnsi="Calibri"/>
        </w:rPr>
      </w:pPr>
      <w:r w:rsidRPr="005B78F6">
        <w:rPr>
          <w:rFonts w:ascii="Calibri" w:hAnsi="Calibri"/>
        </w:rPr>
        <w:t xml:space="preserve">Voor deze tariefcomponent </w:t>
      </w:r>
      <w:r w:rsidR="00177887" w:rsidRPr="005B78F6">
        <w:rPr>
          <w:rFonts w:ascii="Calibri" w:hAnsi="Calibri"/>
        </w:rPr>
        <w:t xml:space="preserve">kan </w:t>
      </w:r>
      <w:r w:rsidRPr="005B78F6">
        <w:rPr>
          <w:rFonts w:ascii="Calibri" w:hAnsi="Calibri"/>
        </w:rPr>
        <w:t xml:space="preserve">enkel voor de gereguleerde activiteit ‘elektriciteit’ </w:t>
      </w:r>
      <w:r w:rsidR="00177887" w:rsidRPr="005B78F6">
        <w:rPr>
          <w:rFonts w:ascii="Calibri" w:hAnsi="Calibri"/>
        </w:rPr>
        <w:t>het betreffende budget</w:t>
      </w:r>
      <w:r w:rsidRPr="005B78F6">
        <w:rPr>
          <w:rFonts w:ascii="Calibri" w:hAnsi="Calibri"/>
        </w:rPr>
        <w:t xml:space="preserve"> worden gerapporteerd en dit voor de periode 201</w:t>
      </w:r>
      <w:r w:rsidR="00825D22" w:rsidRPr="005B78F6">
        <w:rPr>
          <w:rFonts w:ascii="Calibri" w:hAnsi="Calibri"/>
        </w:rPr>
        <w:t>7</w:t>
      </w:r>
      <w:r w:rsidRPr="005B78F6">
        <w:rPr>
          <w:rFonts w:ascii="Calibri" w:hAnsi="Calibri"/>
        </w:rPr>
        <w:t xml:space="preserve">-2024. </w:t>
      </w:r>
    </w:p>
    <w:p w14:paraId="0F26DB8E" w14:textId="77777777" w:rsidR="002259E8" w:rsidRPr="005B78F6" w:rsidRDefault="002259E8" w:rsidP="002259E8">
      <w:pPr>
        <w:pStyle w:val="Lijstalinea"/>
        <w:numPr>
          <w:ilvl w:val="0"/>
          <w:numId w:val="25"/>
        </w:numPr>
        <w:rPr>
          <w:rFonts w:ascii="Calibri" w:hAnsi="Calibri"/>
        </w:rPr>
      </w:pPr>
      <w:r w:rsidRPr="005B78F6">
        <w:rPr>
          <w:rFonts w:ascii="Calibri" w:hAnsi="Calibri"/>
        </w:rPr>
        <w:t>Het tarief voor het databeheer</w:t>
      </w:r>
    </w:p>
    <w:p w14:paraId="60C198BF" w14:textId="7560C817" w:rsidR="002259E8" w:rsidRPr="005B78F6" w:rsidRDefault="000804A3" w:rsidP="002259E8">
      <w:pPr>
        <w:pStyle w:val="Lijstalinea"/>
        <w:numPr>
          <w:ilvl w:val="1"/>
          <w:numId w:val="25"/>
        </w:numPr>
        <w:rPr>
          <w:rFonts w:ascii="Calibri" w:hAnsi="Calibri"/>
        </w:rPr>
      </w:pPr>
      <w:r w:rsidRPr="005B420D">
        <w:rPr>
          <w:rFonts w:ascii="Calibri" w:hAnsi="Calibri"/>
        </w:rPr>
        <w:t>Zowel voor de gereguleerde activiteit ‘elektriciteit’ als ‘aardgas’ kan voor elk jaar in de periode 201</w:t>
      </w:r>
      <w:r>
        <w:rPr>
          <w:rFonts w:ascii="Calibri" w:hAnsi="Calibri"/>
        </w:rPr>
        <w:t>7</w:t>
      </w:r>
      <w:r w:rsidRPr="005B420D">
        <w:rPr>
          <w:rFonts w:ascii="Calibri" w:hAnsi="Calibri"/>
        </w:rPr>
        <w:t>-202</w:t>
      </w:r>
      <w:r w:rsidR="00F32321">
        <w:rPr>
          <w:rFonts w:ascii="Calibri" w:hAnsi="Calibri"/>
        </w:rPr>
        <w:t>4</w:t>
      </w:r>
      <w:r w:rsidRPr="005B420D">
        <w:rPr>
          <w:rFonts w:ascii="Calibri" w:hAnsi="Calibri"/>
        </w:rPr>
        <w:t xml:space="preserve"> het betreffende </w:t>
      </w:r>
      <w:r w:rsidR="00F32321">
        <w:rPr>
          <w:rFonts w:ascii="Calibri" w:hAnsi="Calibri"/>
        </w:rPr>
        <w:t xml:space="preserve">budget </w:t>
      </w:r>
      <w:r w:rsidRPr="005B420D">
        <w:rPr>
          <w:rFonts w:ascii="Calibri" w:hAnsi="Calibri"/>
        </w:rPr>
        <w:t xml:space="preserve">worden gerapporteerd. </w:t>
      </w:r>
    </w:p>
    <w:p w14:paraId="7E0DC022" w14:textId="77777777" w:rsidR="002259E8" w:rsidRPr="005B78F6" w:rsidRDefault="002259E8" w:rsidP="002259E8">
      <w:pPr>
        <w:pStyle w:val="Lijstalinea"/>
        <w:numPr>
          <w:ilvl w:val="0"/>
          <w:numId w:val="25"/>
        </w:numPr>
        <w:rPr>
          <w:rFonts w:ascii="Calibri" w:hAnsi="Calibri"/>
        </w:rPr>
      </w:pPr>
      <w:r w:rsidRPr="005B78F6">
        <w:rPr>
          <w:rFonts w:ascii="Calibri" w:hAnsi="Calibri"/>
        </w:rPr>
        <w:t>Het tarief voor openbare dienstverplichtingen</w:t>
      </w:r>
    </w:p>
    <w:p w14:paraId="7090D601" w14:textId="67FEAF7D" w:rsidR="002259E8" w:rsidRPr="005B78F6" w:rsidRDefault="002259E8" w:rsidP="002259E8">
      <w:pPr>
        <w:pStyle w:val="Lijstalinea"/>
        <w:numPr>
          <w:ilvl w:val="1"/>
          <w:numId w:val="25"/>
        </w:numPr>
        <w:rPr>
          <w:rFonts w:ascii="Calibri" w:hAnsi="Calibri"/>
        </w:rPr>
      </w:pPr>
      <w:r w:rsidRPr="005B78F6">
        <w:rPr>
          <w:rFonts w:ascii="Calibri" w:hAnsi="Calibri"/>
        </w:rPr>
        <w:t>Zowel voor de gereguleerde activiteit ‘elektriciteit’ als ‘aardgas’ k</w:t>
      </w:r>
      <w:r w:rsidR="00FA6B89" w:rsidRPr="005B78F6">
        <w:rPr>
          <w:rFonts w:ascii="Calibri" w:hAnsi="Calibri"/>
        </w:rPr>
        <w:t>an</w:t>
      </w:r>
      <w:r w:rsidRPr="005B78F6">
        <w:rPr>
          <w:rFonts w:ascii="Calibri" w:hAnsi="Calibri"/>
        </w:rPr>
        <w:t xml:space="preserve"> voor elk jaar in de periode 201</w:t>
      </w:r>
      <w:r w:rsidR="00FA6B89" w:rsidRPr="005B78F6">
        <w:rPr>
          <w:rFonts w:ascii="Calibri" w:hAnsi="Calibri"/>
        </w:rPr>
        <w:t>7</w:t>
      </w:r>
      <w:r w:rsidRPr="005B78F6">
        <w:rPr>
          <w:rFonts w:ascii="Calibri" w:hAnsi="Calibri"/>
        </w:rPr>
        <w:t xml:space="preserve">-2024 </w:t>
      </w:r>
      <w:r w:rsidR="00FA6B89" w:rsidRPr="005B78F6">
        <w:rPr>
          <w:rFonts w:ascii="Calibri" w:hAnsi="Calibri"/>
        </w:rPr>
        <w:t>het betreffende budget</w:t>
      </w:r>
      <w:r w:rsidRPr="005B78F6">
        <w:rPr>
          <w:rFonts w:ascii="Calibri" w:hAnsi="Calibri"/>
        </w:rPr>
        <w:t xml:space="preserve"> worden gerapporteerd. </w:t>
      </w:r>
    </w:p>
    <w:p w14:paraId="7F6ED5BA" w14:textId="77777777" w:rsidR="002259E8" w:rsidRPr="005B78F6" w:rsidRDefault="002259E8" w:rsidP="002259E8">
      <w:pPr>
        <w:pStyle w:val="Lijstalinea"/>
        <w:numPr>
          <w:ilvl w:val="0"/>
          <w:numId w:val="25"/>
        </w:numPr>
        <w:rPr>
          <w:rFonts w:ascii="Calibri" w:hAnsi="Calibri"/>
        </w:rPr>
      </w:pPr>
      <w:r w:rsidRPr="005B78F6">
        <w:rPr>
          <w:rFonts w:ascii="Calibri" w:hAnsi="Calibri"/>
        </w:rPr>
        <w:t>Het tarief voor compensatie van de netverliezen</w:t>
      </w:r>
    </w:p>
    <w:p w14:paraId="5A0A3A07" w14:textId="3FB44165" w:rsidR="002259E8" w:rsidRPr="005B78F6" w:rsidRDefault="002259E8" w:rsidP="002259E8">
      <w:pPr>
        <w:pStyle w:val="Lijstalinea"/>
        <w:numPr>
          <w:ilvl w:val="1"/>
          <w:numId w:val="25"/>
        </w:numPr>
        <w:rPr>
          <w:rFonts w:ascii="Calibri" w:hAnsi="Calibri"/>
        </w:rPr>
      </w:pPr>
      <w:r w:rsidRPr="005B78F6">
        <w:rPr>
          <w:rFonts w:ascii="Calibri" w:hAnsi="Calibri"/>
        </w:rPr>
        <w:t xml:space="preserve">Voor deze tariefcomponent </w:t>
      </w:r>
      <w:r w:rsidR="00FA6B89" w:rsidRPr="005B78F6">
        <w:rPr>
          <w:rFonts w:ascii="Calibri" w:hAnsi="Calibri"/>
        </w:rPr>
        <w:t>kan</w:t>
      </w:r>
      <w:r w:rsidRPr="005B78F6">
        <w:rPr>
          <w:rFonts w:ascii="Calibri" w:hAnsi="Calibri"/>
        </w:rPr>
        <w:t xml:space="preserve"> enkel voor de gereguleerde activiteit ‘elektriciteit’ </w:t>
      </w:r>
      <w:r w:rsidR="00FA6B89" w:rsidRPr="005B78F6">
        <w:rPr>
          <w:rFonts w:ascii="Calibri" w:hAnsi="Calibri"/>
        </w:rPr>
        <w:t>het betreffende budget</w:t>
      </w:r>
      <w:r w:rsidRPr="005B78F6">
        <w:rPr>
          <w:rFonts w:ascii="Calibri" w:hAnsi="Calibri"/>
        </w:rPr>
        <w:t xml:space="preserve"> worden gerapporteerd en dit voor de periode 201</w:t>
      </w:r>
      <w:r w:rsidR="00FA6B89" w:rsidRPr="005B78F6">
        <w:rPr>
          <w:rFonts w:ascii="Calibri" w:hAnsi="Calibri"/>
        </w:rPr>
        <w:t>7</w:t>
      </w:r>
      <w:r w:rsidRPr="005B78F6">
        <w:rPr>
          <w:rFonts w:ascii="Calibri" w:hAnsi="Calibri"/>
        </w:rPr>
        <w:t>-2021. Onder de nieuwe tariefstructuur (vanaf 2022) is deze tariefcomponent vervat in het tarief netgebruik;</w:t>
      </w:r>
    </w:p>
    <w:p w14:paraId="5C7D83A5" w14:textId="77777777" w:rsidR="00FA6B89" w:rsidRPr="005B78F6" w:rsidRDefault="002259E8" w:rsidP="002259E8">
      <w:pPr>
        <w:pStyle w:val="Lijstalinea"/>
        <w:numPr>
          <w:ilvl w:val="0"/>
          <w:numId w:val="25"/>
        </w:numPr>
        <w:rPr>
          <w:rFonts w:ascii="Calibri" w:hAnsi="Calibri"/>
        </w:rPr>
      </w:pPr>
      <w:r w:rsidRPr="005B78F6">
        <w:rPr>
          <w:rFonts w:ascii="Calibri" w:hAnsi="Calibri"/>
        </w:rPr>
        <w:t>Het tarief voor toeslagen</w:t>
      </w:r>
    </w:p>
    <w:p w14:paraId="06D19C52" w14:textId="6D40F1BF" w:rsidR="002259E8" w:rsidRPr="005B78F6" w:rsidRDefault="002259E8" w:rsidP="00FA6B89">
      <w:pPr>
        <w:pStyle w:val="Lijstalinea"/>
        <w:numPr>
          <w:ilvl w:val="1"/>
          <w:numId w:val="25"/>
        </w:numPr>
        <w:rPr>
          <w:rFonts w:ascii="Calibri" w:hAnsi="Calibri"/>
        </w:rPr>
      </w:pPr>
      <w:r w:rsidRPr="005B78F6">
        <w:rPr>
          <w:rFonts w:ascii="Calibri" w:hAnsi="Calibri"/>
        </w:rPr>
        <w:t xml:space="preserve">Zowel voor de gereguleerde activiteit ‘elektriciteit’ als ‘aardgas’ </w:t>
      </w:r>
      <w:r w:rsidR="00FA6B89" w:rsidRPr="005B78F6">
        <w:rPr>
          <w:rFonts w:ascii="Calibri" w:hAnsi="Calibri"/>
        </w:rPr>
        <w:t>kan</w:t>
      </w:r>
      <w:r w:rsidRPr="005B78F6">
        <w:rPr>
          <w:rFonts w:ascii="Calibri" w:hAnsi="Calibri"/>
        </w:rPr>
        <w:t xml:space="preserve"> voor elk jaar in de periode 201</w:t>
      </w:r>
      <w:r w:rsidR="00FA6B89" w:rsidRPr="005B78F6">
        <w:rPr>
          <w:rFonts w:ascii="Calibri" w:hAnsi="Calibri"/>
        </w:rPr>
        <w:t>7</w:t>
      </w:r>
      <w:r w:rsidRPr="005B78F6">
        <w:rPr>
          <w:rFonts w:ascii="Calibri" w:hAnsi="Calibri"/>
        </w:rPr>
        <w:t xml:space="preserve">-2024 </w:t>
      </w:r>
      <w:r w:rsidR="00FA6B89" w:rsidRPr="005B78F6">
        <w:rPr>
          <w:rFonts w:ascii="Calibri" w:hAnsi="Calibri"/>
        </w:rPr>
        <w:t>het betreffende budget</w:t>
      </w:r>
      <w:r w:rsidRPr="005B78F6">
        <w:rPr>
          <w:rFonts w:ascii="Calibri" w:hAnsi="Calibri"/>
        </w:rPr>
        <w:t xml:space="preserve"> worden gerapporteerd.</w:t>
      </w:r>
    </w:p>
    <w:p w14:paraId="34C6C965" w14:textId="2C41BD26" w:rsidR="00EE5CD7" w:rsidRPr="005B78F6" w:rsidRDefault="00EE5CD7" w:rsidP="00EE5CD7">
      <w:pPr>
        <w:rPr>
          <w:rFonts w:ascii="Calibri" w:hAnsi="Calibri"/>
        </w:rPr>
      </w:pPr>
      <w:r w:rsidRPr="005B78F6">
        <w:rPr>
          <w:rFonts w:ascii="Calibri" w:hAnsi="Calibri"/>
        </w:rPr>
        <w:lastRenderedPageBreak/>
        <w:t xml:space="preserve">In een volgende stap dient de distributienetbeheerder voor het betreffende boekjaar </w:t>
      </w:r>
      <w:r w:rsidR="00E46004">
        <w:rPr>
          <w:rFonts w:ascii="Calibri" w:hAnsi="Calibri"/>
        </w:rPr>
        <w:t>en de voorgaande boekjaren</w:t>
      </w:r>
      <w:r w:rsidRPr="005B78F6">
        <w:rPr>
          <w:rFonts w:ascii="Calibri" w:hAnsi="Calibri"/>
        </w:rPr>
        <w:t xml:space="preserve"> het toegelaten inkomen inzake de ex-ante correctie m.b.t. de vennootschapsbelasting, de ex-ante aanvullende endogene term voor de kosten m.b.t. herwaarderingsmeerwaarden, de door de VREG gegeven financiële incentives, het eventueel voorschot zoals toegekend door de VREG alsook de eventuele terugnames in het betreffende boekjaar, geheel of gedeeltelijk, van een eerder door de VREG toegekend voorschot op te nemen aangezien hierop geen herindexering wordt toegepast. </w:t>
      </w:r>
    </w:p>
    <w:p w14:paraId="4928EE6C" w14:textId="323C3C7A" w:rsidR="00EE5CD7" w:rsidRPr="005B78F6" w:rsidRDefault="00EE5CD7" w:rsidP="00EE5CD7">
      <w:pPr>
        <w:rPr>
          <w:rFonts w:ascii="Calibri" w:hAnsi="Calibri"/>
        </w:rPr>
      </w:pPr>
      <w:r w:rsidRPr="005B78F6">
        <w:rPr>
          <w:rFonts w:ascii="Calibri" w:hAnsi="Calibri"/>
        </w:rPr>
        <w:t xml:space="preserve">Vervolgens rapporteert de distributienetbeheerder zowel de </w:t>
      </w:r>
      <w:r w:rsidR="004C2B3C">
        <w:rPr>
          <w:rFonts w:ascii="Calibri" w:hAnsi="Calibri"/>
        </w:rPr>
        <w:t xml:space="preserve">jaar op jaar voor de maand juli </w:t>
      </w:r>
      <w:r w:rsidRPr="005B78F6">
        <w:rPr>
          <w:rFonts w:ascii="Calibri" w:hAnsi="Calibri"/>
        </w:rPr>
        <w:t xml:space="preserve">verwachte </w:t>
      </w:r>
      <w:r w:rsidR="00281BC2">
        <w:rPr>
          <w:rFonts w:ascii="Calibri" w:hAnsi="Calibri"/>
        </w:rPr>
        <w:t xml:space="preserve">en werkelijke </w:t>
      </w:r>
      <w:r w:rsidRPr="005B78F6">
        <w:rPr>
          <w:rFonts w:ascii="Calibri" w:hAnsi="Calibri"/>
        </w:rPr>
        <w:t>inflatie van het betreffende boekjaar</w:t>
      </w:r>
      <w:r w:rsidR="00EA06CC">
        <w:rPr>
          <w:rFonts w:ascii="Calibri" w:hAnsi="Calibri"/>
        </w:rPr>
        <w:t xml:space="preserve"> en de voorgaande boekjaren</w:t>
      </w:r>
      <w:r w:rsidRPr="005B78F6">
        <w:rPr>
          <w:rFonts w:ascii="Calibri" w:hAnsi="Calibri"/>
        </w:rPr>
        <w:t>. Deze worden berekend conform de bepalingen in paragraaf 5.5.3.5.1 van de hoofdtekst van de tariefmethodologie.</w:t>
      </w:r>
    </w:p>
    <w:p w14:paraId="424F910E" w14:textId="54E563A2" w:rsidR="00EE5CD7" w:rsidRPr="005B78F6" w:rsidRDefault="00EE5CD7" w:rsidP="00EE5CD7">
      <w:pPr>
        <w:rPr>
          <w:rFonts w:ascii="Calibri" w:hAnsi="Calibri"/>
        </w:rPr>
      </w:pPr>
      <w:r w:rsidRPr="005B78F6">
        <w:rPr>
          <w:rFonts w:ascii="Calibri" w:hAnsi="Calibri"/>
        </w:rPr>
        <w:t>Ook de x-waarde, x’-waarde, x’’-waarde en q-</w:t>
      </w:r>
      <w:r w:rsidR="00390EA2">
        <w:rPr>
          <w:rFonts w:ascii="Calibri" w:hAnsi="Calibri"/>
        </w:rPr>
        <w:t>waarde</w:t>
      </w:r>
      <w:r w:rsidRPr="005B78F6">
        <w:rPr>
          <w:rFonts w:ascii="Calibri" w:hAnsi="Calibri"/>
        </w:rPr>
        <w:t xml:space="preserve"> voor het betreffende boekjaar </w:t>
      </w:r>
      <w:r w:rsidR="006E0255">
        <w:rPr>
          <w:rFonts w:ascii="Calibri" w:hAnsi="Calibri"/>
        </w:rPr>
        <w:t xml:space="preserve">en de voorgaande boekjaren </w:t>
      </w:r>
      <w:r w:rsidRPr="005B78F6">
        <w:rPr>
          <w:rFonts w:ascii="Calibri" w:hAnsi="Calibri"/>
        </w:rPr>
        <w:t>moeten door de distributienetbeheerder in rekening worden genomen. Zoals ook toegelicht in paragraaf 5.5.3.4.1 van de hoofdtekst van de tariefmethodologie zorgt de x’-waarde echter voor besparingen die volgen na 2021, alsof er in het jaar 2021 geen besparingen zouden worden opgelegd. Om die reden wordt voor het boekjaar 2021 1/4</w:t>
      </w:r>
      <w:r w:rsidRPr="005B78F6">
        <w:rPr>
          <w:rFonts w:ascii="Calibri" w:hAnsi="Calibri"/>
          <w:vertAlign w:val="superscript"/>
        </w:rPr>
        <w:t>e</w:t>
      </w:r>
      <w:r w:rsidRPr="005B78F6">
        <w:rPr>
          <w:rFonts w:ascii="Calibri" w:hAnsi="Calibri"/>
        </w:rPr>
        <w:t xml:space="preserve"> van de over 2021-2024 te behalen besparingen in rekening genomen. Deze besparing wordt bepaald uit het aandeel van elke distributienetbeheerder in de totale voor het boekjaar 2021 opgelegde besparing. Dit betreft het aandeel van de distributienetbeheerder in de relevante geactualiseerde endogene sectorkosten in de historische referentieperiode 2015-2019 en dient in de tabel eveneens door de distributienetbeheerder in rekening worden genomen. </w:t>
      </w:r>
    </w:p>
    <w:p w14:paraId="017CAE8A" w14:textId="5D21B295" w:rsidR="00EE5CD7" w:rsidRPr="005B78F6" w:rsidRDefault="00EE5CD7" w:rsidP="00EE5CD7">
      <w:pPr>
        <w:rPr>
          <w:rFonts w:ascii="Calibri" w:hAnsi="Calibri"/>
        </w:rPr>
      </w:pPr>
      <w:r w:rsidRPr="005B78F6">
        <w:rPr>
          <w:rFonts w:ascii="Calibri" w:hAnsi="Calibri"/>
        </w:rPr>
        <w:t>Op basis van deze waarden kan tenslotte het regulatoir saldo inzake de herindexering van het budget endogene kosten voor boekjaar 20</w:t>
      </w:r>
      <w:r w:rsidR="00E7177D" w:rsidRPr="005B78F6">
        <w:rPr>
          <w:rFonts w:ascii="Calibri" w:hAnsi="Calibri"/>
        </w:rPr>
        <w:t>XX</w:t>
      </w:r>
      <w:r w:rsidRPr="005B78F6">
        <w:rPr>
          <w:rFonts w:ascii="Calibri" w:hAnsi="Calibri"/>
        </w:rPr>
        <w:t xml:space="preserve"> </w:t>
      </w:r>
      <w:r w:rsidR="000A2C14">
        <w:rPr>
          <w:rFonts w:ascii="Calibri" w:hAnsi="Calibri"/>
        </w:rPr>
        <w:t xml:space="preserve">en de voorgaande boekjaren </w:t>
      </w:r>
      <w:r w:rsidRPr="005B78F6">
        <w:rPr>
          <w:rFonts w:ascii="Calibri" w:hAnsi="Calibri"/>
        </w:rPr>
        <w:t xml:space="preserve">worden bepaald en dit per tariefcomponent. </w:t>
      </w:r>
      <w:r w:rsidR="00856DDD">
        <w:rPr>
          <w:rFonts w:ascii="Calibri" w:hAnsi="Calibri"/>
        </w:rPr>
        <w:t>Voor het boekjaar 20XX</w:t>
      </w:r>
      <w:r w:rsidRPr="005B78F6">
        <w:rPr>
          <w:rFonts w:ascii="Calibri" w:hAnsi="Calibri"/>
        </w:rPr>
        <w:t xml:space="preserve"> wordt </w:t>
      </w:r>
      <w:r w:rsidR="00856DDD">
        <w:rPr>
          <w:rFonts w:ascii="Calibri" w:hAnsi="Calibri"/>
        </w:rPr>
        <w:t xml:space="preserve">deze </w:t>
      </w:r>
      <w:r w:rsidRPr="005B78F6">
        <w:rPr>
          <w:rFonts w:ascii="Calibri" w:hAnsi="Calibri"/>
        </w:rPr>
        <w:t xml:space="preserve">bepaald door toepassing van de </w:t>
      </w:r>
      <w:r w:rsidR="00856DDD">
        <w:rPr>
          <w:rFonts w:ascii="Calibri" w:hAnsi="Calibri"/>
        </w:rPr>
        <w:t>formule</w:t>
      </w:r>
      <w:r w:rsidRPr="005B78F6">
        <w:rPr>
          <w:rFonts w:ascii="Calibri" w:hAnsi="Calibri"/>
        </w:rPr>
        <w:t xml:space="preserve"> 25 in de hoofdtekst van de tariefmethodologie.</w:t>
      </w:r>
    </w:p>
    <w:p w14:paraId="79FFF501" w14:textId="77777777" w:rsidR="00770613" w:rsidRPr="00BF741E" w:rsidRDefault="00770613" w:rsidP="00770613">
      <w:pPr>
        <w:rPr>
          <w:rFonts w:ascii="Calibri" w:hAnsi="Calibri"/>
        </w:rPr>
      </w:pPr>
      <w:r>
        <w:rPr>
          <w:rFonts w:ascii="Calibri" w:hAnsi="Calibri"/>
        </w:rPr>
        <w:t>Op ex-ante basis dient de distributienetbeheerder een waarde te rapporteren voor de boekjaren waarvoor door de VREG in de voorgaande jaren reeds een regulatoir saldo werd beslist. Ook kan de distributienetbeheerder, bij ex-ante rapportering voor het boekjaar 20XX, het betreffende regulatoir saldo voor het boekjaar 20XX-1 in rekening nemen.</w:t>
      </w:r>
    </w:p>
    <w:p w14:paraId="27409F8E" w14:textId="1ED1F5E6" w:rsidR="00EE5CD7" w:rsidRPr="005B78F6" w:rsidRDefault="00EE5CD7" w:rsidP="00EE5CD7">
      <w:pPr>
        <w:rPr>
          <w:rFonts w:ascii="Calibri" w:hAnsi="Calibri"/>
        </w:rPr>
      </w:pPr>
      <w:r w:rsidRPr="005B78F6">
        <w:rPr>
          <w:rFonts w:ascii="Calibri" w:hAnsi="Calibri"/>
        </w:rPr>
        <w:t xml:space="preserve">Het regulatoir saldo dat voortvloeit uit de herindexering van het budget endogene kosten voor het betreffende boekjaar wordt overgeboekt van de resultatenrekening naar de overlopende rekeningen, zoals weergegeven in de eerste tabel onder rubriek ‘Invloed op het resultaat’. Eventuele correcties op dit saldo kunnen nog door de VREG in de daaropvolgende boekja(a)r(en) worden beslist. </w:t>
      </w:r>
    </w:p>
    <w:p w14:paraId="7535BFA2" w14:textId="77777777" w:rsidR="00EE5CD7" w:rsidRPr="005B78F6" w:rsidRDefault="00EE5CD7" w:rsidP="00EE5CD7">
      <w:pPr>
        <w:rPr>
          <w:rFonts w:ascii="Calibri" w:hAnsi="Calibri"/>
        </w:rPr>
      </w:pPr>
      <w:r w:rsidRPr="005B78F6">
        <w:rPr>
          <w:rFonts w:ascii="Calibri" w:hAnsi="Calibri"/>
        </w:rPr>
        <w:t xml:space="preserve">De volgende tabel onder rubriek ‘Invloed op het resultaat’ toont de terugname of afbouw van deze saldi vanuit de overlopende rekeningen naar de resultatenrekening, conform de bepalingen in de huidige en vorige tariefmethodologieën. </w:t>
      </w:r>
    </w:p>
    <w:p w14:paraId="2A05A646" w14:textId="77777777" w:rsidR="00EE5CD7" w:rsidRPr="005B78F6" w:rsidRDefault="00EE5CD7" w:rsidP="00EE5CD7">
      <w:pPr>
        <w:rPr>
          <w:rFonts w:ascii="Calibri" w:hAnsi="Calibri"/>
        </w:rPr>
      </w:pPr>
      <w:r w:rsidRPr="005B78F6">
        <w:rPr>
          <w:rFonts w:ascii="Calibri" w:hAnsi="Calibri"/>
        </w:rPr>
        <w:t>De laatste, onderste tabel toont de evolutie van de overlopende rekeningen voor een specifiek boekjaar op basis van de boeking en terugname van de saldi in de loop van het boekjaar.</w:t>
      </w:r>
    </w:p>
    <w:p w14:paraId="35C88367" w14:textId="77777777" w:rsidR="00EE5CD7" w:rsidRPr="005B78F6" w:rsidRDefault="00EE5CD7" w:rsidP="00EE5CD7">
      <w:pPr>
        <w:rPr>
          <w:rFonts w:ascii="Calibri" w:hAnsi="Calibri"/>
        </w:rPr>
      </w:pPr>
      <w:r w:rsidRPr="005B78F6">
        <w:rPr>
          <w:rFonts w:ascii="Calibri" w:hAnsi="Calibri"/>
        </w:rPr>
        <w:t xml:space="preserve">Het regulatoir saldo inzake de herindexering van het budget voor endogene kosten zal een negatieve waarde aannemen indien de werkelijke inflatie lager is dan verwacht. In dat geval zullen de werkelijke opbrengsten worden afgeroomd ten bedrage van dit saldo en worden overgeboekt naar de overlopende rekening op het passief. De terugname van dit saldo zal bijgevolg een </w:t>
      </w:r>
      <w:r w:rsidRPr="005B78F6">
        <w:rPr>
          <w:rFonts w:ascii="Calibri" w:hAnsi="Calibri"/>
        </w:rPr>
        <w:lastRenderedPageBreak/>
        <w:t>teruggave van een overschot betekenen en dus ook een verlaging van de toekomstige periodieke distributienettarieven inhouden.</w:t>
      </w:r>
    </w:p>
    <w:p w14:paraId="6865D431" w14:textId="77777777" w:rsidR="00EE5CD7" w:rsidRPr="009F75FD" w:rsidRDefault="00EE5CD7" w:rsidP="00EE5CD7">
      <w:pPr>
        <w:pStyle w:val="Kop4"/>
      </w:pPr>
      <w:bookmarkStart w:id="103" w:name="_Ref39040434"/>
      <w:bookmarkStart w:id="104" w:name="_Toc81512472"/>
      <w:r w:rsidRPr="009F75FD">
        <w:t>TABEL 6B: Overzicht regulatoir saldo inzake herindexering van het budget voor endogene kosten per tariefcomponent</w:t>
      </w:r>
      <w:bookmarkEnd w:id="103"/>
      <w:bookmarkEnd w:id="104"/>
    </w:p>
    <w:p w14:paraId="258A4A79" w14:textId="112A3380" w:rsidR="00EE5CD7" w:rsidRPr="009F75FD" w:rsidRDefault="00EE5CD7" w:rsidP="00EE5CD7">
      <w:pPr>
        <w:rPr>
          <w:rFonts w:ascii="Calibri" w:hAnsi="Calibri"/>
        </w:rPr>
      </w:pPr>
      <w:r w:rsidRPr="009F75FD">
        <w:rPr>
          <w:rFonts w:ascii="Calibri" w:hAnsi="Calibri"/>
        </w:rPr>
        <w:t xml:space="preserve">Op basis van de gerapporteerde waarden per tariefcomponent in ‘tabel 6A’ kan het regulatoir saldo inzake herindexering van het budget endogene kosten ook worden geïdentificeerd per tariefcomponent. Daarom wordt in deze tabel vooreerst automatisch per tariefcomponent een overzicht gegeven van de jaarlijks geboekte regulatoire saldi. </w:t>
      </w:r>
    </w:p>
    <w:p w14:paraId="4557C24C" w14:textId="5B6D5463" w:rsidR="00EE5CD7" w:rsidRPr="009F75FD" w:rsidRDefault="00EE5CD7" w:rsidP="00EE5CD7">
      <w:pPr>
        <w:rPr>
          <w:rFonts w:ascii="Calibri" w:hAnsi="Calibri"/>
        </w:rPr>
      </w:pPr>
      <w:r w:rsidRPr="009F75FD">
        <w:rPr>
          <w:rFonts w:ascii="Calibri" w:hAnsi="Calibri"/>
        </w:rPr>
        <w:t>Vervolgens wordt in de tabel per tariefcomponent automatisch berekend welk gedeelte van het saldo reeds werd afgebouwd op het einde van elk boekjaar over de periode 20</w:t>
      </w:r>
      <w:r w:rsidR="005B78F6" w:rsidRPr="009F75FD">
        <w:rPr>
          <w:rFonts w:ascii="Calibri" w:hAnsi="Calibri"/>
        </w:rPr>
        <w:t>17</w:t>
      </w:r>
      <w:r w:rsidRPr="009F75FD">
        <w:rPr>
          <w:rFonts w:ascii="Calibri" w:hAnsi="Calibri"/>
        </w:rPr>
        <w:t xml:space="preserve">-2024. De afbouw van deze saldi gebeurt hierbij conform de bepalingen in de huidige en vorige tariefmethodologieën. Uiteindelijk kunnen op basis van deze waarden de nog af te bouwen saldi per tariefcomponent worden geïdentificeerd waarbij opnieuw een aansluiting wordt gemaakt van het totaal nog af te bouwen saldo met de gerapporteerde waarden in ‘tabel 6A’. </w:t>
      </w:r>
    </w:p>
    <w:p w14:paraId="434689E4" w14:textId="71FB9900" w:rsidR="009B3287" w:rsidRPr="009F75FD" w:rsidRDefault="00EE5CD7" w:rsidP="00EE5CD7">
      <w:pPr>
        <w:rPr>
          <w:rFonts w:ascii="Calibri" w:hAnsi="Calibri"/>
        </w:rPr>
      </w:pPr>
      <w:r w:rsidRPr="009F75FD">
        <w:rPr>
          <w:rFonts w:ascii="Calibri" w:hAnsi="Calibri"/>
        </w:rPr>
        <w:t xml:space="preserve">Ten laatste wordt per tariefcomponent bepaald welk gedeelte van de regulatoire saldi inzake herindexering budget endogene kosten in het toegelaten inkomen van het betreffende boekjaar wordt afgebouwd. Op basis van deze waarden wordt </w:t>
      </w:r>
      <w:r w:rsidR="004325F3">
        <w:rPr>
          <w:rFonts w:ascii="Calibri" w:hAnsi="Calibri"/>
        </w:rPr>
        <w:t xml:space="preserve">per tariefcomponent </w:t>
      </w:r>
      <w:r w:rsidRPr="009F75FD">
        <w:rPr>
          <w:rFonts w:ascii="Calibri" w:hAnsi="Calibri"/>
        </w:rPr>
        <w:t xml:space="preserve">de betreffende rubriek in ‘tabel 3’ automatisch aangevuld. </w:t>
      </w:r>
    </w:p>
    <w:p w14:paraId="7AE8F62A" w14:textId="77777777" w:rsidR="00EE5CD7" w:rsidRPr="005812D8" w:rsidRDefault="00EE5CD7" w:rsidP="00EE5CD7">
      <w:pPr>
        <w:pStyle w:val="Kop4"/>
      </w:pPr>
      <w:bookmarkStart w:id="105" w:name="_Ref39040449"/>
      <w:bookmarkStart w:id="106" w:name="_Ref39575197"/>
      <w:bookmarkStart w:id="107" w:name="_Toc81512473"/>
      <w:r w:rsidRPr="005812D8">
        <w:t>TABEL 7: Opvolging regulatoir saldo inzake vennootschapsbelasting</w:t>
      </w:r>
      <w:bookmarkEnd w:id="105"/>
      <w:bookmarkEnd w:id="106"/>
      <w:bookmarkEnd w:id="107"/>
    </w:p>
    <w:p w14:paraId="5638B5D2" w14:textId="77777777" w:rsidR="00EE5CD7" w:rsidRPr="005812D8" w:rsidRDefault="00EE5CD7" w:rsidP="00EE5CD7">
      <w:pPr>
        <w:rPr>
          <w:rFonts w:ascii="Calibri" w:hAnsi="Calibri"/>
        </w:rPr>
      </w:pPr>
      <w:r w:rsidRPr="005812D8">
        <w:rPr>
          <w:rFonts w:ascii="Calibri" w:hAnsi="Calibri"/>
        </w:rPr>
        <w:t>Deze tabel laat een jaarlijkse opvolging toe van de saldi inzake de vennootschapsbelasting. De tabel toont enerzijds de saldi inzake vennootschapsbelasting zoals ze door de VREG werden goedgekeurd en anderzijds de saldi die door de distributienetbeheerder werden ingeboekt.</w:t>
      </w:r>
    </w:p>
    <w:p w14:paraId="4930542A" w14:textId="01A25C77" w:rsidR="002C064F" w:rsidRPr="002C064F" w:rsidRDefault="002C064F" w:rsidP="002C064F">
      <w:pPr>
        <w:rPr>
          <w:rFonts w:ascii="Calibri" w:hAnsi="Calibri"/>
        </w:rPr>
      </w:pPr>
      <w:r w:rsidRPr="002C064F">
        <w:rPr>
          <w:rFonts w:ascii="Calibri" w:hAnsi="Calibri"/>
        </w:rPr>
        <w:t>Op ex-post basis kan de distributienetbeheerder dit</w:t>
      </w:r>
      <w:r w:rsidR="00EE5CD7" w:rsidRPr="005812D8">
        <w:rPr>
          <w:rFonts w:ascii="Calibri" w:hAnsi="Calibri"/>
        </w:rPr>
        <w:t xml:space="preserve"> saldo voor boekjaar 20</w:t>
      </w:r>
      <w:r w:rsidR="002A7DFF" w:rsidRPr="005812D8">
        <w:rPr>
          <w:rFonts w:ascii="Calibri" w:hAnsi="Calibri"/>
        </w:rPr>
        <w:t>XX</w:t>
      </w:r>
      <w:r w:rsidR="00EE5CD7" w:rsidRPr="005812D8">
        <w:rPr>
          <w:rFonts w:ascii="Calibri" w:hAnsi="Calibri"/>
        </w:rPr>
        <w:t xml:space="preserve"> eenduidig uit ‘tabel </w:t>
      </w:r>
      <w:r w:rsidRPr="002C064F">
        <w:rPr>
          <w:rFonts w:ascii="Calibri" w:hAnsi="Calibri"/>
        </w:rPr>
        <w:t>9’</w:t>
      </w:r>
      <w:r w:rsidR="00EE5CD7" w:rsidRPr="005812D8">
        <w:rPr>
          <w:rFonts w:ascii="Calibri" w:hAnsi="Calibri"/>
        </w:rPr>
        <w:t xml:space="preserve"> van het betreffende rapporteringsmodel</w:t>
      </w:r>
      <w:r w:rsidRPr="002C064F">
        <w:rPr>
          <w:rFonts w:ascii="Calibri" w:hAnsi="Calibri"/>
        </w:rPr>
        <w:t xml:space="preserve"> afleiden. Ook voor de voorgaande boekjaren rapporteert de distributienetbeheerder de betreffende regulatoire saldi. </w:t>
      </w:r>
    </w:p>
    <w:p w14:paraId="58A43033" w14:textId="5E19B336" w:rsidR="00EE5CD7" w:rsidRPr="005812D8" w:rsidRDefault="002C064F" w:rsidP="00EE5CD7">
      <w:pPr>
        <w:rPr>
          <w:rFonts w:ascii="Calibri" w:hAnsi="Calibri"/>
        </w:rPr>
      </w:pPr>
      <w:r w:rsidRPr="002C064F">
        <w:rPr>
          <w:rFonts w:ascii="Calibri" w:hAnsi="Calibri"/>
        </w:rPr>
        <w:t>Op ex-ante basis dient de distributienetbeheerder het regulatoir saldo voor de voorgaande boekjaren te rapporteren</w:t>
      </w:r>
      <w:r w:rsidR="00EE5CD7" w:rsidRPr="005812D8">
        <w:rPr>
          <w:rFonts w:ascii="Calibri" w:hAnsi="Calibri"/>
        </w:rPr>
        <w:t xml:space="preserve">. </w:t>
      </w:r>
    </w:p>
    <w:p w14:paraId="2DD9F87C" w14:textId="77777777" w:rsidR="00EE5CD7" w:rsidRPr="005812D8" w:rsidRDefault="00EE5CD7" w:rsidP="00EE5CD7">
      <w:pPr>
        <w:rPr>
          <w:rFonts w:ascii="Calibri" w:hAnsi="Calibri"/>
        </w:rPr>
      </w:pPr>
      <w:r w:rsidRPr="005812D8">
        <w:rPr>
          <w:rFonts w:ascii="Calibri" w:hAnsi="Calibri"/>
        </w:rPr>
        <w:t xml:space="preserve">Het regulatoir saldo inzake vennootschapsbelasting wordt overgeboekt van de resultatenrekening naar de overlopende rekeningen, zoals weergegeven in de eerste tabel onder rubriek ‘Invloed op het resultaat’. Eventuele correcties op dit saldo kunnen nog door de VREG in de daaropvolgende boekja(a)r(en) worden beslist. </w:t>
      </w:r>
    </w:p>
    <w:p w14:paraId="1E1E6C5D" w14:textId="77777777" w:rsidR="00EE5CD7" w:rsidRPr="005812D8" w:rsidRDefault="00EE5CD7" w:rsidP="00EE5CD7">
      <w:pPr>
        <w:rPr>
          <w:rFonts w:ascii="Calibri" w:hAnsi="Calibri"/>
        </w:rPr>
      </w:pPr>
      <w:r w:rsidRPr="005812D8">
        <w:rPr>
          <w:rFonts w:ascii="Calibri" w:hAnsi="Calibri"/>
        </w:rPr>
        <w:t xml:space="preserve">De volgende tabel toont vervolgens de terugname of afbouw van deze saldi vanuit de overlopende rekeningen naar de resultatenrekening, conform de bepalingen in de huidige en vorige tariefmethodologieën. Deze afbouw wordt automatisch berekend op basis van de detailberekening inzake de bepaling van het af te bouwen regulatoir saldo onderaan deze tabel. </w:t>
      </w:r>
    </w:p>
    <w:p w14:paraId="102FF1EC" w14:textId="77777777" w:rsidR="00EE5CD7" w:rsidRPr="005812D8" w:rsidRDefault="00EE5CD7" w:rsidP="00EE5CD7">
      <w:pPr>
        <w:rPr>
          <w:rFonts w:ascii="Calibri" w:hAnsi="Calibri"/>
        </w:rPr>
      </w:pPr>
      <w:r w:rsidRPr="005812D8">
        <w:rPr>
          <w:rFonts w:ascii="Calibri" w:hAnsi="Calibri"/>
        </w:rPr>
        <w:t>Vervolgens wordt de evolutie van de overlopende rekeningen voor een specifiek boekjaar op basis van de boeking en terugname van de saldi in de loop van het boekjaar getoond.</w:t>
      </w:r>
    </w:p>
    <w:p w14:paraId="1A609ED0" w14:textId="77777777" w:rsidR="00EE5CD7" w:rsidRPr="005812D8" w:rsidRDefault="00EE5CD7" w:rsidP="00EE5CD7">
      <w:pPr>
        <w:rPr>
          <w:rFonts w:ascii="Calibri" w:hAnsi="Calibri"/>
        </w:rPr>
      </w:pPr>
      <w:r w:rsidRPr="005812D8">
        <w:rPr>
          <w:rFonts w:ascii="Calibri" w:hAnsi="Calibri"/>
        </w:rPr>
        <w:t xml:space="preserve">Onderaan deze tabel wordt in de detailberekening inzake de bepaling van het af te bouwen regulatoir saldo eveneens bepaald welk gedeelte van het saldo in het toegelaten inkomen voor </w:t>
      </w:r>
      <w:r w:rsidRPr="005812D8">
        <w:rPr>
          <w:rFonts w:ascii="Calibri" w:hAnsi="Calibri"/>
        </w:rPr>
        <w:lastRenderedPageBreak/>
        <w:t>het desbetreffende boekjaar in rekening wordt genomen. Op basis van deze waarden wordt de betreffende rubriek in ‘tabel 3’ automatisch aangevuld.</w:t>
      </w:r>
    </w:p>
    <w:p w14:paraId="07B94E42" w14:textId="77777777" w:rsidR="00EE5CD7" w:rsidRPr="005812D8" w:rsidRDefault="00EE5CD7" w:rsidP="00EE5CD7">
      <w:pPr>
        <w:rPr>
          <w:rFonts w:ascii="Calibri" w:hAnsi="Calibri"/>
        </w:rPr>
      </w:pPr>
      <w:r w:rsidRPr="005812D8">
        <w:rPr>
          <w:rFonts w:ascii="Calibri" w:hAnsi="Calibri"/>
        </w:rPr>
        <w:t>Het regulatoir saldo inzake de vennootschapsbelasting zal een negatieve waarde aannemen indien de werkelijke kosten m.b.t. de correcties voor de vennootschapsbelasting lager waren dan gebudgetteerd. In dat geval zullen de werkelijke opbrengsten worden afgeroomd ten bedrage van dit saldo en worden overgeboekt naar de overlopende rekening op het passief. De terugname van dit saldo zal bijgevolg een teruggave van een overschot betekenen en dus ook een verlaging van de toekomstige periodieke distributienettarieven inhouden.</w:t>
      </w:r>
    </w:p>
    <w:p w14:paraId="6AFBF265" w14:textId="77777777" w:rsidR="00EE5CD7" w:rsidRPr="00D52050" w:rsidRDefault="00EE5CD7" w:rsidP="00EE5CD7">
      <w:pPr>
        <w:pStyle w:val="Kop4"/>
      </w:pPr>
      <w:bookmarkStart w:id="108" w:name="_Ref39040740"/>
      <w:bookmarkStart w:id="109" w:name="_Ref39575210"/>
      <w:bookmarkStart w:id="110" w:name="_Toc81512474"/>
      <w:r w:rsidRPr="00D52050">
        <w:t>TABEL 8: Opvolging regulatoir saldo inzake herwaarderingsmeerwaarden</w:t>
      </w:r>
      <w:bookmarkEnd w:id="108"/>
      <w:bookmarkEnd w:id="109"/>
      <w:bookmarkEnd w:id="110"/>
    </w:p>
    <w:p w14:paraId="5E8F0447" w14:textId="77777777" w:rsidR="00EE5CD7" w:rsidRPr="00D52050" w:rsidRDefault="00EE5CD7" w:rsidP="00EE5CD7">
      <w:pPr>
        <w:rPr>
          <w:rFonts w:ascii="Calibri" w:hAnsi="Calibri"/>
        </w:rPr>
      </w:pPr>
      <w:r w:rsidRPr="00D52050">
        <w:rPr>
          <w:rFonts w:ascii="Calibri" w:hAnsi="Calibri"/>
        </w:rPr>
        <w:t>Deze tabel laat een jaarlijkse opvolging toe van de saldi inzake herwaarderingsmeerwaarden. De tabel toont enerzijds de saldi inzake herwaarderingsmeerwaarden zoals ze door de VREG werden goedgekeurd en anderzijds de saldi die door de distributienetbeheerder werden ingeboekt.</w:t>
      </w:r>
    </w:p>
    <w:p w14:paraId="06F05B17" w14:textId="77777777" w:rsidR="00E66523" w:rsidRPr="002C064F" w:rsidRDefault="00E66523" w:rsidP="00E66523">
      <w:pPr>
        <w:rPr>
          <w:rFonts w:ascii="Calibri" w:hAnsi="Calibri"/>
        </w:rPr>
      </w:pPr>
      <w:r w:rsidRPr="002C064F">
        <w:rPr>
          <w:rFonts w:ascii="Calibri" w:hAnsi="Calibri"/>
        </w:rPr>
        <w:t>Op ex-post basis kan de distributienetbeheerder dit</w:t>
      </w:r>
      <w:r w:rsidR="00EE5CD7" w:rsidRPr="00D52050">
        <w:rPr>
          <w:rFonts w:ascii="Calibri" w:hAnsi="Calibri"/>
        </w:rPr>
        <w:t xml:space="preserve"> saldo voor boekjaar 20</w:t>
      </w:r>
      <w:r w:rsidR="00617490" w:rsidRPr="00D52050">
        <w:rPr>
          <w:rFonts w:ascii="Calibri" w:hAnsi="Calibri"/>
        </w:rPr>
        <w:t>XX</w:t>
      </w:r>
      <w:r w:rsidR="00EE5CD7" w:rsidRPr="00D52050">
        <w:rPr>
          <w:rFonts w:ascii="Calibri" w:hAnsi="Calibri"/>
        </w:rPr>
        <w:t xml:space="preserve"> eenduidig uit ‘tabel </w:t>
      </w:r>
      <w:r w:rsidRPr="002C064F">
        <w:rPr>
          <w:rFonts w:ascii="Calibri" w:hAnsi="Calibri"/>
        </w:rPr>
        <w:t>9’</w:t>
      </w:r>
      <w:r w:rsidR="00EE5CD7" w:rsidRPr="00D52050">
        <w:rPr>
          <w:rFonts w:ascii="Calibri" w:hAnsi="Calibri"/>
        </w:rPr>
        <w:t xml:space="preserve"> van het betreffende rapporteringsmodel</w:t>
      </w:r>
      <w:r w:rsidRPr="002C064F">
        <w:rPr>
          <w:rFonts w:ascii="Calibri" w:hAnsi="Calibri"/>
        </w:rPr>
        <w:t xml:space="preserve"> afleiden. Ook voor de voorgaande boekjaren rapporteert de distributienetbeheerder de betreffende regulatoire saldi. </w:t>
      </w:r>
    </w:p>
    <w:p w14:paraId="2FA3EDBD" w14:textId="4DE332BC" w:rsidR="00EE5CD7" w:rsidRPr="00D52050" w:rsidRDefault="00E66523" w:rsidP="00EE5CD7">
      <w:pPr>
        <w:rPr>
          <w:rFonts w:ascii="Calibri" w:hAnsi="Calibri"/>
        </w:rPr>
      </w:pPr>
      <w:r w:rsidRPr="002C064F">
        <w:rPr>
          <w:rFonts w:ascii="Calibri" w:hAnsi="Calibri"/>
        </w:rPr>
        <w:t>Op ex-ante basis dient de distributienetbeheerder het regulatoir saldo voor de voorgaande boekjaren te rapporteren</w:t>
      </w:r>
      <w:r w:rsidR="00EE5CD7" w:rsidRPr="00D52050">
        <w:rPr>
          <w:rFonts w:ascii="Calibri" w:hAnsi="Calibri"/>
        </w:rPr>
        <w:t xml:space="preserve">. </w:t>
      </w:r>
    </w:p>
    <w:p w14:paraId="3EE42C40" w14:textId="77777777" w:rsidR="00EE5CD7" w:rsidRPr="00D52050" w:rsidRDefault="00EE5CD7" w:rsidP="00EE5CD7">
      <w:pPr>
        <w:rPr>
          <w:rFonts w:ascii="Calibri" w:hAnsi="Calibri"/>
        </w:rPr>
      </w:pPr>
      <w:r w:rsidRPr="00D52050">
        <w:rPr>
          <w:rFonts w:ascii="Calibri" w:hAnsi="Calibri"/>
        </w:rPr>
        <w:t xml:space="preserve">Het regulatoir saldo inzake herwaarderingsmeerwaarden wordt overgeboekt van de resultatenrekening naar de overlopende rekeningen, zoals weergegeven in de eerste tabel onder rubriek ‘Invloed op het resultaat’. Eventuele correcties op dit saldo kunnen nog door de VREG in de daaropvolgende boekja(a)r(en) worden beslist. </w:t>
      </w:r>
    </w:p>
    <w:p w14:paraId="52825CC1" w14:textId="77777777" w:rsidR="00EE5CD7" w:rsidRPr="00D52050" w:rsidRDefault="00EE5CD7" w:rsidP="00EE5CD7">
      <w:pPr>
        <w:rPr>
          <w:rFonts w:ascii="Calibri" w:hAnsi="Calibri"/>
        </w:rPr>
      </w:pPr>
      <w:r w:rsidRPr="00D52050">
        <w:rPr>
          <w:rFonts w:ascii="Calibri" w:hAnsi="Calibri"/>
        </w:rPr>
        <w:t xml:space="preserve">De volgende tabel toont vervolgens de terugname of afbouw van deze saldi vanuit de overlopende rekeningen naar de resultatenrekening, conform de bepalingen in paragraaf 5.6.7 van de hoofdtekst van de tariefmethodologie. Deze afbouw wordt automatisch berekend op basis van de detailberekening inzake de bepaling van het af te bouwen regulatoir saldo onderaan deze tabel. </w:t>
      </w:r>
    </w:p>
    <w:p w14:paraId="6E2D3938" w14:textId="77777777" w:rsidR="00EE5CD7" w:rsidRPr="00D52050" w:rsidRDefault="00EE5CD7" w:rsidP="00EE5CD7">
      <w:pPr>
        <w:rPr>
          <w:rFonts w:ascii="Calibri" w:hAnsi="Calibri"/>
        </w:rPr>
      </w:pPr>
      <w:r w:rsidRPr="00D52050">
        <w:rPr>
          <w:rFonts w:ascii="Calibri" w:hAnsi="Calibri"/>
        </w:rPr>
        <w:t>Vervolgens wordt de evolutie van de overlopende rekeningen voor een specifiek boekjaar op basis van de boeking en terugname van de saldi in de loop van het boekjaar getoond.</w:t>
      </w:r>
    </w:p>
    <w:p w14:paraId="57F902C4" w14:textId="77777777" w:rsidR="00EE5CD7" w:rsidRPr="00D52050" w:rsidRDefault="00EE5CD7" w:rsidP="00EE5CD7">
      <w:pPr>
        <w:rPr>
          <w:rFonts w:ascii="Calibri" w:hAnsi="Calibri"/>
        </w:rPr>
      </w:pPr>
      <w:r w:rsidRPr="00D52050">
        <w:rPr>
          <w:rFonts w:ascii="Calibri" w:hAnsi="Calibri"/>
        </w:rPr>
        <w:t>Onderaan deze tabel wordt in de detailberekening inzake de bepaling van het af te bouwen regulatoir saldo eveneens bepaald welk gedeelte van het saldo in het toegelaten inkomen voor het desbetreffende boekjaar in rekening wordt genomen. Op basis van deze waarden wordt de betreffende rubriek in ‘tabel 3’ automatisch aangevuld.</w:t>
      </w:r>
    </w:p>
    <w:p w14:paraId="06EC08ED" w14:textId="77777777" w:rsidR="00EE5CD7" w:rsidRPr="00D52050" w:rsidRDefault="00EE5CD7" w:rsidP="00EE5CD7">
      <w:pPr>
        <w:rPr>
          <w:rFonts w:ascii="Calibri" w:hAnsi="Calibri"/>
        </w:rPr>
      </w:pPr>
      <w:r w:rsidRPr="00D52050">
        <w:rPr>
          <w:rFonts w:ascii="Calibri" w:hAnsi="Calibri"/>
        </w:rPr>
        <w:t>Het regulatoir saldo inzake herwaarderingsmeerwaarden zal een negatieve waarde aannemen indien de werkelijke kosten m.b.t. herwaarderingsmeerwaarden lager waren dan gebudgetteerd. In dat geval zullen de werkelijke opbrengsten worden afgeroomd ten bedrage van dit saldo en worden overgeboekt naar de overlopende rekening op het passief. De terugname van dit saldo zal bijgevolg een teruggave van een overschot betekenen en dus ook een verlaging van de toekomstige periodieke distributienettarieven inhouden.</w:t>
      </w:r>
    </w:p>
    <w:p w14:paraId="21ACBFDB" w14:textId="2511E985" w:rsidR="00EE5CD7" w:rsidRPr="00BA1D05" w:rsidRDefault="00EE5CD7" w:rsidP="00EE5CD7">
      <w:pPr>
        <w:pStyle w:val="Kop4"/>
      </w:pPr>
      <w:bookmarkStart w:id="111" w:name="_Toc81512475"/>
      <w:r w:rsidRPr="00BA1D05">
        <w:t xml:space="preserve">TABEL </w:t>
      </w:r>
      <w:r w:rsidR="00041558">
        <w:t>9</w:t>
      </w:r>
      <w:r w:rsidRPr="00BA1D05">
        <w:t>: Algemeen overzicht aanvullende endogene termen</w:t>
      </w:r>
      <w:bookmarkEnd w:id="111"/>
    </w:p>
    <w:p w14:paraId="7B49034E" w14:textId="77777777" w:rsidR="00EE5CD7" w:rsidRPr="00BA1D05" w:rsidRDefault="00EE5CD7" w:rsidP="00EE5CD7">
      <w:pPr>
        <w:rPr>
          <w:rFonts w:ascii="Calibri" w:hAnsi="Calibri"/>
        </w:rPr>
      </w:pPr>
      <w:r w:rsidRPr="00BA1D05">
        <w:rPr>
          <w:rFonts w:ascii="Calibri" w:hAnsi="Calibri"/>
        </w:rPr>
        <w:lastRenderedPageBreak/>
        <w:t xml:space="preserve">Deze tabel geeft een algemeen overzicht van de gerapporteerde gegevens inzake de correctie voor vennootschapsbelasting enerzijds en de correctie voor herwaarderingsmeerwaarden anderzijds. Deze correcties komen in aanvulling op de endogene kosten die resulteren uit historische endogene kostentrend over de periode 2015-2019. </w:t>
      </w:r>
    </w:p>
    <w:p w14:paraId="3B10C3DE" w14:textId="3041CAD0" w:rsidR="00EE5CD7" w:rsidRPr="00BA1D05" w:rsidRDefault="00EE5CD7" w:rsidP="00EE5CD7">
      <w:pPr>
        <w:rPr>
          <w:rFonts w:ascii="Calibri" w:hAnsi="Calibri"/>
        </w:rPr>
      </w:pPr>
      <w:r w:rsidRPr="00BA1D05">
        <w:rPr>
          <w:rFonts w:ascii="Calibri" w:hAnsi="Calibri"/>
        </w:rPr>
        <w:t>Bovendien blijkt uit deze tabel het jaarlijks regulatoir saldo m.b.t. vennootschapsbelasting enerzijds en m.b.t. herwaarderingsmeerwaarden anderzijds. Deze regulatoire saldi dienen op hun beurt respectievelijk in ‘tabel 7’ (paragraaf</w:t>
      </w:r>
      <w:r w:rsidR="00BA1D05" w:rsidRPr="00BA1D05">
        <w:rPr>
          <w:rFonts w:ascii="Calibri" w:hAnsi="Calibri"/>
        </w:rPr>
        <w:t xml:space="preserve"> </w:t>
      </w:r>
      <w:r w:rsidR="00BA1D05" w:rsidRPr="00BA1D05">
        <w:rPr>
          <w:rFonts w:ascii="Calibri" w:hAnsi="Calibri"/>
        </w:rPr>
        <w:fldChar w:fldCharType="begin"/>
      </w:r>
      <w:r w:rsidR="00BA1D05" w:rsidRPr="00BA1D05">
        <w:rPr>
          <w:rFonts w:ascii="Calibri" w:hAnsi="Calibri"/>
        </w:rPr>
        <w:instrText xml:space="preserve"> REF _Ref39575197 \r \h  \* MERGEFORMAT </w:instrText>
      </w:r>
      <w:r w:rsidR="00BA1D05" w:rsidRPr="00BA1D05">
        <w:rPr>
          <w:rFonts w:ascii="Calibri" w:hAnsi="Calibri"/>
        </w:rPr>
      </w:r>
      <w:r w:rsidR="00BA1D05" w:rsidRPr="00BA1D05">
        <w:rPr>
          <w:rFonts w:ascii="Calibri" w:hAnsi="Calibri"/>
        </w:rPr>
        <w:fldChar w:fldCharType="separate"/>
      </w:r>
      <w:r w:rsidR="00964FA9">
        <w:rPr>
          <w:rFonts w:ascii="Calibri" w:hAnsi="Calibri"/>
        </w:rPr>
        <w:t>1.2.1.15</w:t>
      </w:r>
      <w:r w:rsidR="00BA1D05" w:rsidRPr="00BA1D05">
        <w:rPr>
          <w:rFonts w:ascii="Calibri" w:hAnsi="Calibri"/>
        </w:rPr>
        <w:fldChar w:fldCharType="end"/>
      </w:r>
      <w:r w:rsidRPr="00BA1D05">
        <w:rPr>
          <w:rFonts w:ascii="Calibri" w:hAnsi="Calibri"/>
        </w:rPr>
        <w:t>) en ‘tabel 8’ (paragraaf</w:t>
      </w:r>
      <w:r w:rsidR="00BA1D05" w:rsidRPr="00BA1D05">
        <w:rPr>
          <w:rFonts w:ascii="Calibri" w:hAnsi="Calibri"/>
        </w:rPr>
        <w:t xml:space="preserve"> </w:t>
      </w:r>
      <w:r w:rsidR="00BA1D05" w:rsidRPr="00BA1D05">
        <w:rPr>
          <w:rFonts w:ascii="Calibri" w:hAnsi="Calibri"/>
        </w:rPr>
        <w:fldChar w:fldCharType="begin"/>
      </w:r>
      <w:r w:rsidR="00BA1D05" w:rsidRPr="00BA1D05">
        <w:rPr>
          <w:rFonts w:ascii="Calibri" w:hAnsi="Calibri"/>
        </w:rPr>
        <w:instrText xml:space="preserve"> REF _Ref39575210 \r \h  \* MERGEFORMAT </w:instrText>
      </w:r>
      <w:r w:rsidR="00BA1D05" w:rsidRPr="00BA1D05">
        <w:rPr>
          <w:rFonts w:ascii="Calibri" w:hAnsi="Calibri"/>
        </w:rPr>
      </w:r>
      <w:r w:rsidR="00BA1D05" w:rsidRPr="00BA1D05">
        <w:rPr>
          <w:rFonts w:ascii="Calibri" w:hAnsi="Calibri"/>
        </w:rPr>
        <w:fldChar w:fldCharType="separate"/>
      </w:r>
      <w:r w:rsidR="00964FA9">
        <w:rPr>
          <w:rFonts w:ascii="Calibri" w:hAnsi="Calibri"/>
        </w:rPr>
        <w:t>1.2.1.16</w:t>
      </w:r>
      <w:r w:rsidR="00BA1D05" w:rsidRPr="00BA1D05">
        <w:rPr>
          <w:rFonts w:ascii="Calibri" w:hAnsi="Calibri"/>
        </w:rPr>
        <w:fldChar w:fldCharType="end"/>
      </w:r>
      <w:r w:rsidRPr="00BA1D05">
        <w:rPr>
          <w:rFonts w:ascii="Calibri" w:hAnsi="Calibri"/>
        </w:rPr>
        <w:t>) van het rapporteringsmodel te worden opgenomen.</w:t>
      </w:r>
    </w:p>
    <w:p w14:paraId="0D36F14B" w14:textId="4485A5F0" w:rsidR="00EE5CD7" w:rsidRPr="00BA1D05" w:rsidRDefault="00EE5CD7" w:rsidP="00EE5CD7">
      <w:pPr>
        <w:rPr>
          <w:rFonts w:ascii="Calibri" w:hAnsi="Calibri"/>
        </w:rPr>
      </w:pPr>
      <w:r w:rsidRPr="00BA1D05">
        <w:rPr>
          <w:rFonts w:ascii="Calibri" w:hAnsi="Calibri"/>
        </w:rPr>
        <w:t>Het budget voor boekjaar 20</w:t>
      </w:r>
      <w:r w:rsidR="00BA1D05" w:rsidRPr="00BA1D05">
        <w:rPr>
          <w:rFonts w:ascii="Calibri" w:hAnsi="Calibri"/>
        </w:rPr>
        <w:t>XX</w:t>
      </w:r>
      <w:r w:rsidRPr="00BA1D05">
        <w:rPr>
          <w:rFonts w:ascii="Calibri" w:hAnsi="Calibri"/>
        </w:rPr>
        <w:t xml:space="preserve"> vormt aldus de ex-ante startbasis en zal onderdeel uitmaken van het door de VREG toegelaten inkomen uit periodieke distributienettarieven voor endogene kosten voor het respectievelijke boekjaar. In het daaropvolgende boekjaar worden de werkelijke gegevens voor het desbetreffende boekjaar op ex-post basis gerapporteerd, waaruit vervolgens de betreffende regulatoire saldi resulteren.</w:t>
      </w:r>
    </w:p>
    <w:p w14:paraId="0FD39554" w14:textId="4BF5E52B" w:rsidR="00EE5CD7" w:rsidRPr="00820E2B" w:rsidRDefault="00EE5CD7" w:rsidP="00EE5CD7">
      <w:pPr>
        <w:pStyle w:val="Kop4"/>
      </w:pPr>
      <w:bookmarkStart w:id="112" w:name="_Toc81512476"/>
      <w:r w:rsidRPr="00820E2B">
        <w:t xml:space="preserve">TABEL </w:t>
      </w:r>
      <w:r w:rsidR="00041558">
        <w:t>10</w:t>
      </w:r>
      <w:r w:rsidR="00C55D19">
        <w:t>:</w:t>
      </w:r>
      <w:r w:rsidRPr="00820E2B">
        <w:t xml:space="preserve"> Fiscaal niet-aftrekbare afschrijvingen op herwaarderingsmeerwaarden</w:t>
      </w:r>
      <w:bookmarkEnd w:id="112"/>
    </w:p>
    <w:p w14:paraId="43146B24" w14:textId="48A0D1C3" w:rsidR="00EE5CD7" w:rsidRPr="00820E2B" w:rsidRDefault="00EE5CD7" w:rsidP="00EE5CD7">
      <w:pPr>
        <w:rPr>
          <w:rFonts w:ascii="Calibri" w:hAnsi="Calibri"/>
        </w:rPr>
      </w:pPr>
      <w:r w:rsidRPr="00820E2B">
        <w:rPr>
          <w:rFonts w:ascii="Calibri" w:hAnsi="Calibri"/>
        </w:rPr>
        <w:t>Deze tabel toont de detailberekening van de in het toegelaten inkomen in rekening te brengen fiscaal niet-aftrekbare afschrijvingen op de meerwaarden m.b.t. historische indexatie en de iRAB</w:t>
      </w:r>
      <w:r w:rsidR="007B5E9B" w:rsidRPr="007B5E9B">
        <w:rPr>
          <w:rFonts w:ascii="Calibri" w:hAnsi="Calibri"/>
          <w:color w:val="009999" w:themeColor="accent5"/>
        </w:rPr>
        <w:t>[,</w:t>
      </w:r>
      <w:r w:rsidR="007B5E9B" w:rsidRPr="00E42DD3">
        <w:rPr>
          <w:rFonts w:ascii="Calibri" w:hAnsi="Calibri"/>
          <w:color w:val="009999" w:themeColor="accent5"/>
        </w:rPr>
        <w:t xml:space="preserve"> evenals de afboeking van de betreffende meerwaarden bij de verkoop van activa</w:t>
      </w:r>
      <w:r w:rsidR="007B5E9B">
        <w:rPr>
          <w:rFonts w:ascii="Calibri" w:hAnsi="Calibri"/>
          <w:color w:val="009999" w:themeColor="accent5"/>
        </w:rPr>
        <w:t>]</w:t>
      </w:r>
      <w:r w:rsidR="007B5E9B">
        <w:rPr>
          <w:rStyle w:val="Voetnootmarkering"/>
          <w:rFonts w:ascii="Calibri" w:hAnsi="Calibri"/>
          <w:color w:val="009999" w:themeColor="accent5"/>
        </w:rPr>
        <w:footnoteReference w:id="21"/>
      </w:r>
      <w:r w:rsidR="007B5E9B" w:rsidRPr="0043072E">
        <w:rPr>
          <w:rFonts w:ascii="Calibri" w:hAnsi="Calibri"/>
        </w:rPr>
        <w:t>.</w:t>
      </w:r>
    </w:p>
    <w:p w14:paraId="015F23B1" w14:textId="1EAF0665" w:rsidR="00EE5CD7" w:rsidRPr="00820E2B" w:rsidRDefault="00EE5CD7" w:rsidP="00EE5CD7">
      <w:pPr>
        <w:rPr>
          <w:rFonts w:ascii="Calibri" w:hAnsi="Calibri"/>
        </w:rPr>
      </w:pPr>
      <w:r w:rsidRPr="00820E2B">
        <w:rPr>
          <w:rFonts w:ascii="Calibri" w:hAnsi="Calibri"/>
        </w:rPr>
        <w:t>De betreffende afschrijvingen worden zowel op ex-ante als ex-post basis automatisch afgeleid uit de gerapporteerde waarden in ‘tabel 1</w:t>
      </w:r>
      <w:r w:rsidR="00BB6A3A">
        <w:rPr>
          <w:rFonts w:ascii="Calibri" w:hAnsi="Calibri"/>
        </w:rPr>
        <w:t>3</w:t>
      </w:r>
      <w:r w:rsidRPr="00820E2B">
        <w:rPr>
          <w:rFonts w:ascii="Calibri" w:hAnsi="Calibri"/>
        </w:rPr>
        <w:t>A’</w:t>
      </w:r>
      <w:r w:rsidR="0017381A">
        <w:rPr>
          <w:rFonts w:ascii="Calibri" w:hAnsi="Calibri"/>
        </w:rPr>
        <w:t xml:space="preserve"> </w:t>
      </w:r>
      <w:r w:rsidR="00C25E7F">
        <w:rPr>
          <w:rFonts w:ascii="Calibri" w:hAnsi="Calibri"/>
        </w:rPr>
        <w:t>(elektriciteit – historische indexatie)</w:t>
      </w:r>
      <w:r w:rsidRPr="00820E2B">
        <w:rPr>
          <w:rFonts w:ascii="Calibri" w:hAnsi="Calibri"/>
        </w:rPr>
        <w:t>, ‘tabel 1</w:t>
      </w:r>
      <w:r w:rsidR="00BB6A3A">
        <w:rPr>
          <w:rFonts w:ascii="Calibri" w:hAnsi="Calibri"/>
        </w:rPr>
        <w:t>3</w:t>
      </w:r>
      <w:r w:rsidRPr="00820E2B">
        <w:rPr>
          <w:rFonts w:ascii="Calibri" w:hAnsi="Calibri"/>
        </w:rPr>
        <w:t>B’</w:t>
      </w:r>
      <w:r w:rsidR="00D86D98">
        <w:rPr>
          <w:rFonts w:ascii="Calibri" w:hAnsi="Calibri"/>
        </w:rPr>
        <w:t xml:space="preserve"> (elektriciteit – iRAB)</w:t>
      </w:r>
      <w:r w:rsidRPr="00820E2B">
        <w:rPr>
          <w:rFonts w:ascii="Calibri" w:hAnsi="Calibri"/>
        </w:rPr>
        <w:t>, ‘tabel 1</w:t>
      </w:r>
      <w:r w:rsidR="00C7415D">
        <w:rPr>
          <w:rFonts w:ascii="Calibri" w:hAnsi="Calibri"/>
        </w:rPr>
        <w:t>3</w:t>
      </w:r>
      <w:r w:rsidRPr="00820E2B">
        <w:rPr>
          <w:rFonts w:ascii="Calibri" w:hAnsi="Calibri"/>
        </w:rPr>
        <w:t xml:space="preserve">C’ </w:t>
      </w:r>
      <w:r w:rsidR="00D86D98">
        <w:rPr>
          <w:rFonts w:ascii="Calibri" w:hAnsi="Calibri"/>
        </w:rPr>
        <w:t xml:space="preserve">(gas – historische indexatie) </w:t>
      </w:r>
      <w:r w:rsidRPr="00820E2B">
        <w:rPr>
          <w:rFonts w:ascii="Calibri" w:hAnsi="Calibri"/>
        </w:rPr>
        <w:t>en ‘tabel 1</w:t>
      </w:r>
      <w:r w:rsidR="00C7415D">
        <w:rPr>
          <w:rFonts w:ascii="Calibri" w:hAnsi="Calibri"/>
        </w:rPr>
        <w:t>3</w:t>
      </w:r>
      <w:r w:rsidRPr="00820E2B">
        <w:rPr>
          <w:rFonts w:ascii="Calibri" w:hAnsi="Calibri"/>
        </w:rPr>
        <w:t>D’</w:t>
      </w:r>
      <w:r w:rsidR="00D86D98">
        <w:rPr>
          <w:rFonts w:ascii="Calibri" w:hAnsi="Calibri"/>
        </w:rPr>
        <w:t xml:space="preserve"> (gas – iRAB)</w:t>
      </w:r>
      <w:r w:rsidRPr="00820E2B">
        <w:rPr>
          <w:rFonts w:ascii="Calibri" w:hAnsi="Calibri"/>
        </w:rPr>
        <w:t>.</w:t>
      </w:r>
    </w:p>
    <w:p w14:paraId="39E8E816" w14:textId="0417FA23" w:rsidR="00EE5CD7" w:rsidRDefault="00EE5CD7" w:rsidP="00EE5CD7">
      <w:pPr>
        <w:rPr>
          <w:rFonts w:ascii="Calibri" w:hAnsi="Calibri"/>
        </w:rPr>
      </w:pPr>
      <w:r w:rsidRPr="00820E2B">
        <w:rPr>
          <w:rFonts w:ascii="Calibri" w:hAnsi="Calibri"/>
        </w:rPr>
        <w:t>Indien de statutaire aanslagvoet voor het betreffende boekjaar zou afwijken van de vooraf aangegeven aanslagvoet, kan de distributienetbeheerder de correcte waarde in rekening nemen.</w:t>
      </w:r>
    </w:p>
    <w:p w14:paraId="0D2C237B" w14:textId="77777777" w:rsidR="00BB6A3A" w:rsidRPr="0043072E" w:rsidRDefault="00BB6A3A" w:rsidP="00BB6A3A">
      <w:pPr>
        <w:pStyle w:val="Kop4"/>
      </w:pPr>
      <w:bookmarkStart w:id="113" w:name="_Toc81512477"/>
      <w:r w:rsidRPr="0043072E">
        <w:t xml:space="preserve">TABEL </w:t>
      </w:r>
      <w:r>
        <w:t>11</w:t>
      </w:r>
      <w:r w:rsidRPr="0043072E">
        <w:t xml:space="preserve">: Fiscaal niet-aftrekbare </w:t>
      </w:r>
      <w:r>
        <w:t>heffing volgens het Decreet houdende het Grootschalig Referentiebestand</w:t>
      </w:r>
      <w:bookmarkEnd w:id="113"/>
    </w:p>
    <w:p w14:paraId="7159E85E" w14:textId="703D65DB" w:rsidR="00BB6A3A" w:rsidRDefault="00BB6A3A" w:rsidP="00BB6A3A">
      <w:pPr>
        <w:rPr>
          <w:rFonts w:ascii="Calibri" w:hAnsi="Calibri"/>
        </w:rPr>
      </w:pPr>
      <w:r w:rsidRPr="0043072E">
        <w:rPr>
          <w:rFonts w:ascii="Calibri" w:hAnsi="Calibri"/>
        </w:rPr>
        <w:t xml:space="preserve">Deze tabel toont de detailberekening van de in het toegelaten inkomen in rekening te brengen fiscaal niet-aftrekbare </w:t>
      </w:r>
      <w:r>
        <w:rPr>
          <w:rFonts w:ascii="Calibri" w:hAnsi="Calibri"/>
        </w:rPr>
        <w:t>heffing volgens het Decreet houdende het Grootschalig Referentiebestand</w:t>
      </w:r>
      <w:r w:rsidR="00FF2920">
        <w:rPr>
          <w:rFonts w:ascii="Calibri" w:hAnsi="Calibri"/>
        </w:rPr>
        <w:t xml:space="preserve"> voor het boekjaar 20XX</w:t>
      </w:r>
      <w:r w:rsidRPr="0043072E">
        <w:rPr>
          <w:rFonts w:ascii="Calibri" w:hAnsi="Calibri"/>
        </w:rPr>
        <w:t>.</w:t>
      </w:r>
    </w:p>
    <w:p w14:paraId="26E3D341" w14:textId="0E83BE7F" w:rsidR="00BB6A3A" w:rsidRPr="00820E2B" w:rsidRDefault="00BB6A3A" w:rsidP="00BB6A3A">
      <w:pPr>
        <w:rPr>
          <w:rFonts w:ascii="Calibri" w:hAnsi="Calibri"/>
        </w:rPr>
      </w:pPr>
      <w:r>
        <w:rPr>
          <w:rFonts w:ascii="Calibri" w:hAnsi="Calibri"/>
        </w:rPr>
        <w:t xml:space="preserve">De kosten </w:t>
      </w:r>
      <w:r w:rsidR="00C3086C">
        <w:rPr>
          <w:rFonts w:ascii="Calibri" w:hAnsi="Calibri"/>
        </w:rPr>
        <w:t xml:space="preserve">van </w:t>
      </w:r>
      <w:r>
        <w:rPr>
          <w:rFonts w:ascii="Calibri" w:hAnsi="Calibri"/>
        </w:rPr>
        <w:t>de heffing worden zowel op ex-ante als ex-post basis automatisch afgeleid uit de betreffende waarden opgenomen in rubriek 3</w:t>
      </w:r>
      <w:r w:rsidR="00B4674C">
        <w:rPr>
          <w:rFonts w:ascii="Calibri" w:hAnsi="Calibri"/>
        </w:rPr>
        <w:t>6</w:t>
      </w:r>
      <w:r>
        <w:rPr>
          <w:rFonts w:ascii="Calibri" w:hAnsi="Calibri"/>
        </w:rPr>
        <w:t xml:space="preserve"> van ‘Tabel 3’.</w:t>
      </w:r>
    </w:p>
    <w:p w14:paraId="371C62F8" w14:textId="5C6CC3F9" w:rsidR="00EE5CD7" w:rsidRPr="00002BC9" w:rsidRDefault="00EE5CD7" w:rsidP="00EE5CD7">
      <w:pPr>
        <w:pStyle w:val="Kop4"/>
      </w:pPr>
      <w:bookmarkStart w:id="114" w:name="_Toc81512478"/>
      <w:r w:rsidRPr="00002BC9">
        <w:t>TABEL 1</w:t>
      </w:r>
      <w:r w:rsidR="00BB6A3A">
        <w:t>2</w:t>
      </w:r>
      <w:r w:rsidRPr="00002BC9">
        <w:t>: Notionele intrestaftrek</w:t>
      </w:r>
      <w:bookmarkEnd w:id="114"/>
    </w:p>
    <w:p w14:paraId="570D9444" w14:textId="147EDE96" w:rsidR="00EE5CD7" w:rsidRPr="00002BC9" w:rsidRDefault="00EE5CD7" w:rsidP="00EE5CD7">
      <w:pPr>
        <w:rPr>
          <w:rFonts w:ascii="Calibri" w:hAnsi="Calibri"/>
          <w:b/>
          <w:bCs/>
        </w:rPr>
      </w:pPr>
      <w:r w:rsidRPr="00002BC9">
        <w:rPr>
          <w:rFonts w:ascii="Calibri" w:hAnsi="Calibri"/>
        </w:rPr>
        <w:t>Deze tabel toont de detailberekening van de in het toegelaten inkomen in rekening te brengen notionele intrestaftrek voor boekjaar 20</w:t>
      </w:r>
      <w:r w:rsidR="00446AA2" w:rsidRPr="00002BC9">
        <w:rPr>
          <w:rFonts w:ascii="Calibri" w:hAnsi="Calibri"/>
        </w:rPr>
        <w:t>XX</w:t>
      </w:r>
      <w:r w:rsidRPr="00002BC9">
        <w:rPr>
          <w:rFonts w:ascii="Calibri" w:hAnsi="Calibri"/>
        </w:rPr>
        <w:t xml:space="preserve">. Daarbij dient de distributienetbeheerder het gecorrigeerd bedrag aan risicokapitaal in rekening te nemen. Aan de hand van een onderbouwende nota bij het rapporteringsmodel dient de distributienetbeheerder bovendien aan te tonen dat bij de berekening van dit gecorrigeerd bedrag aan risicokapitaal de bepalingen in </w:t>
      </w:r>
      <w:r w:rsidR="00FA196D">
        <w:rPr>
          <w:rFonts w:ascii="Calibri" w:hAnsi="Calibri"/>
        </w:rPr>
        <w:t>het wetboek inkomstenbelastingen</w:t>
      </w:r>
      <w:r w:rsidRPr="00002BC9">
        <w:rPr>
          <w:rFonts w:ascii="Calibri" w:hAnsi="Calibri"/>
        </w:rPr>
        <w:t xml:space="preserve"> werden gevolgd. Hierbij dient de distributienetbeheerder rekening te houden met het eigen vermogen en de correctieposten zoals deze blijken uit de </w:t>
      </w:r>
      <w:r w:rsidRPr="00002BC9">
        <w:rPr>
          <w:rFonts w:ascii="Calibri" w:hAnsi="Calibri"/>
        </w:rPr>
        <w:lastRenderedPageBreak/>
        <w:t>fiscale berekening voor het opstellen van de jaarrekening, waarna het hieruit resulterende gecorrigeerde bedrag aan risicokapitaal vervolgens a.d.h.v. een verdeelsleutel aan de verschillende activiteiten van de distributienetbeheerder wordt toegewezen.</w:t>
      </w:r>
    </w:p>
    <w:p w14:paraId="3EFDDC2E" w14:textId="3FEBC48B" w:rsidR="00EE5CD7" w:rsidRPr="00002BC9" w:rsidRDefault="00EE5CD7" w:rsidP="00EE5CD7">
      <w:pPr>
        <w:rPr>
          <w:rFonts w:ascii="Calibri" w:hAnsi="Calibri"/>
        </w:rPr>
      </w:pPr>
      <w:r w:rsidRPr="00002BC9">
        <w:rPr>
          <w:rFonts w:ascii="Calibri" w:hAnsi="Calibri"/>
        </w:rPr>
        <w:t>Gezien de timing van de ex-ante rapportering zal het basistarief voor de notionele intrestaftrek van boekjaar 20</w:t>
      </w:r>
      <w:r w:rsidR="00055FA8" w:rsidRPr="00002BC9">
        <w:rPr>
          <w:rFonts w:ascii="Calibri" w:hAnsi="Calibri"/>
        </w:rPr>
        <w:t>XX</w:t>
      </w:r>
      <w:r w:rsidRPr="00002BC9">
        <w:rPr>
          <w:rFonts w:ascii="Calibri" w:hAnsi="Calibri"/>
        </w:rPr>
        <w:t xml:space="preserve"> door de VREG worden ingevuld en dit conform de bepalingen in </w:t>
      </w:r>
      <w:r w:rsidR="00A3270D">
        <w:rPr>
          <w:rFonts w:ascii="Calibri" w:hAnsi="Calibri"/>
        </w:rPr>
        <w:t>het</w:t>
      </w:r>
      <w:r w:rsidRPr="00002BC9">
        <w:rPr>
          <w:rFonts w:ascii="Calibri" w:hAnsi="Calibri"/>
        </w:rPr>
        <w:t xml:space="preserve"> </w:t>
      </w:r>
      <w:r w:rsidR="00FE7B60">
        <w:rPr>
          <w:rFonts w:ascii="Calibri" w:hAnsi="Calibri"/>
        </w:rPr>
        <w:t>w</w:t>
      </w:r>
      <w:r w:rsidR="00A3270D">
        <w:rPr>
          <w:rFonts w:ascii="Calibri" w:hAnsi="Calibri"/>
        </w:rPr>
        <w:t>etboek inkomstenbelastingen</w:t>
      </w:r>
      <w:r w:rsidRPr="00002BC9">
        <w:rPr>
          <w:rFonts w:ascii="Calibri" w:hAnsi="Calibri"/>
        </w:rPr>
        <w:t xml:space="preserve"> voor zover de timing m.b.t. de vastlegging van het toegelaten inkomen 20</w:t>
      </w:r>
      <w:r w:rsidR="00055FA8" w:rsidRPr="00002BC9">
        <w:rPr>
          <w:rFonts w:ascii="Calibri" w:hAnsi="Calibri"/>
        </w:rPr>
        <w:t>XX</w:t>
      </w:r>
      <w:r w:rsidRPr="00002BC9">
        <w:rPr>
          <w:rFonts w:ascii="Calibri" w:hAnsi="Calibri"/>
        </w:rPr>
        <w:t xml:space="preserve"> dit toelaat. Indien de timing dit niet toelaat, zal de VREG een zo getrouw mogelijke inschatting maken van het basistarief voor de notionele intrestaftrek van het betreffende boekjaar. Op ex-post basis is het basistarief voor de notionele intrestaftrek van boekjaar 20</w:t>
      </w:r>
      <w:r w:rsidR="00002BC9" w:rsidRPr="00002BC9">
        <w:rPr>
          <w:rFonts w:ascii="Calibri" w:hAnsi="Calibri"/>
        </w:rPr>
        <w:t>XX</w:t>
      </w:r>
      <w:r w:rsidRPr="00002BC9">
        <w:rPr>
          <w:rFonts w:ascii="Calibri" w:hAnsi="Calibri"/>
        </w:rPr>
        <w:t xml:space="preserve"> uiteraard wel reeds gekend waardoor deze eenvoudig door de distributienetbeheerder zelf kan worden ingevuld.</w:t>
      </w:r>
    </w:p>
    <w:p w14:paraId="635C9F1C" w14:textId="49C6E853" w:rsidR="00EE5CD7" w:rsidRPr="00002BC9" w:rsidRDefault="00EE5CD7" w:rsidP="00EE5CD7">
      <w:pPr>
        <w:pStyle w:val="Kop4"/>
      </w:pPr>
      <w:bookmarkStart w:id="115" w:name="_Ref39575773"/>
      <w:bookmarkStart w:id="116" w:name="_Toc81512479"/>
      <w:r w:rsidRPr="00002BC9">
        <w:t>TABEL 1</w:t>
      </w:r>
      <w:r w:rsidR="00BB6A3A">
        <w:t>3</w:t>
      </w:r>
      <w:r w:rsidRPr="00002BC9">
        <w:t>A: Afschrijvingen van de meerwaarde op basis van de historische indexatie (materiële vaste activa) - elektriciteit</w:t>
      </w:r>
      <w:bookmarkEnd w:id="115"/>
      <w:bookmarkEnd w:id="116"/>
    </w:p>
    <w:p w14:paraId="7350E137" w14:textId="77777777" w:rsidR="00EE5CD7" w:rsidRPr="00002BC9" w:rsidRDefault="00EE5CD7" w:rsidP="00EE5CD7">
      <w:pPr>
        <w:rPr>
          <w:rFonts w:ascii="Calibri" w:hAnsi="Calibri"/>
        </w:rPr>
      </w:pPr>
      <w:r w:rsidRPr="00002BC9">
        <w:rPr>
          <w:rFonts w:ascii="Calibri" w:hAnsi="Calibri"/>
        </w:rPr>
        <w:t>In het verleden werd door de CREG een éénmalige meerwaarde op basis van de historische indexatie</w:t>
      </w:r>
      <w:r w:rsidRPr="00002BC9">
        <w:rPr>
          <w:rStyle w:val="Voetnootmarkering"/>
          <w:rFonts w:ascii="Calibri" w:hAnsi="Calibri"/>
        </w:rPr>
        <w:footnoteReference w:id="22"/>
      </w:r>
      <w:r w:rsidRPr="00002BC9">
        <w:rPr>
          <w:rFonts w:ascii="Calibri" w:hAnsi="Calibri"/>
        </w:rPr>
        <w:t xml:space="preserve"> goedgekeurd. Deze meerwaarden werden jaarlijks afgeschreven volgens een ritme dat verondersteld werd een weergave te zijn van de gemiddelde jaarlijkse desinvesteringen. Hierbij werd in de tarieven-KB’s 2008 bepaald dat de meerwaarde werd afgeboekt en in de kosten werd opgenomen à rato van 2% per jaar in de eerste reguleringsperiode (2009-2012). Na afloop van het derde jaar van elke reguleringsperiode werd het voortschrijdend gemiddelde van de buitendienststellingen over de voorbije 4 jaren bepaald en dit voortschrijdend gemiddelde werd vervolgens toegepast in de eerstvolgende reguleringsperiode. Het was dus de bedoeling om het percentage van 2% steeds te verfijnen op basis van de werkelijk vastgestelde buitendienststellingen bij de distributienetbeheerders. Om die reden was er een uitdrukkelijke attestering van de bedrijfsrevisor met betrekking tot de gebruikte methodiek en daadwerkelijke naleving ervan inzake buitendienst gestelde materiële vaste activa noodzakelijk. </w:t>
      </w:r>
    </w:p>
    <w:p w14:paraId="00DCF857" w14:textId="72F8763B" w:rsidR="00EE5CD7" w:rsidRPr="00002BC9" w:rsidRDefault="00EE5CD7" w:rsidP="00EE5CD7">
      <w:pPr>
        <w:rPr>
          <w:rFonts w:ascii="Calibri" w:hAnsi="Calibri"/>
        </w:rPr>
      </w:pPr>
      <w:r w:rsidRPr="00002BC9">
        <w:rPr>
          <w:rFonts w:ascii="Calibri" w:hAnsi="Calibri"/>
        </w:rPr>
        <w:t xml:space="preserve">Voor de reguleringsperioden 2017-2020 en 2021-2024 stelde de VREG eveneens een vast jaarlijks afschrijvingspercentage van 2% vast. Ook wenst de VREG aldus de voormelde jaarlijkse attestering van de bedrijfsrevisor aan te houden teneinde de kwaliteit van de methodiek inzake buitendienststellingen te blijven garanderen (zie Bijlage 6 van de tariefmethodologie voor verdere informatie m.b.t. oplevering van deze attestering). </w:t>
      </w:r>
    </w:p>
    <w:p w14:paraId="1F4AF3A4" w14:textId="39D7580E" w:rsidR="00681BE4" w:rsidRDefault="00EE5CD7" w:rsidP="00681BE4">
      <w:pPr>
        <w:rPr>
          <w:rFonts w:ascii="Calibri" w:hAnsi="Calibri"/>
        </w:rPr>
      </w:pPr>
      <w:r w:rsidRPr="00002BC9">
        <w:rPr>
          <w:rFonts w:ascii="Calibri" w:hAnsi="Calibri"/>
        </w:rPr>
        <w:t xml:space="preserve">In deze tabel wordt dus de evolutie van de meerwaarde op basis van de historische indexatie voor de gereguleerde activiteit ‘elektriciteit’ weergegeven door middel van een duidelijke opbouw van de nettoboekwaarde per jaar. </w:t>
      </w:r>
      <w:r w:rsidR="00681BE4" w:rsidRPr="0043072E">
        <w:rPr>
          <w:rFonts w:ascii="Calibri" w:hAnsi="Calibri"/>
        </w:rPr>
        <w:t xml:space="preserve">Deze evolutie kan enkel </w:t>
      </w:r>
      <w:r w:rsidR="00681BE4">
        <w:rPr>
          <w:rFonts w:ascii="Calibri" w:hAnsi="Calibri"/>
        </w:rPr>
        <w:t xml:space="preserve">transfers tussen activarubrieken, </w:t>
      </w:r>
      <w:r w:rsidR="00681BE4" w:rsidRPr="0043072E">
        <w:rPr>
          <w:rFonts w:ascii="Calibri" w:hAnsi="Calibri"/>
        </w:rPr>
        <w:t xml:space="preserve">afschrijvingen en </w:t>
      </w:r>
      <w:r w:rsidR="00681BE4">
        <w:rPr>
          <w:rFonts w:ascii="Calibri" w:hAnsi="Calibri"/>
        </w:rPr>
        <w:t xml:space="preserve">desinvesteringen </w:t>
      </w:r>
      <w:r w:rsidR="00B241DA">
        <w:rPr>
          <w:rFonts w:ascii="Calibri" w:hAnsi="Calibri"/>
        </w:rPr>
        <w:t xml:space="preserve">(n.a.v. verkoop of structuurwijzigingen van de distributienetbeheerder) </w:t>
      </w:r>
      <w:r w:rsidR="00681BE4" w:rsidRPr="0043072E">
        <w:rPr>
          <w:rFonts w:ascii="Calibri" w:hAnsi="Calibri"/>
        </w:rPr>
        <w:t xml:space="preserve">omvatten. </w:t>
      </w:r>
    </w:p>
    <w:p w14:paraId="02795D59" w14:textId="0A2336A1" w:rsidR="00681BE4" w:rsidRDefault="00681BE4" w:rsidP="00681BE4">
      <w:pPr>
        <w:rPr>
          <w:rFonts w:ascii="Calibri" w:hAnsi="Calibri"/>
        </w:rPr>
      </w:pPr>
      <w:r>
        <w:rPr>
          <w:rFonts w:ascii="Calibri" w:hAnsi="Calibri"/>
        </w:rPr>
        <w:t xml:space="preserve">De </w:t>
      </w:r>
      <w:r w:rsidR="0083170B">
        <w:rPr>
          <w:rFonts w:ascii="Calibri" w:hAnsi="Calibri"/>
        </w:rPr>
        <w:t xml:space="preserve">eventuele </w:t>
      </w:r>
      <w:r>
        <w:rPr>
          <w:rFonts w:ascii="Calibri" w:hAnsi="Calibri"/>
        </w:rPr>
        <w:t>transfers die door de distributienetbeheerder in het betreffende boekjaar tussen de verschillende activarubrieken werden doorgevoerd, dienen in een afzonderlijk verklarende nota uitgebreid te worden gemotiveerd.</w:t>
      </w:r>
    </w:p>
    <w:p w14:paraId="1D679FCE" w14:textId="04FEDB81" w:rsidR="00EE5CD7" w:rsidRPr="000D468A" w:rsidRDefault="00EE5CD7" w:rsidP="00681BE4">
      <w:pPr>
        <w:rPr>
          <w:rFonts w:ascii="Calibri" w:hAnsi="Calibri"/>
        </w:rPr>
      </w:pPr>
      <w:r w:rsidRPr="000D468A">
        <w:rPr>
          <w:rFonts w:ascii="Calibri" w:hAnsi="Calibri"/>
        </w:rPr>
        <w:t>Indien in de kolomhoofden een ‘+’-teken is opgenomen, dienen positieve waarden in deze kolom worden opgegeven, en omgekeerd.</w:t>
      </w:r>
    </w:p>
    <w:p w14:paraId="2B6A692B" w14:textId="30B8B1CA" w:rsidR="00EE5CD7" w:rsidRPr="000D468A" w:rsidRDefault="00EE5CD7" w:rsidP="00EE5CD7">
      <w:pPr>
        <w:pStyle w:val="Kop4"/>
      </w:pPr>
      <w:r w:rsidRPr="000D468A">
        <w:lastRenderedPageBreak/>
        <w:t xml:space="preserve"> </w:t>
      </w:r>
      <w:bookmarkStart w:id="117" w:name="_Toc81512480"/>
      <w:r w:rsidRPr="000D468A">
        <w:t>TABEL 1</w:t>
      </w:r>
      <w:r w:rsidR="00007486">
        <w:t>3</w:t>
      </w:r>
      <w:r w:rsidRPr="000D468A">
        <w:t>B: Afschrijvingen van de meerwaarde op basis van de iRAB (materiële vaste activa) - elektriciteit</w:t>
      </w:r>
      <w:bookmarkEnd w:id="117"/>
    </w:p>
    <w:p w14:paraId="2C516D77" w14:textId="2CA4E2FB" w:rsidR="00EE5CD7" w:rsidRPr="000D468A" w:rsidRDefault="00EE5CD7" w:rsidP="00EE5CD7">
      <w:pPr>
        <w:rPr>
          <w:rFonts w:ascii="Calibri" w:hAnsi="Calibri"/>
        </w:rPr>
      </w:pPr>
      <w:r w:rsidRPr="000D468A">
        <w:rPr>
          <w:rFonts w:ascii="Calibri" w:hAnsi="Calibri"/>
        </w:rPr>
        <w:t>Vergelijkbaar met paragraaf</w:t>
      </w:r>
      <w:r w:rsidR="00EE14F1" w:rsidRPr="000D468A">
        <w:rPr>
          <w:rFonts w:ascii="Calibri" w:hAnsi="Calibri"/>
        </w:rPr>
        <w:t xml:space="preserve"> </w:t>
      </w:r>
      <w:r w:rsidR="00EE14F1" w:rsidRPr="000D468A">
        <w:rPr>
          <w:rFonts w:ascii="Calibri" w:hAnsi="Calibri"/>
        </w:rPr>
        <w:fldChar w:fldCharType="begin"/>
      </w:r>
      <w:r w:rsidR="00EE14F1" w:rsidRPr="000D468A">
        <w:rPr>
          <w:rFonts w:ascii="Calibri" w:hAnsi="Calibri"/>
        </w:rPr>
        <w:instrText xml:space="preserve"> REF _Ref39575773 \r \h </w:instrText>
      </w:r>
      <w:r w:rsidR="000D468A">
        <w:rPr>
          <w:rFonts w:ascii="Calibri" w:hAnsi="Calibri"/>
        </w:rPr>
        <w:instrText xml:space="preserve"> \* MERGEFORMAT </w:instrText>
      </w:r>
      <w:r w:rsidR="00EE14F1" w:rsidRPr="000D468A">
        <w:rPr>
          <w:rFonts w:ascii="Calibri" w:hAnsi="Calibri"/>
        </w:rPr>
      </w:r>
      <w:r w:rsidR="00EE14F1" w:rsidRPr="000D468A">
        <w:rPr>
          <w:rFonts w:ascii="Calibri" w:hAnsi="Calibri"/>
        </w:rPr>
        <w:fldChar w:fldCharType="separate"/>
      </w:r>
      <w:r w:rsidR="00964FA9">
        <w:rPr>
          <w:rFonts w:ascii="Calibri" w:hAnsi="Calibri"/>
        </w:rPr>
        <w:t>1.2.1.21</w:t>
      </w:r>
      <w:r w:rsidR="00EE14F1" w:rsidRPr="000D468A">
        <w:rPr>
          <w:rFonts w:ascii="Calibri" w:hAnsi="Calibri"/>
        </w:rPr>
        <w:fldChar w:fldCharType="end"/>
      </w:r>
      <w:r w:rsidRPr="000D468A">
        <w:rPr>
          <w:rFonts w:ascii="Calibri" w:hAnsi="Calibri"/>
        </w:rPr>
        <w:t>, werd door de CREG in het verleden voor elke distributienetbeheerder een meerwaarde goedgekeurd op basis van de initiële waarde van het gereguleerd actief per 31 december 2001 voor de gereguleerde activiteit ‘elektriciteit’ (iRAB). Analoog met de meerwaarde op de historische indexatie werd ook deze meerwaarde afgeboekt aan een percentage dat verondersteld werd een weergave te zijn van de invloed van de gemiddelde jaarlijkse desinvesteringen. Voor de reguleringsperioden 2017-2020 en 2021-2024 stelde de VREG eveneens een vast jaarlijks afschrijvingspercentage van 2% vast. Zoals reeds eerder vermeld, wenst de VREG daarom de hieraan gekoppelde jaarlijkse attestering van de bedrijfsrevisor aan te houden teneinde de kwaliteit van de methodiek inzake buitendienststellingen te blijven garanderen (zie Bijlage 6 van de tariefmethodologie voor verdere informatie m.b.t. oplevering van deze attestering).</w:t>
      </w:r>
    </w:p>
    <w:p w14:paraId="40DDB074" w14:textId="31AB24E8" w:rsidR="00681BE4" w:rsidRDefault="00EE5CD7" w:rsidP="00681BE4">
      <w:pPr>
        <w:rPr>
          <w:rFonts w:ascii="Calibri" w:hAnsi="Calibri"/>
        </w:rPr>
      </w:pPr>
      <w:r w:rsidRPr="000D468A">
        <w:rPr>
          <w:rFonts w:ascii="Calibri" w:hAnsi="Calibri"/>
        </w:rPr>
        <w:t xml:space="preserve">Deze tabel geeft dus de evolutie van de meerwaarde op basis van de initiële RAB voor de gereguleerde activiteit ‘elektriciteit’ weer door middel van de duidelijke opbouw van de nettoboekwaarde per jaar. </w:t>
      </w:r>
      <w:r w:rsidR="00681BE4" w:rsidRPr="0043072E">
        <w:rPr>
          <w:rFonts w:ascii="Calibri" w:hAnsi="Calibri"/>
        </w:rPr>
        <w:t xml:space="preserve">Deze evolutie kan enkel </w:t>
      </w:r>
      <w:r w:rsidR="00681BE4">
        <w:rPr>
          <w:rFonts w:ascii="Calibri" w:hAnsi="Calibri"/>
        </w:rPr>
        <w:t xml:space="preserve">transfers tussen activarubrieken, </w:t>
      </w:r>
      <w:r w:rsidR="00681BE4" w:rsidRPr="0043072E">
        <w:rPr>
          <w:rFonts w:ascii="Calibri" w:hAnsi="Calibri"/>
        </w:rPr>
        <w:t xml:space="preserve">afschrijvingen en </w:t>
      </w:r>
      <w:r w:rsidR="00681BE4">
        <w:rPr>
          <w:rFonts w:ascii="Calibri" w:hAnsi="Calibri"/>
        </w:rPr>
        <w:t xml:space="preserve">desinvesteringen </w:t>
      </w:r>
      <w:r w:rsidR="00B241DA">
        <w:rPr>
          <w:rFonts w:ascii="Calibri" w:hAnsi="Calibri"/>
        </w:rPr>
        <w:t xml:space="preserve">(n.a.v. verkoop of structuurwijzigingen van de distributienetbeheerder) </w:t>
      </w:r>
      <w:r w:rsidR="00681BE4" w:rsidRPr="0043072E">
        <w:rPr>
          <w:rFonts w:ascii="Calibri" w:hAnsi="Calibri"/>
        </w:rPr>
        <w:t xml:space="preserve">omvatten. </w:t>
      </w:r>
    </w:p>
    <w:p w14:paraId="4AE135B6" w14:textId="1588FEA9" w:rsidR="00EE5CD7" w:rsidRPr="000D468A" w:rsidRDefault="00681BE4" w:rsidP="00681BE4">
      <w:pPr>
        <w:rPr>
          <w:rFonts w:ascii="Calibri" w:hAnsi="Calibri"/>
        </w:rPr>
      </w:pPr>
      <w:r>
        <w:rPr>
          <w:rFonts w:ascii="Calibri" w:hAnsi="Calibri"/>
        </w:rPr>
        <w:t xml:space="preserve">De </w:t>
      </w:r>
      <w:r w:rsidR="0083170B">
        <w:rPr>
          <w:rFonts w:ascii="Calibri" w:hAnsi="Calibri"/>
        </w:rPr>
        <w:t xml:space="preserve">eventuele </w:t>
      </w:r>
      <w:r>
        <w:rPr>
          <w:rFonts w:ascii="Calibri" w:hAnsi="Calibri"/>
        </w:rPr>
        <w:t>transfers die door de distributienetbeheerder in het betreffende boekjaar tussen de verschillende activarubrieken werden doorgevoerd, dienen in een afzonderlijk verklarende nota uitgebreid te worden gemotiveerd.</w:t>
      </w:r>
      <w:r w:rsidR="00EE5CD7" w:rsidRPr="000D468A">
        <w:rPr>
          <w:rFonts w:ascii="Calibri" w:hAnsi="Calibri"/>
        </w:rPr>
        <w:t xml:space="preserve"> </w:t>
      </w:r>
    </w:p>
    <w:p w14:paraId="3CD66BE5" w14:textId="77777777" w:rsidR="00EE5CD7" w:rsidRPr="000D468A" w:rsidRDefault="00EE5CD7" w:rsidP="00EE5CD7">
      <w:pPr>
        <w:rPr>
          <w:rFonts w:ascii="Calibri" w:hAnsi="Calibri"/>
        </w:rPr>
      </w:pPr>
      <w:r w:rsidRPr="000D468A">
        <w:rPr>
          <w:rFonts w:ascii="Calibri" w:hAnsi="Calibri"/>
        </w:rPr>
        <w:t>Indien in de kolomhoofden een ‘+’-teken is opgenomen, dienen positieve waarden in deze kolom worden opgegeven, en omgekeerd.</w:t>
      </w:r>
    </w:p>
    <w:p w14:paraId="08F615CC" w14:textId="0674CD26" w:rsidR="00EE5CD7" w:rsidRPr="000D468A" w:rsidRDefault="00EE5CD7" w:rsidP="00EE5CD7">
      <w:pPr>
        <w:pStyle w:val="Kop4"/>
      </w:pPr>
      <w:bookmarkStart w:id="118" w:name="_Ref39575880"/>
      <w:bookmarkStart w:id="119" w:name="_Toc81512481"/>
      <w:r w:rsidRPr="000D468A">
        <w:t xml:space="preserve">TABEL </w:t>
      </w:r>
      <w:r w:rsidR="00041558">
        <w:t>1</w:t>
      </w:r>
      <w:r w:rsidR="00007486">
        <w:t>3</w:t>
      </w:r>
      <w:r w:rsidRPr="000D468A">
        <w:t>C: Afschrijvingen van de meerwaarde op basis van de historische indexatie (materiële vaste activa) - gas</w:t>
      </w:r>
      <w:bookmarkEnd w:id="118"/>
      <w:bookmarkEnd w:id="119"/>
    </w:p>
    <w:p w14:paraId="63AEF246" w14:textId="605F44B8" w:rsidR="00EE5CD7" w:rsidRPr="000D468A" w:rsidRDefault="00EE5CD7" w:rsidP="00EE5CD7">
      <w:pPr>
        <w:rPr>
          <w:rFonts w:ascii="Calibri" w:hAnsi="Calibri"/>
        </w:rPr>
      </w:pPr>
      <w:r w:rsidRPr="000D468A">
        <w:rPr>
          <w:rFonts w:ascii="Calibri" w:hAnsi="Calibri"/>
        </w:rPr>
        <w:t>Analoog aan paragraaf</w:t>
      </w:r>
      <w:r w:rsidR="000D468A" w:rsidRPr="000D468A">
        <w:rPr>
          <w:rFonts w:ascii="Calibri" w:hAnsi="Calibri"/>
        </w:rPr>
        <w:t xml:space="preserve"> </w:t>
      </w:r>
      <w:r w:rsidR="000D468A" w:rsidRPr="000D468A">
        <w:rPr>
          <w:rFonts w:ascii="Calibri" w:hAnsi="Calibri"/>
        </w:rPr>
        <w:fldChar w:fldCharType="begin"/>
      </w:r>
      <w:r w:rsidR="000D468A" w:rsidRPr="000D468A">
        <w:rPr>
          <w:rFonts w:ascii="Calibri" w:hAnsi="Calibri"/>
        </w:rPr>
        <w:instrText xml:space="preserve"> REF _Ref39575773 \r \h  \* MERGEFORMAT </w:instrText>
      </w:r>
      <w:r w:rsidR="000D468A" w:rsidRPr="000D468A">
        <w:rPr>
          <w:rFonts w:ascii="Calibri" w:hAnsi="Calibri"/>
        </w:rPr>
      </w:r>
      <w:r w:rsidR="000D468A" w:rsidRPr="000D468A">
        <w:rPr>
          <w:rFonts w:ascii="Calibri" w:hAnsi="Calibri"/>
        </w:rPr>
        <w:fldChar w:fldCharType="separate"/>
      </w:r>
      <w:r w:rsidR="00964FA9">
        <w:rPr>
          <w:rFonts w:ascii="Calibri" w:hAnsi="Calibri"/>
        </w:rPr>
        <w:t>1.2.1.21</w:t>
      </w:r>
      <w:r w:rsidR="000D468A" w:rsidRPr="000D468A">
        <w:rPr>
          <w:rFonts w:ascii="Calibri" w:hAnsi="Calibri"/>
        </w:rPr>
        <w:fldChar w:fldCharType="end"/>
      </w:r>
      <w:r w:rsidRPr="000D468A">
        <w:rPr>
          <w:rFonts w:ascii="Calibri" w:hAnsi="Calibri"/>
        </w:rPr>
        <w:t>, werd ook voor de gereguleerde activiteit ‘aardgas’ in het verleden door de CREG een éénmalige meerwaarde op basis van de historische indexatie</w:t>
      </w:r>
      <w:r w:rsidRPr="000D468A">
        <w:rPr>
          <w:rStyle w:val="Voetnootmarkering"/>
          <w:rFonts w:ascii="Calibri" w:hAnsi="Calibri"/>
        </w:rPr>
        <w:footnoteReference w:id="23"/>
      </w:r>
      <w:r w:rsidRPr="000D468A">
        <w:rPr>
          <w:rFonts w:ascii="Calibri" w:hAnsi="Calibri"/>
        </w:rPr>
        <w:t xml:space="preserve"> goedgekeurd. Ook deze meerwaarden werden jaarlijks afgeschreven volgens een ritme dat verondersteld werd een weergave te zijn van de gemiddelde jaarlijkse desinvesteringen. Hierbij werd in de tarieven-KB’s 2008 bepaald dat de meerwaarde werd afgeboekt en in de kosten werd opgenomen à rato van 2% per jaar in de eerste reguleringsperiode (2009-2012). Na afloop van het derde jaar van elke reguleringsperiode werd het voortschrijdend gemiddelde van de buitendienststellingen over de voorbije 4 jaren bepaald en dit voortschrijdend gemiddelde werd vervolgens toegepast in de eerstvolgende reguleringsperiode. Het was dus de bedoeling om het percentage van 2% steeds te verfijnen op basis van de werkelijk vastgestelde buitendienststellingen bij de distributienetbeheerders. Om die reden was er een uitdrukkelijke attestering van de bedrijfsrevisor met betrekking tot de gebruikte methodiek en daadwerkelijke naleving ervan inzake buitendienst gestelde materiële vaste activa noodzakelijk. </w:t>
      </w:r>
    </w:p>
    <w:p w14:paraId="499145FD" w14:textId="240D3E43" w:rsidR="00EE5CD7" w:rsidRPr="000D468A" w:rsidRDefault="00EE5CD7" w:rsidP="00EE5CD7">
      <w:pPr>
        <w:rPr>
          <w:rFonts w:ascii="Calibri" w:hAnsi="Calibri"/>
        </w:rPr>
      </w:pPr>
      <w:r w:rsidRPr="000D468A">
        <w:rPr>
          <w:rFonts w:ascii="Calibri" w:hAnsi="Calibri"/>
        </w:rPr>
        <w:t xml:space="preserve">Voor de reguleringsperioden 2017-2020 en 2021-2024 stelde de VREG eveneens een vast jaarlijks afschrijvingspercentage van 2% vast. Ook wenst de VREG aldus de voormelde jaarlijkse attestering </w:t>
      </w:r>
      <w:r w:rsidRPr="000D468A">
        <w:rPr>
          <w:rFonts w:ascii="Calibri" w:hAnsi="Calibri"/>
        </w:rPr>
        <w:lastRenderedPageBreak/>
        <w:t xml:space="preserve">van de bedrijfsrevisor aan te houden teneinde de kwaliteit van de methodiek inzake buitendienststellingen te blijven garanderen (zie Bijlage 6 van de tariefmethodologie voor verdere informatie m.b.t. oplevering van deze attestering). </w:t>
      </w:r>
    </w:p>
    <w:p w14:paraId="4F2D3FDF" w14:textId="3EC5A377" w:rsidR="00681BE4" w:rsidRDefault="00EE5CD7" w:rsidP="00681BE4">
      <w:pPr>
        <w:rPr>
          <w:rFonts w:ascii="Calibri" w:hAnsi="Calibri"/>
        </w:rPr>
      </w:pPr>
      <w:r w:rsidRPr="000D468A">
        <w:rPr>
          <w:rFonts w:ascii="Calibri" w:hAnsi="Calibri"/>
        </w:rPr>
        <w:t xml:space="preserve">In deze tabel wordt dus de evolutie van de meerwaarde op basis van de historische indexatie voor de gereguleerde activiteit ‘aardgas’ weergegeven door middel van een duidelijke opbouw van de nettoboekwaarde per jaar. </w:t>
      </w:r>
      <w:r w:rsidR="00681BE4" w:rsidRPr="0043072E">
        <w:rPr>
          <w:rFonts w:ascii="Calibri" w:hAnsi="Calibri"/>
        </w:rPr>
        <w:t xml:space="preserve">Deze evolutie kan enkel </w:t>
      </w:r>
      <w:r w:rsidR="00681BE4">
        <w:rPr>
          <w:rFonts w:ascii="Calibri" w:hAnsi="Calibri"/>
        </w:rPr>
        <w:t xml:space="preserve">transfers tussen activarubrieken, </w:t>
      </w:r>
      <w:r w:rsidR="00681BE4" w:rsidRPr="0043072E">
        <w:rPr>
          <w:rFonts w:ascii="Calibri" w:hAnsi="Calibri"/>
        </w:rPr>
        <w:t xml:space="preserve">afschrijvingen en </w:t>
      </w:r>
      <w:r w:rsidR="00681BE4">
        <w:rPr>
          <w:rFonts w:ascii="Calibri" w:hAnsi="Calibri"/>
        </w:rPr>
        <w:t xml:space="preserve">desinvesteringen </w:t>
      </w:r>
      <w:r w:rsidR="00B241DA">
        <w:rPr>
          <w:rFonts w:ascii="Calibri" w:hAnsi="Calibri"/>
        </w:rPr>
        <w:t xml:space="preserve">(n.a.v. verkoop of structuurwijzigingen van de distributienetbeheerder) </w:t>
      </w:r>
      <w:r w:rsidR="00681BE4" w:rsidRPr="0043072E">
        <w:rPr>
          <w:rFonts w:ascii="Calibri" w:hAnsi="Calibri"/>
        </w:rPr>
        <w:t xml:space="preserve">omvatten. </w:t>
      </w:r>
    </w:p>
    <w:p w14:paraId="6536DD97" w14:textId="2D8CFAF1" w:rsidR="00EE5CD7" w:rsidRPr="000D468A" w:rsidRDefault="00681BE4" w:rsidP="00681BE4">
      <w:pPr>
        <w:rPr>
          <w:rFonts w:ascii="Calibri" w:hAnsi="Calibri"/>
        </w:rPr>
      </w:pPr>
      <w:r>
        <w:rPr>
          <w:rFonts w:ascii="Calibri" w:hAnsi="Calibri"/>
        </w:rPr>
        <w:t xml:space="preserve">De </w:t>
      </w:r>
      <w:r w:rsidR="0083170B">
        <w:rPr>
          <w:rFonts w:ascii="Calibri" w:hAnsi="Calibri"/>
        </w:rPr>
        <w:t xml:space="preserve">eventuele </w:t>
      </w:r>
      <w:r>
        <w:rPr>
          <w:rFonts w:ascii="Calibri" w:hAnsi="Calibri"/>
        </w:rPr>
        <w:t>transfers die door de distributienetbeheerder in het betreffende boekjaar tussen de verschillende activarubrieken werden doorgevoerd, dienen in een afzonderlijk verklarende nota uitgebreid te worden gemotiveerd.</w:t>
      </w:r>
    </w:p>
    <w:p w14:paraId="04DFCC2A" w14:textId="77777777" w:rsidR="00EE5CD7" w:rsidRPr="00A27984" w:rsidRDefault="00EE5CD7" w:rsidP="00EE5CD7">
      <w:pPr>
        <w:rPr>
          <w:rFonts w:ascii="Calibri" w:hAnsi="Calibri"/>
        </w:rPr>
      </w:pPr>
      <w:r w:rsidRPr="000D468A">
        <w:rPr>
          <w:rFonts w:ascii="Calibri" w:hAnsi="Calibri"/>
        </w:rPr>
        <w:t xml:space="preserve">Indien in de kolomhoofden een ‘+’-teken is opgenomen, dienen positieve waarden in deze kolom </w:t>
      </w:r>
      <w:r w:rsidRPr="00A27984">
        <w:rPr>
          <w:rFonts w:ascii="Calibri" w:hAnsi="Calibri"/>
        </w:rPr>
        <w:t>worden opgegeven, en omgekeerd.</w:t>
      </w:r>
    </w:p>
    <w:p w14:paraId="18A826BA" w14:textId="6AC40DFC" w:rsidR="00EE5CD7" w:rsidRPr="00A27984" w:rsidRDefault="00EE5CD7" w:rsidP="00EE5CD7">
      <w:pPr>
        <w:pStyle w:val="Kop4"/>
      </w:pPr>
      <w:r w:rsidRPr="00A27984">
        <w:t xml:space="preserve"> </w:t>
      </w:r>
      <w:bookmarkStart w:id="120" w:name="_Toc81512482"/>
      <w:r w:rsidRPr="00A27984">
        <w:t>TABEL 1</w:t>
      </w:r>
      <w:r w:rsidR="00007486">
        <w:t>3</w:t>
      </w:r>
      <w:r w:rsidRPr="00A27984">
        <w:t>D: Afschrijvingen van de meerwaarde op basis van de iRAB (materiële vaste activa) - gas</w:t>
      </w:r>
      <w:bookmarkEnd w:id="120"/>
    </w:p>
    <w:p w14:paraId="05E25B48" w14:textId="0CB0E278" w:rsidR="00EE5CD7" w:rsidRPr="00A27984" w:rsidRDefault="00EE5CD7" w:rsidP="00EE5CD7">
      <w:pPr>
        <w:rPr>
          <w:rFonts w:ascii="Calibri" w:hAnsi="Calibri"/>
        </w:rPr>
      </w:pPr>
      <w:r w:rsidRPr="00A27984">
        <w:rPr>
          <w:rFonts w:ascii="Calibri" w:hAnsi="Calibri"/>
        </w:rPr>
        <w:t xml:space="preserve">Vergelijkbaar met paragraaf </w:t>
      </w:r>
      <w:r w:rsidR="000D468A" w:rsidRPr="00A27984">
        <w:rPr>
          <w:rFonts w:ascii="Calibri" w:hAnsi="Calibri"/>
        </w:rPr>
        <w:fldChar w:fldCharType="begin"/>
      </w:r>
      <w:r w:rsidR="000D468A" w:rsidRPr="00A27984">
        <w:rPr>
          <w:rFonts w:ascii="Calibri" w:hAnsi="Calibri"/>
        </w:rPr>
        <w:instrText xml:space="preserve"> REF _Ref39575880 \r \h </w:instrText>
      </w:r>
      <w:r w:rsidR="00A27984">
        <w:rPr>
          <w:rFonts w:ascii="Calibri" w:hAnsi="Calibri"/>
        </w:rPr>
        <w:instrText xml:space="preserve"> \* MERGEFORMAT </w:instrText>
      </w:r>
      <w:r w:rsidR="000D468A" w:rsidRPr="00A27984">
        <w:rPr>
          <w:rFonts w:ascii="Calibri" w:hAnsi="Calibri"/>
        </w:rPr>
      </w:r>
      <w:r w:rsidR="000D468A" w:rsidRPr="00A27984">
        <w:rPr>
          <w:rFonts w:ascii="Calibri" w:hAnsi="Calibri"/>
        </w:rPr>
        <w:fldChar w:fldCharType="separate"/>
      </w:r>
      <w:r w:rsidR="00964FA9">
        <w:rPr>
          <w:rFonts w:ascii="Calibri" w:hAnsi="Calibri"/>
        </w:rPr>
        <w:t>1.2.1.23</w:t>
      </w:r>
      <w:r w:rsidR="000D468A" w:rsidRPr="00A27984">
        <w:rPr>
          <w:rFonts w:ascii="Calibri" w:hAnsi="Calibri"/>
        </w:rPr>
        <w:fldChar w:fldCharType="end"/>
      </w:r>
      <w:r w:rsidRPr="00A27984">
        <w:rPr>
          <w:rFonts w:ascii="Calibri" w:hAnsi="Calibri"/>
        </w:rPr>
        <w:fldChar w:fldCharType="begin"/>
      </w:r>
      <w:r w:rsidRPr="00A27984">
        <w:rPr>
          <w:rFonts w:ascii="Calibri" w:hAnsi="Calibri"/>
        </w:rPr>
        <w:instrText xml:space="preserve"> REF _Ref38876717 \r \h  \* MERGEFORMAT </w:instrText>
      </w:r>
      <w:r w:rsidRPr="00A27984">
        <w:rPr>
          <w:rFonts w:ascii="Calibri" w:hAnsi="Calibri"/>
        </w:rPr>
      </w:r>
      <w:r w:rsidRPr="00A27984">
        <w:rPr>
          <w:rFonts w:ascii="Calibri" w:hAnsi="Calibri"/>
        </w:rPr>
        <w:fldChar w:fldCharType="separate"/>
      </w:r>
      <w:r w:rsidR="00964FA9">
        <w:rPr>
          <w:rFonts w:ascii="Calibri" w:hAnsi="Calibri"/>
        </w:rPr>
        <w:t>1.1.1.22</w:t>
      </w:r>
      <w:r w:rsidRPr="00A27984">
        <w:rPr>
          <w:rFonts w:ascii="Calibri" w:hAnsi="Calibri"/>
        </w:rPr>
        <w:fldChar w:fldCharType="end"/>
      </w:r>
      <w:r w:rsidRPr="00A27984">
        <w:rPr>
          <w:rFonts w:ascii="Calibri" w:hAnsi="Calibri"/>
        </w:rPr>
        <w:t>, werd door de CREG in het verleden voor elke distributienetbeheerder een meerwaarde goedgekeurd op basis van de initiële waarde van het gereguleerd actief per 31 december 2001 voor de gereguleerde activiteit ‘</w:t>
      </w:r>
      <w:r w:rsidR="000D468A" w:rsidRPr="00A27984">
        <w:rPr>
          <w:rFonts w:ascii="Calibri" w:hAnsi="Calibri"/>
        </w:rPr>
        <w:t>aardgas</w:t>
      </w:r>
      <w:r w:rsidRPr="00A27984">
        <w:rPr>
          <w:rFonts w:ascii="Calibri" w:hAnsi="Calibri"/>
        </w:rPr>
        <w:t>’ (iRAB). Analoog met de meerwaarde op de historische indexatie werd ook deze meerwaarde afgeboekt aan een percentage dat verondersteld werd een weergave te zijn van de invloed van de gemiddelde jaarlijkse desinvesteringen. Voor de reguleringsperioden 2017-2020 en 2021-2024 stelde de VREG eveneens een vast jaarlijks afschrijvingspercentage van 2% vast. Zoals reeds eerder vermeld, wenst de VREG daarom de hieraan gekoppelde jaarlijkse attestering van de bedrijfsrevisor aan te houden teneinde de kwaliteit van de methodiek inzake buitendienststellingen te blijven garanderen (zie Bijlage 6 van de tariefmethodologie voor verdere informatie m.b.t. oplevering van deze attestering).</w:t>
      </w:r>
    </w:p>
    <w:p w14:paraId="703CF798" w14:textId="50CD4811" w:rsidR="00681BE4" w:rsidRDefault="00EE5CD7" w:rsidP="00681BE4">
      <w:pPr>
        <w:rPr>
          <w:rFonts w:ascii="Calibri" w:hAnsi="Calibri"/>
        </w:rPr>
      </w:pPr>
      <w:r w:rsidRPr="00A27984">
        <w:rPr>
          <w:rFonts w:ascii="Calibri" w:hAnsi="Calibri"/>
        </w:rPr>
        <w:t xml:space="preserve">Deze tabel geeft dus de evolutie van de meerwaarde op basis van de initiële RAB voor de gereguleerde activiteit ‘aardgas’ weer door middel van de duidelijke opbouw van de nettoboekwaarde per jaar. </w:t>
      </w:r>
      <w:r w:rsidR="00681BE4" w:rsidRPr="0043072E">
        <w:rPr>
          <w:rFonts w:ascii="Calibri" w:hAnsi="Calibri"/>
        </w:rPr>
        <w:t xml:space="preserve">Deze evolutie kan enkel </w:t>
      </w:r>
      <w:r w:rsidR="00681BE4">
        <w:rPr>
          <w:rFonts w:ascii="Calibri" w:hAnsi="Calibri"/>
        </w:rPr>
        <w:t xml:space="preserve">transfers tussen activarubrieken, </w:t>
      </w:r>
      <w:r w:rsidR="00681BE4" w:rsidRPr="0043072E">
        <w:rPr>
          <w:rFonts w:ascii="Calibri" w:hAnsi="Calibri"/>
        </w:rPr>
        <w:t xml:space="preserve">afschrijvingen en </w:t>
      </w:r>
      <w:r w:rsidR="00681BE4">
        <w:rPr>
          <w:rFonts w:ascii="Calibri" w:hAnsi="Calibri"/>
        </w:rPr>
        <w:t xml:space="preserve">desinvesteringen </w:t>
      </w:r>
      <w:r w:rsidR="00B241DA">
        <w:rPr>
          <w:rFonts w:ascii="Calibri" w:hAnsi="Calibri"/>
        </w:rPr>
        <w:t xml:space="preserve">(n.a.v. verkoop of structuurwijzigingen van de distributienetbeheerder) </w:t>
      </w:r>
      <w:r w:rsidR="00681BE4" w:rsidRPr="0043072E">
        <w:rPr>
          <w:rFonts w:ascii="Calibri" w:hAnsi="Calibri"/>
        </w:rPr>
        <w:t xml:space="preserve">omvatten. </w:t>
      </w:r>
    </w:p>
    <w:p w14:paraId="57D484FD" w14:textId="21CEFFF0" w:rsidR="00EE5CD7" w:rsidRPr="00A27984" w:rsidRDefault="00681BE4" w:rsidP="00681BE4">
      <w:pPr>
        <w:rPr>
          <w:rFonts w:ascii="Calibri" w:hAnsi="Calibri"/>
        </w:rPr>
      </w:pPr>
      <w:r>
        <w:rPr>
          <w:rFonts w:ascii="Calibri" w:hAnsi="Calibri"/>
        </w:rPr>
        <w:t xml:space="preserve">De </w:t>
      </w:r>
      <w:r w:rsidR="0083170B">
        <w:rPr>
          <w:rFonts w:ascii="Calibri" w:hAnsi="Calibri"/>
        </w:rPr>
        <w:t xml:space="preserve">eventuele </w:t>
      </w:r>
      <w:r>
        <w:rPr>
          <w:rFonts w:ascii="Calibri" w:hAnsi="Calibri"/>
        </w:rPr>
        <w:t>transfers die door de distributienetbeheerder in het betreffende boekjaar tussen de verschillende activarubrieken werden doorgevoerd, dienen in een afzonderlijk verklarende nota uitgebreid te worden gemotiveerd.</w:t>
      </w:r>
      <w:r w:rsidR="00EE5CD7" w:rsidRPr="00A27984">
        <w:rPr>
          <w:rFonts w:ascii="Calibri" w:hAnsi="Calibri"/>
        </w:rPr>
        <w:t xml:space="preserve"> </w:t>
      </w:r>
    </w:p>
    <w:p w14:paraId="0EFEC1B8" w14:textId="77777777" w:rsidR="00EE5CD7" w:rsidRPr="00A27984" w:rsidRDefault="00EE5CD7" w:rsidP="00EE5CD7">
      <w:pPr>
        <w:rPr>
          <w:rFonts w:ascii="Calibri" w:hAnsi="Calibri"/>
        </w:rPr>
      </w:pPr>
      <w:r w:rsidRPr="00A27984">
        <w:rPr>
          <w:rFonts w:ascii="Calibri" w:hAnsi="Calibri"/>
        </w:rPr>
        <w:t>Indien in de kolomhoofden een ‘+’-teken is opgenomen, dienen positieve waarden in deze kolom worden opgegeven, en omgekeerd.</w:t>
      </w:r>
    </w:p>
    <w:p w14:paraId="5E5A6138" w14:textId="55B7AAF1" w:rsidR="00EE5CD7" w:rsidRPr="00A27984" w:rsidRDefault="00EE5CD7" w:rsidP="00EE5CD7">
      <w:pPr>
        <w:pStyle w:val="Kop4"/>
      </w:pPr>
      <w:bookmarkStart w:id="121" w:name="_Toc81512483"/>
      <w:r w:rsidRPr="00A27984">
        <w:t xml:space="preserve">TABEL </w:t>
      </w:r>
      <w:r w:rsidR="00007486">
        <w:t>14</w:t>
      </w:r>
      <w:r w:rsidRPr="00A27984">
        <w:t>: Kapitaalkostvergoeding herwaarderingsmeerwaarden</w:t>
      </w:r>
      <w:bookmarkEnd w:id="121"/>
    </w:p>
    <w:p w14:paraId="4C509615" w14:textId="13E1DB3C" w:rsidR="00EE5CD7" w:rsidRPr="00A27984" w:rsidRDefault="00EE5CD7" w:rsidP="00EE5CD7">
      <w:pPr>
        <w:rPr>
          <w:rFonts w:ascii="Calibri" w:hAnsi="Calibri"/>
        </w:rPr>
      </w:pPr>
      <w:r w:rsidRPr="00A27984">
        <w:rPr>
          <w:rFonts w:ascii="Calibri" w:hAnsi="Calibri"/>
        </w:rPr>
        <w:t>Deze tabel geeft de kapitaalkostvergoeding op de RAB-waarde m.b.t. herwaarderingsmeerwaarden weer. De evolutie van de RAB-waarde wordt automatisch berekend op basis van de gegevens die</w:t>
      </w:r>
      <w:r w:rsidR="00700665">
        <w:rPr>
          <w:rFonts w:ascii="Calibri" w:hAnsi="Calibri"/>
        </w:rPr>
        <w:t xml:space="preserve"> in</w:t>
      </w:r>
      <w:r w:rsidRPr="00A27984">
        <w:rPr>
          <w:rFonts w:ascii="Calibri" w:hAnsi="Calibri"/>
        </w:rPr>
        <w:t xml:space="preserve"> </w:t>
      </w:r>
      <w:r w:rsidR="00700665" w:rsidRPr="00820E2B">
        <w:rPr>
          <w:rFonts w:ascii="Calibri" w:hAnsi="Calibri"/>
        </w:rPr>
        <w:t>‘tabel 1</w:t>
      </w:r>
      <w:r w:rsidR="001E7F46">
        <w:rPr>
          <w:rFonts w:ascii="Calibri" w:hAnsi="Calibri"/>
        </w:rPr>
        <w:t>3</w:t>
      </w:r>
      <w:r w:rsidR="00700665" w:rsidRPr="00820E2B">
        <w:rPr>
          <w:rFonts w:ascii="Calibri" w:hAnsi="Calibri"/>
        </w:rPr>
        <w:t>A’</w:t>
      </w:r>
      <w:r w:rsidR="00700665">
        <w:rPr>
          <w:rFonts w:ascii="Calibri" w:hAnsi="Calibri"/>
        </w:rPr>
        <w:t xml:space="preserve"> (elektriciteit – historische indexatie)</w:t>
      </w:r>
      <w:r w:rsidR="00700665" w:rsidRPr="00820E2B">
        <w:rPr>
          <w:rFonts w:ascii="Calibri" w:hAnsi="Calibri"/>
        </w:rPr>
        <w:t>, ‘tabel 1</w:t>
      </w:r>
      <w:r w:rsidR="001E7F46">
        <w:rPr>
          <w:rFonts w:ascii="Calibri" w:hAnsi="Calibri"/>
        </w:rPr>
        <w:t>3</w:t>
      </w:r>
      <w:r w:rsidR="00700665" w:rsidRPr="00820E2B">
        <w:rPr>
          <w:rFonts w:ascii="Calibri" w:hAnsi="Calibri"/>
        </w:rPr>
        <w:t>B’</w:t>
      </w:r>
      <w:r w:rsidR="00700665">
        <w:rPr>
          <w:rFonts w:ascii="Calibri" w:hAnsi="Calibri"/>
        </w:rPr>
        <w:t xml:space="preserve"> (elektriciteit – iRAB)</w:t>
      </w:r>
      <w:r w:rsidR="00700665" w:rsidRPr="00820E2B">
        <w:rPr>
          <w:rFonts w:ascii="Calibri" w:hAnsi="Calibri"/>
        </w:rPr>
        <w:t>, ‘tabel 1</w:t>
      </w:r>
      <w:r w:rsidR="001E7F46">
        <w:rPr>
          <w:rFonts w:ascii="Calibri" w:hAnsi="Calibri"/>
        </w:rPr>
        <w:t>3</w:t>
      </w:r>
      <w:r w:rsidR="00700665" w:rsidRPr="00820E2B">
        <w:rPr>
          <w:rFonts w:ascii="Calibri" w:hAnsi="Calibri"/>
        </w:rPr>
        <w:t xml:space="preserve">C’ </w:t>
      </w:r>
      <w:r w:rsidR="00700665">
        <w:rPr>
          <w:rFonts w:ascii="Calibri" w:hAnsi="Calibri"/>
        </w:rPr>
        <w:t xml:space="preserve">(gas – historische indexatie) </w:t>
      </w:r>
      <w:r w:rsidR="00700665" w:rsidRPr="00820E2B">
        <w:rPr>
          <w:rFonts w:ascii="Calibri" w:hAnsi="Calibri"/>
        </w:rPr>
        <w:t>en ‘tabel 1</w:t>
      </w:r>
      <w:r w:rsidR="001E7F46">
        <w:rPr>
          <w:rFonts w:ascii="Calibri" w:hAnsi="Calibri"/>
        </w:rPr>
        <w:t>3</w:t>
      </w:r>
      <w:r w:rsidR="00700665" w:rsidRPr="00820E2B">
        <w:rPr>
          <w:rFonts w:ascii="Calibri" w:hAnsi="Calibri"/>
        </w:rPr>
        <w:t>D’</w:t>
      </w:r>
      <w:r w:rsidR="00700665">
        <w:rPr>
          <w:rFonts w:ascii="Calibri" w:hAnsi="Calibri"/>
        </w:rPr>
        <w:t xml:space="preserve"> (gas – iRAB)</w:t>
      </w:r>
      <w:r w:rsidR="004232F6">
        <w:rPr>
          <w:rFonts w:ascii="Calibri" w:hAnsi="Calibri"/>
        </w:rPr>
        <w:t xml:space="preserve"> </w:t>
      </w:r>
      <w:r w:rsidRPr="00A27984">
        <w:rPr>
          <w:rFonts w:ascii="Calibri" w:hAnsi="Calibri"/>
        </w:rPr>
        <w:t xml:space="preserve">werden </w:t>
      </w:r>
      <w:r w:rsidRPr="00A27984">
        <w:rPr>
          <w:rFonts w:ascii="Calibri" w:hAnsi="Calibri"/>
        </w:rPr>
        <w:lastRenderedPageBreak/>
        <w:t xml:space="preserve">gerapporteerd. Op basis van deze data wordt dan </w:t>
      </w:r>
      <w:r w:rsidR="00A27984" w:rsidRPr="00A27984">
        <w:rPr>
          <w:rFonts w:ascii="Calibri" w:hAnsi="Calibri"/>
        </w:rPr>
        <w:t>de</w:t>
      </w:r>
      <w:r w:rsidRPr="00A27984">
        <w:rPr>
          <w:rFonts w:ascii="Calibri" w:hAnsi="Calibri"/>
        </w:rPr>
        <w:t xml:space="preserve"> gemiddelde RAB-waarde m.b.t. herwaarderingsmeerwaarden voor boekjaar 20</w:t>
      </w:r>
      <w:r w:rsidR="00A27984" w:rsidRPr="00A27984">
        <w:rPr>
          <w:rFonts w:ascii="Calibri" w:hAnsi="Calibri"/>
        </w:rPr>
        <w:t>XX</w:t>
      </w:r>
      <w:r w:rsidRPr="00A27984">
        <w:rPr>
          <w:rFonts w:ascii="Calibri" w:hAnsi="Calibri"/>
        </w:rPr>
        <w:t xml:space="preserve"> berekend.</w:t>
      </w:r>
    </w:p>
    <w:p w14:paraId="7DA703C1" w14:textId="06E14FA7" w:rsidR="00041558" w:rsidRDefault="00EE5CD7" w:rsidP="001A2DA5">
      <w:pPr>
        <w:rPr>
          <w:rFonts w:ascii="Calibri" w:hAnsi="Calibri"/>
        </w:rPr>
      </w:pPr>
      <w:r w:rsidRPr="00F214AB">
        <w:rPr>
          <w:rFonts w:ascii="Calibri" w:hAnsi="Calibri"/>
        </w:rPr>
        <w:t xml:space="preserve">Vervolgens wordt het toepasselijke kapitaalkostpercentage in rekening genomen teneinde zowel op ex-ante (budget) als ex-post (realiteit) basis de kapitaalkostvergoeding voor de </w:t>
      </w:r>
      <w:r w:rsidR="004232F6">
        <w:rPr>
          <w:rFonts w:ascii="Calibri" w:hAnsi="Calibri"/>
        </w:rPr>
        <w:t xml:space="preserve">RAB-waarde m.b.t. </w:t>
      </w:r>
      <w:r w:rsidRPr="00F214AB">
        <w:rPr>
          <w:rFonts w:ascii="Calibri" w:hAnsi="Calibri"/>
        </w:rPr>
        <w:t>herwaarderingsmeerwaarden te bepalen.</w:t>
      </w:r>
    </w:p>
    <w:p w14:paraId="0CB9650E" w14:textId="77777777" w:rsidR="001A2DA5" w:rsidRDefault="001A2DA5" w:rsidP="001A2DA5">
      <w:pPr>
        <w:rPr>
          <w:rFonts w:ascii="Calibri" w:hAnsi="Calibri"/>
        </w:rPr>
      </w:pPr>
    </w:p>
    <w:p w14:paraId="10359223" w14:textId="23193F83" w:rsidR="000D47E5" w:rsidRPr="00F214AB" w:rsidRDefault="000D47E5" w:rsidP="008B64B3">
      <w:pPr>
        <w:pStyle w:val="Kop2"/>
      </w:pPr>
      <w:bookmarkStart w:id="122" w:name="_Ref40077578"/>
      <w:bookmarkStart w:id="123" w:name="_Toc81512484"/>
      <w:r w:rsidRPr="00F214AB">
        <w:t>Invulinstructie Bijlage 5: Jaarlijks ex-post rapporteringsmodel endogene kosten</w:t>
      </w:r>
      <w:bookmarkEnd w:id="55"/>
      <w:bookmarkEnd w:id="56"/>
      <w:bookmarkEnd w:id="57"/>
      <w:r w:rsidR="00B61308" w:rsidRPr="00F214AB">
        <w:t xml:space="preserve"> 2021-2024</w:t>
      </w:r>
      <w:bookmarkEnd w:id="122"/>
      <w:bookmarkEnd w:id="123"/>
    </w:p>
    <w:p w14:paraId="381ED502" w14:textId="4D76D607" w:rsidR="00C6556F" w:rsidRPr="00F214AB" w:rsidRDefault="00C6556F" w:rsidP="00C6556F">
      <w:pPr>
        <w:rPr>
          <w:rFonts w:ascii="Calibri" w:hAnsi="Calibri"/>
        </w:rPr>
      </w:pPr>
      <w:r w:rsidRPr="00F214AB">
        <w:rPr>
          <w:rFonts w:ascii="Calibri" w:hAnsi="Calibri"/>
        </w:rPr>
        <w:t xml:space="preserve">Dit rapporteringsmodel heeft als doel om via een standaardformaat tegemoet te komen aan de informatiebehoeften van de VREG teneinde voor elke distributienetbeheerder </w:t>
      </w:r>
      <w:r w:rsidR="00127270" w:rsidRPr="00F214AB">
        <w:rPr>
          <w:rFonts w:ascii="Calibri" w:hAnsi="Calibri"/>
        </w:rPr>
        <w:t>een inzicht te krijgen in de door de distributienetbeheerder gemaakte endogene kosten</w:t>
      </w:r>
      <w:r w:rsidRPr="00F214AB">
        <w:rPr>
          <w:rFonts w:ascii="Calibri" w:hAnsi="Calibri"/>
        </w:rPr>
        <w:t>.</w:t>
      </w:r>
    </w:p>
    <w:p w14:paraId="133E43C4" w14:textId="363A9CBF" w:rsidR="000D47E5" w:rsidRPr="00F214AB" w:rsidRDefault="00C6556F" w:rsidP="00C6556F">
      <w:pPr>
        <w:rPr>
          <w:rFonts w:ascii="Calibri" w:hAnsi="Calibri"/>
        </w:rPr>
      </w:pPr>
      <w:r w:rsidRPr="00F214AB">
        <w:rPr>
          <w:rFonts w:ascii="Calibri" w:hAnsi="Calibri"/>
        </w:rPr>
        <w:t xml:space="preserve">Waar in paragraaf </w:t>
      </w:r>
      <w:r w:rsidR="00DC235C" w:rsidRPr="00F214AB">
        <w:rPr>
          <w:rFonts w:ascii="Calibri" w:hAnsi="Calibri"/>
        </w:rPr>
        <w:fldChar w:fldCharType="begin"/>
      </w:r>
      <w:r w:rsidR="00DC235C" w:rsidRPr="00F214AB">
        <w:rPr>
          <w:rFonts w:ascii="Calibri" w:hAnsi="Calibri"/>
        </w:rPr>
        <w:instrText xml:space="preserve"> REF _Ref40077578 \r \h </w:instrText>
      </w:r>
      <w:r w:rsidR="00F214AB">
        <w:rPr>
          <w:rFonts w:ascii="Calibri" w:hAnsi="Calibri"/>
        </w:rPr>
        <w:instrText xml:space="preserve"> \* MERGEFORMAT </w:instrText>
      </w:r>
      <w:r w:rsidR="00DC235C" w:rsidRPr="00F214AB">
        <w:rPr>
          <w:rFonts w:ascii="Calibri" w:hAnsi="Calibri"/>
        </w:rPr>
      </w:r>
      <w:r w:rsidR="00DC235C" w:rsidRPr="00F214AB">
        <w:rPr>
          <w:rFonts w:ascii="Calibri" w:hAnsi="Calibri"/>
        </w:rPr>
        <w:fldChar w:fldCharType="separate"/>
      </w:r>
      <w:r w:rsidR="00964FA9">
        <w:rPr>
          <w:rFonts w:ascii="Calibri" w:hAnsi="Calibri"/>
        </w:rPr>
        <w:t>1.3</w:t>
      </w:r>
      <w:r w:rsidR="00DC235C" w:rsidRPr="00F214AB">
        <w:rPr>
          <w:rFonts w:ascii="Calibri" w:hAnsi="Calibri"/>
        </w:rPr>
        <w:fldChar w:fldCharType="end"/>
      </w:r>
      <w:r w:rsidRPr="00F214AB">
        <w:rPr>
          <w:rFonts w:ascii="Calibri" w:hAnsi="Calibri"/>
        </w:rPr>
        <w:fldChar w:fldCharType="begin"/>
      </w:r>
      <w:r w:rsidRPr="00F214AB">
        <w:rPr>
          <w:rFonts w:ascii="Calibri" w:hAnsi="Calibri"/>
        </w:rPr>
        <w:instrText xml:space="preserve"> REF _Ref39576237 \r \h  \* MERGEFORMAT </w:instrText>
      </w:r>
      <w:r w:rsidRPr="00F214AB">
        <w:rPr>
          <w:rFonts w:ascii="Calibri" w:hAnsi="Calibri"/>
        </w:rPr>
      </w:r>
      <w:r w:rsidRPr="00F214AB">
        <w:rPr>
          <w:rFonts w:ascii="Calibri" w:hAnsi="Calibri"/>
        </w:rPr>
        <w:fldChar w:fldCharType="separate"/>
      </w:r>
      <w:r w:rsidR="00964FA9">
        <w:rPr>
          <w:rFonts w:ascii="Calibri" w:hAnsi="Calibri"/>
        </w:rPr>
        <w:t>1.2</w:t>
      </w:r>
      <w:r w:rsidRPr="00F214AB">
        <w:rPr>
          <w:rFonts w:ascii="Calibri" w:hAnsi="Calibri"/>
        </w:rPr>
        <w:fldChar w:fldCharType="end"/>
      </w:r>
      <w:r w:rsidRPr="00F214AB">
        <w:rPr>
          <w:rFonts w:ascii="Calibri" w:hAnsi="Calibri"/>
        </w:rPr>
        <w:t xml:space="preserve"> vermelding wordt gemaakt van boekjaar 20XX dient dit te worden begrepen als het boekjaar </w:t>
      </w:r>
      <w:r w:rsidR="00127270" w:rsidRPr="00F214AB">
        <w:rPr>
          <w:rFonts w:ascii="Calibri" w:hAnsi="Calibri"/>
        </w:rPr>
        <w:t>in de regulerings</w:t>
      </w:r>
      <w:r w:rsidRPr="00F214AB">
        <w:rPr>
          <w:rFonts w:ascii="Calibri" w:hAnsi="Calibri"/>
        </w:rPr>
        <w:t>periode 202</w:t>
      </w:r>
      <w:r w:rsidR="00127270" w:rsidRPr="00F214AB">
        <w:rPr>
          <w:rFonts w:ascii="Calibri" w:hAnsi="Calibri"/>
        </w:rPr>
        <w:t>1</w:t>
      </w:r>
      <w:r w:rsidRPr="00F214AB">
        <w:rPr>
          <w:rFonts w:ascii="Calibri" w:hAnsi="Calibri"/>
        </w:rPr>
        <w:t>-2024 waarover door de distributienetbeheerder wordt gerapporteerd.</w:t>
      </w:r>
    </w:p>
    <w:p w14:paraId="6D611E40" w14:textId="4D7DD7D0" w:rsidR="00836F3C" w:rsidRPr="00F214AB" w:rsidRDefault="000D47E5" w:rsidP="000D47E5">
      <w:pPr>
        <w:rPr>
          <w:rFonts w:ascii="Calibri" w:hAnsi="Calibri"/>
        </w:rPr>
      </w:pPr>
      <w:r w:rsidRPr="00F214AB">
        <w:rPr>
          <w:rFonts w:ascii="Calibri" w:hAnsi="Calibri"/>
        </w:rPr>
        <w:t>Het rapporteringsmodel bestaat uit een Excel bestand met de volgende werkbladen:</w:t>
      </w:r>
    </w:p>
    <w:p w14:paraId="564D3698" w14:textId="77777777" w:rsidR="000D47E5" w:rsidRPr="00F214AB" w:rsidRDefault="000D47E5" w:rsidP="000D47E5">
      <w:pPr>
        <w:numPr>
          <w:ilvl w:val="0"/>
          <w:numId w:val="11"/>
        </w:numPr>
        <w:spacing w:before="0" w:line="240" w:lineRule="auto"/>
        <w:ind w:left="1418" w:hanging="425"/>
        <w:jc w:val="both"/>
        <w:rPr>
          <w:rFonts w:ascii="Calibri" w:hAnsi="Calibri"/>
          <w:b/>
        </w:rPr>
      </w:pPr>
      <w:r w:rsidRPr="00F214AB">
        <w:rPr>
          <w:rFonts w:ascii="Calibri" w:hAnsi="Calibri"/>
        </w:rPr>
        <w:t>TITELBLAD</w:t>
      </w:r>
    </w:p>
    <w:p w14:paraId="5C4DD5F3" w14:textId="77777777" w:rsidR="00836F3C" w:rsidRPr="00F214AB" w:rsidRDefault="000D47E5" w:rsidP="00836F3C">
      <w:pPr>
        <w:numPr>
          <w:ilvl w:val="0"/>
          <w:numId w:val="11"/>
        </w:numPr>
        <w:spacing w:before="0" w:line="240" w:lineRule="auto"/>
        <w:ind w:left="1418" w:hanging="425"/>
        <w:jc w:val="both"/>
        <w:rPr>
          <w:rFonts w:ascii="Calibri" w:hAnsi="Calibri"/>
          <w:b/>
        </w:rPr>
      </w:pPr>
      <w:r w:rsidRPr="00F214AB">
        <w:rPr>
          <w:rFonts w:ascii="Calibri" w:hAnsi="Calibri"/>
        </w:rPr>
        <w:t>ASSUMPTIES</w:t>
      </w:r>
    </w:p>
    <w:p w14:paraId="67DF7174" w14:textId="4591E522" w:rsidR="00836F3C" w:rsidRPr="00F214AB" w:rsidRDefault="000D47E5" w:rsidP="00836F3C">
      <w:pPr>
        <w:numPr>
          <w:ilvl w:val="0"/>
          <w:numId w:val="11"/>
        </w:numPr>
        <w:spacing w:before="0" w:line="240" w:lineRule="auto"/>
        <w:ind w:left="1418" w:hanging="425"/>
        <w:jc w:val="both"/>
        <w:rPr>
          <w:rFonts w:ascii="Calibri" w:hAnsi="Calibri"/>
          <w:b/>
        </w:rPr>
      </w:pPr>
      <w:r w:rsidRPr="00F214AB">
        <w:rPr>
          <w:rFonts w:ascii="Calibri" w:hAnsi="Calibri"/>
        </w:rPr>
        <w:t>TABEL 1</w:t>
      </w:r>
      <w:r w:rsidR="00DC648E" w:rsidRPr="00F214AB">
        <w:rPr>
          <w:rFonts w:ascii="Calibri" w:hAnsi="Calibri"/>
        </w:rPr>
        <w:tab/>
      </w:r>
      <w:r w:rsidR="00DC648E" w:rsidRPr="00F214AB">
        <w:rPr>
          <w:rFonts w:ascii="Calibri" w:hAnsi="Calibri"/>
        </w:rPr>
        <w:tab/>
      </w:r>
      <w:r w:rsidRPr="00F214AB">
        <w:rPr>
          <w:rFonts w:ascii="Calibri" w:hAnsi="Calibri"/>
        </w:rPr>
        <w:t xml:space="preserve">Balans (algemene boekhouding) </w:t>
      </w:r>
      <w:r w:rsidR="00DC648E" w:rsidRPr="00F214AB">
        <w:rPr>
          <w:rFonts w:ascii="Calibri" w:hAnsi="Calibri"/>
        </w:rPr>
        <w:t>voor</w:t>
      </w:r>
      <w:r w:rsidRPr="00F214AB">
        <w:rPr>
          <w:rFonts w:ascii="Calibri" w:hAnsi="Calibri"/>
        </w:rPr>
        <w:t xml:space="preserve"> boekjaar 20XX</w:t>
      </w:r>
    </w:p>
    <w:p w14:paraId="3BA4982A" w14:textId="0FDF3BE7" w:rsidR="000D47E5" w:rsidRPr="00F214AB" w:rsidRDefault="000D47E5" w:rsidP="00836F3C">
      <w:pPr>
        <w:numPr>
          <w:ilvl w:val="0"/>
          <w:numId w:val="11"/>
        </w:numPr>
        <w:spacing w:before="0" w:line="240" w:lineRule="auto"/>
        <w:ind w:left="1418" w:hanging="425"/>
        <w:jc w:val="both"/>
        <w:rPr>
          <w:rFonts w:ascii="Calibri" w:hAnsi="Calibri"/>
          <w:b/>
        </w:rPr>
      </w:pPr>
      <w:r w:rsidRPr="00F214AB">
        <w:rPr>
          <w:rFonts w:ascii="Calibri" w:hAnsi="Calibri"/>
        </w:rPr>
        <w:t>TABEL 2</w:t>
      </w:r>
      <w:r w:rsidR="00DC648E" w:rsidRPr="00F214AB">
        <w:rPr>
          <w:rFonts w:ascii="Calibri" w:hAnsi="Calibri"/>
        </w:rPr>
        <w:tab/>
      </w:r>
      <w:r w:rsidR="00DC648E" w:rsidRPr="00F214AB">
        <w:rPr>
          <w:rFonts w:ascii="Calibri" w:hAnsi="Calibri"/>
        </w:rPr>
        <w:tab/>
      </w:r>
      <w:r w:rsidRPr="00F214AB">
        <w:rPr>
          <w:rFonts w:ascii="Calibri" w:hAnsi="Calibri"/>
        </w:rPr>
        <w:t xml:space="preserve">Resultatenrekening (algemene boekhouding) </w:t>
      </w:r>
      <w:r w:rsidR="00DC648E" w:rsidRPr="00F214AB">
        <w:rPr>
          <w:rFonts w:ascii="Calibri" w:hAnsi="Calibri"/>
        </w:rPr>
        <w:t>voor</w:t>
      </w:r>
      <w:r w:rsidRPr="00F214AB">
        <w:rPr>
          <w:rFonts w:ascii="Calibri" w:hAnsi="Calibri"/>
        </w:rPr>
        <w:t xml:space="preserve"> boekjaar 20XX</w:t>
      </w:r>
    </w:p>
    <w:p w14:paraId="346E49FE" w14:textId="26957383" w:rsidR="000D47E5" w:rsidRPr="00F214AB" w:rsidRDefault="000D47E5" w:rsidP="000D47E5">
      <w:pPr>
        <w:numPr>
          <w:ilvl w:val="0"/>
          <w:numId w:val="11"/>
        </w:numPr>
        <w:spacing w:before="0" w:line="240" w:lineRule="auto"/>
        <w:ind w:left="1418" w:right="-2" w:hanging="425"/>
        <w:jc w:val="both"/>
        <w:rPr>
          <w:rFonts w:ascii="Calibri" w:hAnsi="Calibri"/>
          <w:b/>
        </w:rPr>
      </w:pPr>
      <w:r w:rsidRPr="00F214AB">
        <w:rPr>
          <w:rFonts w:ascii="Calibri" w:hAnsi="Calibri"/>
        </w:rPr>
        <w:t>TABEL 3</w:t>
      </w:r>
      <w:r w:rsidRPr="00F214AB">
        <w:rPr>
          <w:rFonts w:ascii="Calibri" w:hAnsi="Calibri"/>
        </w:rPr>
        <w:tab/>
      </w:r>
      <w:r w:rsidRPr="00F214AB">
        <w:rPr>
          <w:rFonts w:ascii="Calibri" w:hAnsi="Calibri"/>
        </w:rPr>
        <w:tab/>
        <w:t>Algemeen overzicht</w:t>
      </w:r>
      <w:r w:rsidR="00DC648E" w:rsidRPr="00F214AB">
        <w:rPr>
          <w:rFonts w:ascii="Calibri" w:hAnsi="Calibri"/>
        </w:rPr>
        <w:t xml:space="preserve"> endogene kosten</w:t>
      </w:r>
    </w:p>
    <w:p w14:paraId="66CBC71A" w14:textId="77777777" w:rsidR="00836F3C" w:rsidRPr="00F214AB" w:rsidRDefault="000D47E5" w:rsidP="00836F3C">
      <w:pPr>
        <w:numPr>
          <w:ilvl w:val="0"/>
          <w:numId w:val="11"/>
        </w:numPr>
        <w:spacing w:before="0" w:line="240" w:lineRule="auto"/>
        <w:ind w:left="1418" w:right="-2" w:hanging="425"/>
        <w:jc w:val="both"/>
        <w:rPr>
          <w:rFonts w:ascii="Calibri" w:hAnsi="Calibri"/>
          <w:b/>
        </w:rPr>
      </w:pPr>
      <w:r w:rsidRPr="00F214AB">
        <w:rPr>
          <w:rFonts w:ascii="Calibri" w:hAnsi="Calibri"/>
        </w:rPr>
        <w:t>TABEL 4</w:t>
      </w:r>
      <w:r w:rsidRPr="00F214AB">
        <w:rPr>
          <w:rFonts w:ascii="Calibri" w:hAnsi="Calibri"/>
        </w:rPr>
        <w:tab/>
      </w:r>
      <w:r w:rsidRPr="00F214AB">
        <w:rPr>
          <w:rFonts w:ascii="Calibri" w:hAnsi="Calibri"/>
        </w:rPr>
        <w:tab/>
        <w:t>Afschrijvingen immateriële vaste activa</w:t>
      </w:r>
    </w:p>
    <w:p w14:paraId="70BF9AD0" w14:textId="360CC9CE" w:rsidR="00836F3C" w:rsidRPr="00F214AB" w:rsidRDefault="000D47E5" w:rsidP="00836F3C">
      <w:pPr>
        <w:numPr>
          <w:ilvl w:val="0"/>
          <w:numId w:val="11"/>
        </w:numPr>
        <w:spacing w:before="0" w:line="240" w:lineRule="auto"/>
        <w:ind w:left="1418" w:right="-2" w:hanging="425"/>
        <w:jc w:val="both"/>
        <w:rPr>
          <w:rFonts w:ascii="Calibri" w:hAnsi="Calibri"/>
          <w:b/>
        </w:rPr>
      </w:pPr>
      <w:r w:rsidRPr="00F214AB">
        <w:rPr>
          <w:rFonts w:ascii="Calibri" w:hAnsi="Calibri"/>
        </w:rPr>
        <w:t>TABEL 5A</w:t>
      </w:r>
      <w:r w:rsidRPr="00F214AB">
        <w:rPr>
          <w:rFonts w:ascii="Calibri" w:hAnsi="Calibri"/>
        </w:rPr>
        <w:tab/>
      </w:r>
      <w:r w:rsidR="00836F3C" w:rsidRPr="00F214AB">
        <w:rPr>
          <w:rFonts w:ascii="Calibri" w:hAnsi="Calibri"/>
        </w:rPr>
        <w:tab/>
      </w:r>
      <w:r w:rsidRPr="00F214AB">
        <w:rPr>
          <w:rFonts w:ascii="Calibri" w:hAnsi="Calibri"/>
        </w:rPr>
        <w:t xml:space="preserve">Afschrijvingen van de historische aanschaffingswaarde (materiële vaste activa) </w:t>
      </w:r>
      <w:r w:rsidR="00836F3C" w:rsidRPr="00F214AB">
        <w:rPr>
          <w:rFonts w:ascii="Calibri" w:hAnsi="Calibri"/>
        </w:rPr>
        <w:t>–</w:t>
      </w:r>
      <w:r w:rsidRPr="00F214AB">
        <w:rPr>
          <w:rFonts w:ascii="Calibri" w:hAnsi="Calibri"/>
        </w:rPr>
        <w:t xml:space="preserve"> elektriciteit</w:t>
      </w:r>
    </w:p>
    <w:p w14:paraId="03B1102D" w14:textId="39D2AC8D" w:rsidR="00836F3C" w:rsidRPr="00F214AB" w:rsidRDefault="000D47E5" w:rsidP="00836F3C">
      <w:pPr>
        <w:numPr>
          <w:ilvl w:val="0"/>
          <w:numId w:val="11"/>
        </w:numPr>
        <w:spacing w:before="0" w:line="240" w:lineRule="auto"/>
        <w:ind w:left="1418" w:right="-2" w:hanging="425"/>
        <w:jc w:val="both"/>
        <w:rPr>
          <w:rFonts w:ascii="Calibri" w:hAnsi="Calibri"/>
          <w:b/>
        </w:rPr>
      </w:pPr>
      <w:r w:rsidRPr="00F214AB">
        <w:rPr>
          <w:rFonts w:ascii="Calibri" w:hAnsi="Calibri"/>
        </w:rPr>
        <w:t>TABEL 5</w:t>
      </w:r>
      <w:r w:rsidR="00DC648E" w:rsidRPr="00F214AB">
        <w:rPr>
          <w:rFonts w:ascii="Calibri" w:hAnsi="Calibri"/>
        </w:rPr>
        <w:t>B</w:t>
      </w:r>
      <w:r w:rsidRPr="00F214AB">
        <w:rPr>
          <w:rFonts w:ascii="Calibri" w:hAnsi="Calibri"/>
        </w:rPr>
        <w:tab/>
      </w:r>
      <w:r w:rsidR="00836F3C" w:rsidRPr="00F214AB">
        <w:rPr>
          <w:rFonts w:ascii="Calibri" w:hAnsi="Calibri"/>
        </w:rPr>
        <w:tab/>
      </w:r>
      <w:r w:rsidRPr="00F214AB">
        <w:rPr>
          <w:rFonts w:ascii="Calibri" w:hAnsi="Calibri"/>
        </w:rPr>
        <w:t xml:space="preserve">Afschrijvingen van de historische aanschaffingswaarde (materiële vaste activa) </w:t>
      </w:r>
      <w:r w:rsidRPr="00F214AB">
        <w:rPr>
          <w:rFonts w:ascii="Calibri" w:hAnsi="Calibri"/>
          <w:b/>
        </w:rPr>
        <w:t xml:space="preserve">– </w:t>
      </w:r>
      <w:r w:rsidRPr="00F214AB">
        <w:rPr>
          <w:rFonts w:ascii="Calibri" w:hAnsi="Calibri"/>
        </w:rPr>
        <w:t>gas</w:t>
      </w:r>
    </w:p>
    <w:p w14:paraId="1CA5CCDA" w14:textId="23B824FE" w:rsidR="00836F3C" w:rsidRPr="00F214AB" w:rsidRDefault="000D47E5" w:rsidP="00836F3C">
      <w:pPr>
        <w:numPr>
          <w:ilvl w:val="0"/>
          <w:numId w:val="11"/>
        </w:numPr>
        <w:spacing w:before="0" w:line="240" w:lineRule="auto"/>
        <w:ind w:left="1418" w:right="-2" w:hanging="425"/>
        <w:jc w:val="both"/>
        <w:rPr>
          <w:rFonts w:ascii="Calibri" w:hAnsi="Calibri"/>
          <w:b/>
        </w:rPr>
      </w:pPr>
      <w:r w:rsidRPr="00F214AB">
        <w:rPr>
          <w:rFonts w:ascii="Calibri" w:hAnsi="Calibri"/>
        </w:rPr>
        <w:t>TABEL 6</w:t>
      </w:r>
      <w:r w:rsidRPr="00F214AB">
        <w:rPr>
          <w:rFonts w:ascii="Calibri" w:hAnsi="Calibri"/>
        </w:rPr>
        <w:tab/>
      </w:r>
      <w:r w:rsidRPr="00F214AB">
        <w:rPr>
          <w:rFonts w:ascii="Calibri" w:hAnsi="Calibri"/>
        </w:rPr>
        <w:tab/>
        <w:t>Evolutie nettobedrijfskapitaal</w:t>
      </w:r>
      <w:r w:rsidR="00DC648E" w:rsidRPr="00F214AB">
        <w:rPr>
          <w:rFonts w:ascii="Calibri" w:hAnsi="Calibri"/>
        </w:rPr>
        <w:t xml:space="preserve"> (NBK)</w:t>
      </w:r>
    </w:p>
    <w:p w14:paraId="6811837F" w14:textId="0156BBD3" w:rsidR="00836F3C" w:rsidRPr="00F214AB" w:rsidRDefault="000D47E5" w:rsidP="00836F3C">
      <w:pPr>
        <w:numPr>
          <w:ilvl w:val="0"/>
          <w:numId w:val="11"/>
        </w:numPr>
        <w:spacing w:before="0" w:line="240" w:lineRule="auto"/>
        <w:ind w:left="1418" w:right="-2" w:hanging="425"/>
        <w:jc w:val="both"/>
        <w:rPr>
          <w:rFonts w:ascii="Calibri" w:hAnsi="Calibri"/>
          <w:b/>
        </w:rPr>
      </w:pPr>
      <w:r w:rsidRPr="00F214AB">
        <w:rPr>
          <w:rFonts w:ascii="Calibri" w:hAnsi="Calibri"/>
        </w:rPr>
        <w:t xml:space="preserve">TABEL </w:t>
      </w:r>
      <w:r w:rsidR="00DC648E" w:rsidRPr="00F214AB">
        <w:rPr>
          <w:rFonts w:ascii="Calibri" w:hAnsi="Calibri"/>
        </w:rPr>
        <w:t>7</w:t>
      </w:r>
      <w:r w:rsidRPr="00F214AB">
        <w:rPr>
          <w:rFonts w:ascii="Calibri" w:hAnsi="Calibri"/>
        </w:rPr>
        <w:tab/>
      </w:r>
      <w:r w:rsidR="00836F3C" w:rsidRPr="00F214AB">
        <w:rPr>
          <w:rFonts w:ascii="Calibri" w:hAnsi="Calibri"/>
        </w:rPr>
        <w:tab/>
      </w:r>
      <w:r w:rsidRPr="00F214AB">
        <w:rPr>
          <w:rFonts w:ascii="Calibri" w:hAnsi="Calibri"/>
        </w:rPr>
        <w:t>Evolutie van de RAB-waarde</w:t>
      </w:r>
      <w:r w:rsidR="00DC648E" w:rsidRPr="00F214AB">
        <w:rPr>
          <w:rFonts w:ascii="Calibri" w:hAnsi="Calibri"/>
        </w:rPr>
        <w:t xml:space="preserve"> (excl. herwaarderingsmeerwaarden)</w:t>
      </w:r>
    </w:p>
    <w:p w14:paraId="31FA0280" w14:textId="4A913B16" w:rsidR="00836F3C" w:rsidRPr="00F214AB" w:rsidRDefault="000D47E5" w:rsidP="00836F3C">
      <w:pPr>
        <w:numPr>
          <w:ilvl w:val="0"/>
          <w:numId w:val="11"/>
        </w:numPr>
        <w:spacing w:before="0" w:line="240" w:lineRule="auto"/>
        <w:ind w:left="1418" w:right="-2" w:hanging="425"/>
        <w:jc w:val="both"/>
        <w:rPr>
          <w:rFonts w:ascii="Calibri" w:hAnsi="Calibri"/>
          <w:b/>
        </w:rPr>
      </w:pPr>
      <w:r w:rsidRPr="00F214AB">
        <w:rPr>
          <w:rFonts w:ascii="Calibri" w:hAnsi="Calibri"/>
        </w:rPr>
        <w:t xml:space="preserve">TABEL </w:t>
      </w:r>
      <w:r w:rsidR="00DC648E" w:rsidRPr="00F214AB">
        <w:rPr>
          <w:rFonts w:ascii="Calibri" w:hAnsi="Calibri"/>
        </w:rPr>
        <w:t>8</w:t>
      </w:r>
      <w:r w:rsidRPr="00F214AB">
        <w:rPr>
          <w:rFonts w:ascii="Calibri" w:hAnsi="Calibri"/>
        </w:rPr>
        <w:tab/>
      </w:r>
      <w:r w:rsidR="00836F3C" w:rsidRPr="00F214AB">
        <w:rPr>
          <w:rFonts w:ascii="Calibri" w:hAnsi="Calibri"/>
        </w:rPr>
        <w:tab/>
      </w:r>
      <w:r w:rsidRPr="00F214AB">
        <w:rPr>
          <w:rFonts w:ascii="Calibri" w:hAnsi="Calibri"/>
        </w:rPr>
        <w:t xml:space="preserve">Operationele kosten </w:t>
      </w:r>
    </w:p>
    <w:p w14:paraId="7FCEDC43" w14:textId="1A4F46F9" w:rsidR="000D47E5" w:rsidRPr="00F214AB" w:rsidRDefault="000D47E5" w:rsidP="000D47E5">
      <w:pPr>
        <w:numPr>
          <w:ilvl w:val="0"/>
          <w:numId w:val="11"/>
        </w:numPr>
        <w:spacing w:before="0" w:line="240" w:lineRule="auto"/>
        <w:ind w:left="1418" w:right="-2" w:hanging="425"/>
        <w:jc w:val="both"/>
        <w:rPr>
          <w:rFonts w:ascii="Calibri" w:hAnsi="Calibri"/>
          <w:b/>
        </w:rPr>
      </w:pPr>
      <w:r w:rsidRPr="00F214AB">
        <w:rPr>
          <w:rFonts w:ascii="Calibri" w:hAnsi="Calibri"/>
        </w:rPr>
        <w:t xml:space="preserve">TABEL </w:t>
      </w:r>
      <w:r w:rsidR="00DC648E" w:rsidRPr="00F214AB">
        <w:rPr>
          <w:rFonts w:ascii="Calibri" w:hAnsi="Calibri"/>
        </w:rPr>
        <w:t>9</w:t>
      </w:r>
      <w:r w:rsidRPr="00F214AB">
        <w:rPr>
          <w:rFonts w:ascii="Calibri" w:hAnsi="Calibri"/>
        </w:rPr>
        <w:tab/>
      </w:r>
      <w:r w:rsidR="00836F3C" w:rsidRPr="00F214AB">
        <w:rPr>
          <w:rFonts w:ascii="Calibri" w:hAnsi="Calibri"/>
        </w:rPr>
        <w:tab/>
      </w:r>
      <w:r w:rsidRPr="00F214AB">
        <w:rPr>
          <w:rFonts w:ascii="Calibri" w:hAnsi="Calibri"/>
        </w:rPr>
        <w:t xml:space="preserve">Operationele opbrengsten </w:t>
      </w:r>
    </w:p>
    <w:p w14:paraId="6E628ABB" w14:textId="1240DD3B" w:rsidR="00DC648E" w:rsidRPr="00F214AB" w:rsidRDefault="00DC648E" w:rsidP="000D47E5">
      <w:pPr>
        <w:numPr>
          <w:ilvl w:val="0"/>
          <w:numId w:val="11"/>
        </w:numPr>
        <w:spacing w:before="0" w:line="240" w:lineRule="auto"/>
        <w:ind w:left="1418" w:right="-2" w:hanging="425"/>
        <w:jc w:val="both"/>
        <w:rPr>
          <w:rFonts w:ascii="Calibri" w:hAnsi="Calibri"/>
          <w:b/>
        </w:rPr>
      </w:pPr>
      <w:r w:rsidRPr="00F214AB">
        <w:rPr>
          <w:rFonts w:ascii="Calibri" w:hAnsi="Calibri"/>
        </w:rPr>
        <w:t>TABEL 10A</w:t>
      </w:r>
      <w:r w:rsidRPr="00F214AB">
        <w:rPr>
          <w:rFonts w:ascii="Calibri" w:hAnsi="Calibri"/>
        </w:rPr>
        <w:tab/>
      </w:r>
      <w:r w:rsidR="00077DD3" w:rsidRPr="00F214AB">
        <w:rPr>
          <w:rFonts w:ascii="Calibri" w:hAnsi="Calibri"/>
        </w:rPr>
        <w:t>Overzicht gefactureerde volumes voor het jaar 20XX – ELEKTRICITEIT</w:t>
      </w:r>
    </w:p>
    <w:p w14:paraId="17AEE734" w14:textId="706BADCF" w:rsidR="00077DD3" w:rsidRPr="00F214AB" w:rsidRDefault="00077DD3" w:rsidP="000D47E5">
      <w:pPr>
        <w:numPr>
          <w:ilvl w:val="0"/>
          <w:numId w:val="11"/>
        </w:numPr>
        <w:spacing w:before="0" w:line="240" w:lineRule="auto"/>
        <w:ind w:left="1418" w:right="-2" w:hanging="425"/>
        <w:jc w:val="both"/>
        <w:rPr>
          <w:rFonts w:ascii="Calibri" w:hAnsi="Calibri"/>
          <w:b/>
        </w:rPr>
      </w:pPr>
      <w:r w:rsidRPr="00F214AB">
        <w:rPr>
          <w:rFonts w:ascii="Calibri" w:hAnsi="Calibri"/>
        </w:rPr>
        <w:t>TABEL 10B</w:t>
      </w:r>
      <w:r w:rsidRPr="00F214AB">
        <w:rPr>
          <w:rFonts w:ascii="Calibri" w:hAnsi="Calibri"/>
        </w:rPr>
        <w:tab/>
        <w:t>Overzicht gefactureerde volumes voor het jaar 20XX - GAS</w:t>
      </w:r>
    </w:p>
    <w:p w14:paraId="129C9237" w14:textId="1167CFA3" w:rsidR="000D47E5" w:rsidRPr="00F214AB" w:rsidRDefault="000D47E5" w:rsidP="00836F3C">
      <w:pPr>
        <w:ind w:right="-2"/>
        <w:rPr>
          <w:rFonts w:ascii="Calibri" w:hAnsi="Calibri" w:cs="Tahoma"/>
        </w:rPr>
      </w:pPr>
      <w:r w:rsidRPr="00F214AB">
        <w:rPr>
          <w:rFonts w:ascii="Calibri" w:hAnsi="Calibri" w:cs="Tahoma"/>
        </w:rPr>
        <w:t xml:space="preserve">Het Excel bestand is voorzien van een aantal automatisch berekende waarden teneinde de verwerking van het rapporteringsmodel, zowel voor de distributienetbeheerder als voor de VREG, efficiënt te laten verlopen. </w:t>
      </w:r>
      <w:r w:rsidR="00E13493" w:rsidRPr="00F214AB">
        <w:rPr>
          <w:rFonts w:ascii="Calibri" w:hAnsi="Calibri" w:cs="Tahoma"/>
        </w:rPr>
        <w:t xml:space="preserve">Deze waarden werden door de VREG dan ook beveiligd. </w:t>
      </w:r>
      <w:r w:rsidRPr="00F214AB">
        <w:rPr>
          <w:rFonts w:ascii="Calibri" w:hAnsi="Calibri" w:cs="Tahoma"/>
        </w:rPr>
        <w:t xml:space="preserve">Het rapporteringsmodel dient door de distributienetbeheerder in één afgedrukt exemplaar te worden opgeleverd, alsook onder elektronische vorm (Excel-formaat). </w:t>
      </w:r>
      <w:r w:rsidR="001A0268" w:rsidRPr="00F214AB">
        <w:rPr>
          <w:rFonts w:ascii="Calibri" w:hAnsi="Calibri" w:cs="Tahoma"/>
        </w:rPr>
        <w:t>In de elektronische vorm zijn geen verwijzingen naar externe bestanden (koppelingen) toegelaten.</w:t>
      </w:r>
    </w:p>
    <w:p w14:paraId="2858E52A" w14:textId="661271CD" w:rsidR="000D47E5" w:rsidRPr="00F214AB" w:rsidRDefault="000D47E5" w:rsidP="00836F3C">
      <w:pPr>
        <w:ind w:right="-2"/>
        <w:rPr>
          <w:rFonts w:ascii="Calibri" w:hAnsi="Calibri" w:cs="Tahoma"/>
        </w:rPr>
      </w:pPr>
      <w:r w:rsidRPr="00F214AB">
        <w:rPr>
          <w:rFonts w:ascii="Calibri" w:hAnsi="Calibri"/>
        </w:rPr>
        <w:t>Het rapporteringsmodel dient te worden ingevuld met inachtneming van de regulato</w:t>
      </w:r>
      <w:r w:rsidR="00D31383" w:rsidRPr="00F214AB">
        <w:rPr>
          <w:rFonts w:ascii="Calibri" w:hAnsi="Calibri"/>
        </w:rPr>
        <w:t>ir</w:t>
      </w:r>
      <w:r w:rsidRPr="00F214AB">
        <w:rPr>
          <w:rFonts w:ascii="Calibri" w:hAnsi="Calibri"/>
        </w:rPr>
        <w:t xml:space="preserve">e boekhoudkundige voorschriften die in paragraaf </w:t>
      </w:r>
      <w:r w:rsidR="00A8467C" w:rsidRPr="00F214AB">
        <w:rPr>
          <w:rFonts w:ascii="Calibri" w:hAnsi="Calibri"/>
        </w:rPr>
        <w:t>13</w:t>
      </w:r>
      <w:r w:rsidRPr="00F214AB">
        <w:rPr>
          <w:rFonts w:ascii="Calibri" w:hAnsi="Calibri"/>
        </w:rPr>
        <w:t xml:space="preserve"> van de hoofdtekst van de tariefmethodologie van de VREG zijn opgenomen. Eventuele afwijkingen tussen de boekhoudkundige waarden en de waarden opgenomen in het rapporteringsmodel dienen door de distributienetbeheerder in een afzonderlijke nota in detail te worden verklaard. </w:t>
      </w:r>
    </w:p>
    <w:p w14:paraId="6EC51844" w14:textId="5AC09C9C" w:rsidR="000D47E5" w:rsidRPr="00F214AB" w:rsidRDefault="000D47E5" w:rsidP="00836F3C">
      <w:pPr>
        <w:ind w:right="-2"/>
        <w:rPr>
          <w:rFonts w:ascii="Calibri" w:hAnsi="Calibri"/>
        </w:rPr>
      </w:pPr>
      <w:r w:rsidRPr="00F214AB">
        <w:rPr>
          <w:rFonts w:ascii="Calibri" w:hAnsi="Calibri"/>
        </w:rPr>
        <w:lastRenderedPageBreak/>
        <w:t xml:space="preserve">Het ingevulde rapporteringsmodel dient te zijn gewaarmerkt door een verslag van feitelijke bevindingen van de commissaris van de distributienetbeheerder, conform de bepalingen in paragraaf </w:t>
      </w:r>
      <w:r w:rsidRPr="00F214AB">
        <w:rPr>
          <w:rFonts w:ascii="Calibri" w:hAnsi="Calibri"/>
        </w:rPr>
        <w:fldChar w:fldCharType="begin"/>
      </w:r>
      <w:r w:rsidRPr="00F214AB">
        <w:rPr>
          <w:rFonts w:ascii="Calibri" w:hAnsi="Calibri"/>
        </w:rPr>
        <w:instrText xml:space="preserve"> REF _Ref442793011 \r \h  \* MERGEFORMAT </w:instrText>
      </w:r>
      <w:r w:rsidRPr="00F214AB">
        <w:rPr>
          <w:rFonts w:ascii="Calibri" w:hAnsi="Calibri"/>
        </w:rPr>
      </w:r>
      <w:r w:rsidRPr="00F214AB">
        <w:rPr>
          <w:rFonts w:ascii="Calibri" w:hAnsi="Calibri"/>
        </w:rPr>
        <w:fldChar w:fldCharType="separate"/>
      </w:r>
      <w:r w:rsidR="00964FA9">
        <w:rPr>
          <w:rFonts w:ascii="Calibri" w:hAnsi="Calibri"/>
        </w:rPr>
        <w:t>3</w:t>
      </w:r>
      <w:r w:rsidRPr="00F214AB">
        <w:rPr>
          <w:rFonts w:ascii="Calibri" w:hAnsi="Calibri"/>
        </w:rPr>
        <w:fldChar w:fldCharType="end"/>
      </w:r>
      <w:r w:rsidRPr="00F214AB">
        <w:rPr>
          <w:rFonts w:ascii="Calibri" w:hAnsi="Calibri"/>
        </w:rPr>
        <w:t>.</w:t>
      </w:r>
    </w:p>
    <w:p w14:paraId="442BC0F2" w14:textId="2FEA5120" w:rsidR="000D47E5" w:rsidRDefault="000D47E5" w:rsidP="000D47E5">
      <w:pPr>
        <w:rPr>
          <w:rFonts w:ascii="Calibri" w:hAnsi="Calibri"/>
        </w:rPr>
      </w:pPr>
      <w:r w:rsidRPr="009F2684">
        <w:rPr>
          <w:rFonts w:ascii="Calibri" w:hAnsi="Calibri"/>
        </w:rPr>
        <w:t xml:space="preserve">De wijze waarop het rapporteringsmodel dient te worden ingevuld, is in grote mate beschreven in paragraaf </w:t>
      </w:r>
      <w:r w:rsidRPr="009F2684">
        <w:rPr>
          <w:rFonts w:ascii="Calibri" w:hAnsi="Calibri"/>
        </w:rPr>
        <w:fldChar w:fldCharType="begin"/>
      </w:r>
      <w:r w:rsidRPr="009F2684">
        <w:rPr>
          <w:rFonts w:ascii="Calibri" w:hAnsi="Calibri"/>
        </w:rPr>
        <w:instrText xml:space="preserve"> REF _Ref389575274 \r \h  \* MERGEFORMAT </w:instrText>
      </w:r>
      <w:r w:rsidRPr="009F2684">
        <w:rPr>
          <w:rFonts w:ascii="Calibri" w:hAnsi="Calibri"/>
        </w:rPr>
      </w:r>
      <w:r w:rsidRPr="009F2684">
        <w:rPr>
          <w:rFonts w:ascii="Calibri" w:hAnsi="Calibri"/>
        </w:rPr>
        <w:fldChar w:fldCharType="separate"/>
      </w:r>
      <w:r w:rsidR="00964FA9">
        <w:rPr>
          <w:rFonts w:ascii="Calibri" w:hAnsi="Calibri"/>
        </w:rPr>
        <w:t>1.3.1</w:t>
      </w:r>
      <w:r w:rsidRPr="009F2684">
        <w:rPr>
          <w:rFonts w:ascii="Calibri" w:hAnsi="Calibri"/>
        </w:rPr>
        <w:fldChar w:fldCharType="end"/>
      </w:r>
      <w:r w:rsidRPr="009F2684">
        <w:rPr>
          <w:rFonts w:ascii="Calibri" w:hAnsi="Calibri"/>
        </w:rPr>
        <w:t xml:space="preserve"> van deze instructie.</w:t>
      </w:r>
    </w:p>
    <w:p w14:paraId="7BF4F65C" w14:textId="77777777" w:rsidR="000E5C41" w:rsidRPr="009F2684" w:rsidRDefault="000E5C41" w:rsidP="000D47E5">
      <w:pPr>
        <w:rPr>
          <w:rFonts w:ascii="Calibri" w:hAnsi="Calibri"/>
        </w:rPr>
      </w:pPr>
    </w:p>
    <w:p w14:paraId="5A68DB46" w14:textId="792EB751" w:rsidR="000D47E5" w:rsidRPr="009F2684" w:rsidRDefault="000D47E5" w:rsidP="000D47E5">
      <w:pPr>
        <w:pStyle w:val="Kop3"/>
      </w:pPr>
      <w:bookmarkStart w:id="124" w:name="_Ref389575274"/>
      <w:bookmarkStart w:id="125" w:name="_Toc420934510"/>
      <w:bookmarkStart w:id="126" w:name="_Toc450038582"/>
      <w:bookmarkStart w:id="127" w:name="_Toc81512485"/>
      <w:r w:rsidRPr="009F2684">
        <w:t>Algemene invulinstructie</w:t>
      </w:r>
      <w:bookmarkEnd w:id="124"/>
      <w:bookmarkEnd w:id="125"/>
      <w:bookmarkEnd w:id="126"/>
      <w:bookmarkEnd w:id="127"/>
    </w:p>
    <w:p w14:paraId="27582AF7" w14:textId="77777777" w:rsidR="00F214AB" w:rsidRPr="00746302" w:rsidRDefault="00F214AB" w:rsidP="00F214AB">
      <w:pPr>
        <w:ind w:right="-2"/>
        <w:rPr>
          <w:rFonts w:ascii="Calibri" w:hAnsi="Calibri"/>
        </w:rPr>
      </w:pPr>
      <w:r w:rsidRPr="009F2684">
        <w:rPr>
          <w:rFonts w:ascii="Calibri" w:hAnsi="Calibri"/>
        </w:rPr>
        <w:t>De opmaak van de werkbladen en de in het model aangebrachte formules en verwijzingen mogen niet worden verwijderd of gewijzigd</w:t>
      </w:r>
      <w:r w:rsidRPr="00746302">
        <w:rPr>
          <w:rFonts w:ascii="Calibri" w:hAnsi="Calibri"/>
        </w:rPr>
        <w:t>. Om die reden werden alle niet-geel gemarkeerde cellen dan ook beveiligd. Alleen de geel gekleurde cellen kunnen dus door de distributienetbeheerder worden ingevuld. De witte, blauwe en gearceerde cellen mogen niet worden ingevuld of gewijzigd, zoals onderstaande legenda ook aangeeft.</w:t>
      </w:r>
    </w:p>
    <w:p w14:paraId="7C74FEBF" w14:textId="77777777" w:rsidR="00F214AB" w:rsidRPr="00746302" w:rsidRDefault="00F214AB" w:rsidP="00F214AB">
      <w:pPr>
        <w:ind w:right="-2"/>
        <w:rPr>
          <w:rFonts w:ascii="Calibri" w:hAnsi="Calibri"/>
        </w:rPr>
      </w:pPr>
      <w:r w:rsidRPr="000D1CD5">
        <w:rPr>
          <w:noProof/>
        </w:rPr>
        <w:drawing>
          <wp:inline distT="0" distB="0" distL="0" distR="0" wp14:anchorId="1CBF4014" wp14:editId="7009EE9E">
            <wp:extent cx="6061125" cy="998806"/>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18814" cy="1008313"/>
                    </a:xfrm>
                    <a:prstGeom prst="rect">
                      <a:avLst/>
                    </a:prstGeom>
                  </pic:spPr>
                </pic:pic>
              </a:graphicData>
            </a:graphic>
          </wp:inline>
        </w:drawing>
      </w:r>
    </w:p>
    <w:p w14:paraId="2F5DEE5B" w14:textId="77777777" w:rsidR="00F214AB" w:rsidRPr="00746302" w:rsidRDefault="00F214AB" w:rsidP="00F214AB">
      <w:pPr>
        <w:rPr>
          <w:rFonts w:ascii="Calibri" w:hAnsi="Calibri"/>
        </w:rPr>
      </w:pPr>
      <w:r w:rsidRPr="00746302">
        <w:rPr>
          <w:rFonts w:ascii="Calibri" w:hAnsi="Calibri"/>
        </w:rPr>
        <w:t>Het toevoegen van opmerkingen bij de gegevens is uitsluitend toegestaan aan de hand van een afzonderlijk verklarende nota die aan het rapporteringsmodel moet worden toegevoegd. Indien in de verklarende nota een verwijzing naar gerapporteerde waarden wordt gemaakt, verzoekt de VREG om duidelijk aan te geven naar welke cellen wordt gerefereerd.</w:t>
      </w:r>
    </w:p>
    <w:p w14:paraId="418DF465" w14:textId="77777777" w:rsidR="00F214AB" w:rsidRPr="00746302" w:rsidRDefault="00F214AB" w:rsidP="00F214AB">
      <w:pPr>
        <w:rPr>
          <w:rFonts w:ascii="Calibri" w:hAnsi="Calibri"/>
        </w:rPr>
      </w:pPr>
      <w:r w:rsidRPr="00746302">
        <w:rPr>
          <w:rFonts w:ascii="Calibri" w:hAnsi="Calibri"/>
        </w:rPr>
        <w:t xml:space="preserve">In de volgende paragrafen wordt de invulinstructie verder gedetailleerd en dit voor elke tabel afzonderlijk. Op die manier tracht de VREG zijn referentiekader op een zo volledig mogelijke manier te omschrijven. </w:t>
      </w:r>
    </w:p>
    <w:p w14:paraId="7DE5B0A3" w14:textId="6EA3365F" w:rsidR="00F214AB" w:rsidRPr="009F2684" w:rsidRDefault="00F214AB" w:rsidP="00F214AB">
      <w:pPr>
        <w:rPr>
          <w:rFonts w:ascii="Calibri" w:hAnsi="Calibri"/>
        </w:rPr>
      </w:pPr>
      <w:r w:rsidRPr="009F2684">
        <w:rPr>
          <w:rFonts w:ascii="Calibri" w:hAnsi="Calibri"/>
        </w:rPr>
        <w:t>Voor de gewestgrensoverschrijdende distributienetbeheerders, voor zover nog van toepassing, dient te worden opgemerkt dat het rapporteringsmodel voor de endogene kosten in zijn totaliteit dient te worden ingevuld</w:t>
      </w:r>
      <w:r w:rsidR="00526450">
        <w:rPr>
          <w:rFonts w:ascii="Calibri" w:hAnsi="Calibri"/>
        </w:rPr>
        <w:t>, dus</w:t>
      </w:r>
      <w:r w:rsidRPr="009F2684">
        <w:rPr>
          <w:rFonts w:ascii="Calibri" w:hAnsi="Calibri"/>
        </w:rPr>
        <w:t xml:space="preserve"> voor de volledige regio van de distributienetbeheerder (incl. het gedeelte van </w:t>
      </w:r>
      <w:r w:rsidR="00526450">
        <w:rPr>
          <w:rFonts w:ascii="Calibri" w:hAnsi="Calibri"/>
        </w:rPr>
        <w:t>overige gewest(en)</w:t>
      </w:r>
      <w:r w:rsidRPr="009F2684">
        <w:rPr>
          <w:rFonts w:ascii="Calibri" w:hAnsi="Calibri"/>
        </w:rPr>
        <w:t>) (zowel voor activa, passiva, kosten als opbrengsten). Vervolgens dient in ‘tabel 3’ van dit rapporteringsmodel door de distributienetbeheerder worden aangegeven welk aandeel het Vlaamse Gewest in het totaal van de distributienetbeheerder uitmaakt en dit per rubriek van de endogene kosten.</w:t>
      </w:r>
      <w:r w:rsidR="00681A87">
        <w:rPr>
          <w:rFonts w:ascii="Calibri" w:hAnsi="Calibri"/>
        </w:rPr>
        <w:t xml:space="preserve"> Dit aandeel per endogene kostenrubriek wordt bepaald a.d.h.v. de bepalingen in de bijlage</w:t>
      </w:r>
      <w:r w:rsidRPr="009F2684">
        <w:rPr>
          <w:rFonts w:ascii="Calibri" w:hAnsi="Calibri"/>
        </w:rPr>
        <w:t xml:space="preserve"> </w:t>
      </w:r>
      <w:r w:rsidR="00681A87">
        <w:rPr>
          <w:rFonts w:ascii="Calibri" w:hAnsi="Calibri"/>
        </w:rPr>
        <w:t>3 van de tariefmethodologie.</w:t>
      </w:r>
    </w:p>
    <w:p w14:paraId="6FB65745" w14:textId="77777777" w:rsidR="00F214AB" w:rsidRPr="00746302" w:rsidRDefault="00F214AB" w:rsidP="00F214AB">
      <w:pPr>
        <w:rPr>
          <w:rFonts w:ascii="Calibri" w:hAnsi="Calibri"/>
        </w:rPr>
      </w:pPr>
      <w:r w:rsidRPr="009F2684">
        <w:rPr>
          <w:rFonts w:ascii="Calibri" w:hAnsi="Calibri"/>
        </w:rPr>
        <w:t>Indien u nadere vragen heeft over de wijze waarop dit model dient worden ingevuld, kunt u contact opnemen met volgende contactpersonen:</w:t>
      </w:r>
    </w:p>
    <w:p w14:paraId="413EEE39" w14:textId="413B503B" w:rsidR="00F214AB" w:rsidRPr="00746302" w:rsidRDefault="00F214AB" w:rsidP="00F214AB">
      <w:pPr>
        <w:pStyle w:val="Lijstalinea"/>
        <w:rPr>
          <w:lang w:val="en-GB"/>
        </w:rPr>
      </w:pPr>
      <w:r w:rsidRPr="00746302">
        <w:rPr>
          <w:lang w:val="en-GB"/>
        </w:rPr>
        <w:t xml:space="preserve">Bert Stockman: </w:t>
      </w:r>
      <w:r w:rsidRPr="00746302">
        <w:rPr>
          <w:lang w:val="en-GB"/>
        </w:rPr>
        <w:tab/>
      </w:r>
      <w:r w:rsidRPr="00746302">
        <w:rPr>
          <w:lang w:val="en-GB"/>
        </w:rPr>
        <w:tab/>
      </w:r>
      <w:r w:rsidRPr="00746302">
        <w:rPr>
          <w:lang w:val="en-GB"/>
        </w:rPr>
        <w:tab/>
      </w:r>
      <w:hyperlink r:id="rId18" w:history="1">
        <w:r w:rsidR="00C3170A" w:rsidRPr="00C50B8E">
          <w:rPr>
            <w:rStyle w:val="Hyperlink"/>
            <w:lang w:val="en-GB"/>
          </w:rPr>
          <w:t>bert.stockman@vreg.be</w:t>
        </w:r>
      </w:hyperlink>
      <w:r w:rsidRPr="00746302">
        <w:rPr>
          <w:lang w:val="en-GB"/>
        </w:rPr>
        <w:t xml:space="preserve"> </w:t>
      </w:r>
    </w:p>
    <w:p w14:paraId="2645D9CC" w14:textId="77777777" w:rsidR="00F214AB" w:rsidRPr="000A0313" w:rsidRDefault="00F214AB" w:rsidP="00F214AB">
      <w:pPr>
        <w:pStyle w:val="Lijstalinea"/>
      </w:pPr>
      <w:r w:rsidRPr="000A0313">
        <w:t>Jonas De Smit:</w:t>
      </w:r>
      <w:r w:rsidRPr="000A0313">
        <w:tab/>
      </w:r>
      <w:r w:rsidRPr="000A0313">
        <w:tab/>
      </w:r>
      <w:r w:rsidRPr="000A0313">
        <w:tab/>
      </w:r>
      <w:hyperlink r:id="rId19" w:history="1">
        <w:r w:rsidRPr="000A0313">
          <w:rPr>
            <w:rStyle w:val="Hyperlink"/>
          </w:rPr>
          <w:t>jonas.desmit@vreg.be</w:t>
        </w:r>
      </w:hyperlink>
    </w:p>
    <w:p w14:paraId="60C13FD3" w14:textId="77777777" w:rsidR="00F214AB" w:rsidRPr="00746302" w:rsidRDefault="00F214AB" w:rsidP="00F214AB">
      <w:pPr>
        <w:pStyle w:val="Lijstalinea"/>
        <w:rPr>
          <w:lang w:val="en-GB"/>
        </w:rPr>
      </w:pPr>
      <w:r w:rsidRPr="00746302">
        <w:rPr>
          <w:lang w:val="en-GB"/>
        </w:rPr>
        <w:t>Marc Michiels:</w:t>
      </w:r>
      <w:r w:rsidRPr="00746302">
        <w:rPr>
          <w:lang w:val="en-GB"/>
        </w:rPr>
        <w:tab/>
      </w:r>
      <w:r w:rsidRPr="00746302">
        <w:rPr>
          <w:lang w:val="en-GB"/>
        </w:rPr>
        <w:tab/>
      </w:r>
      <w:r w:rsidRPr="00746302">
        <w:rPr>
          <w:lang w:val="en-GB"/>
        </w:rPr>
        <w:tab/>
      </w:r>
      <w:hyperlink r:id="rId20" w:history="1">
        <w:r w:rsidRPr="00746302">
          <w:rPr>
            <w:rStyle w:val="Hyperlink"/>
            <w:lang w:val="en-GB"/>
          </w:rPr>
          <w:t>marc.michiels@vreg.be</w:t>
        </w:r>
      </w:hyperlink>
      <w:r w:rsidRPr="00746302">
        <w:rPr>
          <w:lang w:val="en-GB"/>
        </w:rPr>
        <w:t xml:space="preserve"> </w:t>
      </w:r>
    </w:p>
    <w:p w14:paraId="70BA5DE3" w14:textId="77777777" w:rsidR="00F214AB" w:rsidRPr="00746302" w:rsidRDefault="00F214AB" w:rsidP="00F214AB">
      <w:pPr>
        <w:pStyle w:val="Kop4"/>
      </w:pPr>
      <w:bookmarkStart w:id="128" w:name="_Toc81512486"/>
      <w:r w:rsidRPr="00746302">
        <w:t>TITELBLAD</w:t>
      </w:r>
      <w:bookmarkEnd w:id="128"/>
    </w:p>
    <w:p w14:paraId="38B0BE4F" w14:textId="77777777" w:rsidR="00F214AB" w:rsidRPr="00746302" w:rsidRDefault="00F214AB" w:rsidP="00F214AB">
      <w:pPr>
        <w:rPr>
          <w:rFonts w:ascii="Calibri" w:hAnsi="Calibri"/>
        </w:rPr>
      </w:pPr>
      <w:r w:rsidRPr="00746302">
        <w:rPr>
          <w:rFonts w:ascii="Calibri" w:hAnsi="Calibri"/>
        </w:rPr>
        <w:lastRenderedPageBreak/>
        <w:t>In het titelblad dient de distributienetbeheerder de volgende velden in te vullen:</w:t>
      </w:r>
    </w:p>
    <w:p w14:paraId="6F81A574" w14:textId="77777777" w:rsidR="00F214AB" w:rsidRPr="00746302" w:rsidRDefault="00F214AB" w:rsidP="00F214AB">
      <w:pPr>
        <w:numPr>
          <w:ilvl w:val="0"/>
          <w:numId w:val="12"/>
        </w:numPr>
        <w:spacing w:before="0" w:line="240" w:lineRule="auto"/>
        <w:jc w:val="both"/>
        <w:rPr>
          <w:rFonts w:ascii="Calibri" w:hAnsi="Calibri"/>
        </w:rPr>
      </w:pPr>
      <w:r w:rsidRPr="00746302">
        <w:rPr>
          <w:rFonts w:ascii="Calibri" w:hAnsi="Calibri"/>
        </w:rPr>
        <w:t>Naam van de distributienetbeheerder</w:t>
      </w:r>
    </w:p>
    <w:p w14:paraId="5BB53B4A" w14:textId="77777777" w:rsidR="00F214AB" w:rsidRPr="00746302" w:rsidRDefault="00F214AB" w:rsidP="00F214AB">
      <w:pPr>
        <w:numPr>
          <w:ilvl w:val="0"/>
          <w:numId w:val="12"/>
        </w:numPr>
        <w:spacing w:before="0" w:line="240" w:lineRule="auto"/>
        <w:jc w:val="both"/>
        <w:rPr>
          <w:rFonts w:ascii="Calibri" w:hAnsi="Calibri"/>
        </w:rPr>
      </w:pPr>
      <w:r w:rsidRPr="00746302">
        <w:rPr>
          <w:rFonts w:ascii="Calibri" w:hAnsi="Calibri"/>
        </w:rPr>
        <w:t>Ondernemingsnummer</w:t>
      </w:r>
    </w:p>
    <w:p w14:paraId="52B0724E" w14:textId="77777777" w:rsidR="00F214AB" w:rsidRPr="00746302" w:rsidRDefault="00F214AB" w:rsidP="00F214AB">
      <w:pPr>
        <w:numPr>
          <w:ilvl w:val="0"/>
          <w:numId w:val="12"/>
        </w:numPr>
        <w:spacing w:before="0" w:line="240" w:lineRule="auto"/>
        <w:jc w:val="both"/>
        <w:rPr>
          <w:rFonts w:ascii="Calibri" w:hAnsi="Calibri"/>
        </w:rPr>
      </w:pPr>
      <w:r w:rsidRPr="00746302">
        <w:rPr>
          <w:rFonts w:ascii="Calibri" w:hAnsi="Calibri"/>
        </w:rPr>
        <w:t>Gereguleerde activiteit (distributie van elektriciteit of aardgas)</w:t>
      </w:r>
    </w:p>
    <w:p w14:paraId="561DEDCE" w14:textId="77777777" w:rsidR="00F214AB" w:rsidRPr="00746302" w:rsidRDefault="00F214AB" w:rsidP="00F214AB">
      <w:pPr>
        <w:numPr>
          <w:ilvl w:val="0"/>
          <w:numId w:val="12"/>
        </w:numPr>
        <w:spacing w:before="0" w:line="240" w:lineRule="auto"/>
        <w:jc w:val="both"/>
        <w:rPr>
          <w:rFonts w:ascii="Calibri" w:hAnsi="Calibri"/>
        </w:rPr>
      </w:pPr>
      <w:r w:rsidRPr="00746302">
        <w:rPr>
          <w:rFonts w:ascii="Calibri" w:hAnsi="Calibri"/>
        </w:rPr>
        <w:t>Boekjaar waarover wordt gerapporteerd</w:t>
      </w:r>
    </w:p>
    <w:p w14:paraId="01D05481" w14:textId="77777777" w:rsidR="00F214AB" w:rsidRPr="00746302" w:rsidRDefault="00F214AB" w:rsidP="00F214AB">
      <w:pPr>
        <w:rPr>
          <w:rFonts w:ascii="Calibri" w:hAnsi="Calibri"/>
        </w:rPr>
      </w:pPr>
      <w:r w:rsidRPr="00746302">
        <w:rPr>
          <w:rFonts w:ascii="Calibri" w:hAnsi="Calibri"/>
        </w:rPr>
        <w:t xml:space="preserve">In de volgende tabellen van het rapporteringsmodel zijn de vergelijkbare velden gelinkt aan dit titelblad. De in deze cellen ingevulde waarden worden in de volgende werkbladen dus automatisch overgenomen. </w:t>
      </w:r>
    </w:p>
    <w:p w14:paraId="738BD371" w14:textId="3046873F" w:rsidR="00F214AB" w:rsidRDefault="00F214AB" w:rsidP="00F214AB">
      <w:pPr>
        <w:ind w:right="-2"/>
        <w:rPr>
          <w:rFonts w:ascii="Calibri" w:hAnsi="Calibri"/>
          <w:highlight w:val="yellow"/>
        </w:rPr>
      </w:pPr>
      <w:r w:rsidRPr="00746302">
        <w:rPr>
          <w:rFonts w:ascii="Calibri" w:hAnsi="Calibri"/>
        </w:rPr>
        <w:t>Verder omvat het titelblad een herhaling van de richtlijnen met betrekking tot het invullen en de interpretatie van het rapporteringsmodel, de legende met betrekking tot de celkleuren en een overzicht van de verschillende tabellen die in het rapporteringsmodel zijn opgenomen.</w:t>
      </w:r>
    </w:p>
    <w:p w14:paraId="546D8297" w14:textId="6A563B4A" w:rsidR="000D47E5" w:rsidRPr="00836F3C" w:rsidRDefault="000D47E5" w:rsidP="000D47E5">
      <w:pPr>
        <w:pStyle w:val="Kop4"/>
      </w:pPr>
      <w:bookmarkStart w:id="129" w:name="_Ref389575320"/>
      <w:bookmarkStart w:id="130" w:name="_Toc81512487"/>
      <w:r w:rsidRPr="0043072E">
        <w:t>ASSUMPTIES</w:t>
      </w:r>
      <w:bookmarkEnd w:id="129"/>
      <w:bookmarkEnd w:id="130"/>
    </w:p>
    <w:p w14:paraId="5E100BD5" w14:textId="68BC93E1" w:rsidR="000D47E5" w:rsidRPr="0043072E" w:rsidRDefault="0023021D" w:rsidP="00836F3C">
      <w:pPr>
        <w:rPr>
          <w:rFonts w:ascii="Calibri" w:hAnsi="Calibri"/>
        </w:rPr>
      </w:pPr>
      <w:r>
        <w:rPr>
          <w:rFonts w:ascii="Calibri" w:hAnsi="Calibri"/>
        </w:rPr>
        <w:t>In deze tabel</w:t>
      </w:r>
      <w:r w:rsidR="000D47E5" w:rsidRPr="0043072E">
        <w:rPr>
          <w:rFonts w:ascii="Calibri" w:hAnsi="Calibri"/>
        </w:rPr>
        <w:t xml:space="preserve"> is een overzicht opgenomen van de afschrijvingspercentages voor de immateriële en materiële vaste activa (voor zowel de gereguleerde activiteit </w:t>
      </w:r>
      <w:r w:rsidR="00BC4C69">
        <w:rPr>
          <w:rFonts w:ascii="Calibri" w:hAnsi="Calibri"/>
        </w:rPr>
        <w:t>‘</w:t>
      </w:r>
      <w:r w:rsidR="000D47E5" w:rsidRPr="0043072E">
        <w:rPr>
          <w:rFonts w:ascii="Calibri" w:hAnsi="Calibri"/>
        </w:rPr>
        <w:t>elektriciteit</w:t>
      </w:r>
      <w:r w:rsidR="00BC4C69">
        <w:rPr>
          <w:rFonts w:ascii="Calibri" w:hAnsi="Calibri"/>
        </w:rPr>
        <w:t>’</w:t>
      </w:r>
      <w:r w:rsidR="003F6F06">
        <w:rPr>
          <w:rFonts w:ascii="Calibri" w:hAnsi="Calibri"/>
        </w:rPr>
        <w:t xml:space="preserve"> </w:t>
      </w:r>
      <w:r w:rsidR="000D47E5" w:rsidRPr="0043072E">
        <w:rPr>
          <w:rFonts w:ascii="Calibri" w:hAnsi="Calibri"/>
        </w:rPr>
        <w:t xml:space="preserve">als </w:t>
      </w:r>
      <w:r w:rsidR="00BC4C69">
        <w:rPr>
          <w:rFonts w:ascii="Calibri" w:hAnsi="Calibri"/>
        </w:rPr>
        <w:t>‘</w:t>
      </w:r>
      <w:r w:rsidR="000D47E5" w:rsidRPr="0043072E">
        <w:rPr>
          <w:rFonts w:ascii="Calibri" w:hAnsi="Calibri"/>
        </w:rPr>
        <w:t>gas</w:t>
      </w:r>
      <w:r w:rsidR="00BC4C69">
        <w:rPr>
          <w:rFonts w:ascii="Calibri" w:hAnsi="Calibri"/>
        </w:rPr>
        <w:t>’</w:t>
      </w:r>
      <w:r w:rsidR="000D47E5" w:rsidRPr="0043072E">
        <w:rPr>
          <w:rFonts w:ascii="Calibri" w:hAnsi="Calibri"/>
        </w:rPr>
        <w:t xml:space="preserve">), zoals deze in de </w:t>
      </w:r>
      <w:r w:rsidR="003F6F06">
        <w:rPr>
          <w:rFonts w:ascii="Calibri" w:hAnsi="Calibri"/>
        </w:rPr>
        <w:t>regulatoire</w:t>
      </w:r>
      <w:r w:rsidR="000D47E5" w:rsidRPr="0043072E">
        <w:rPr>
          <w:rFonts w:ascii="Calibri" w:hAnsi="Calibri"/>
        </w:rPr>
        <w:t xml:space="preserve"> boekhoudkundige voorschriften (cfr paragraaf </w:t>
      </w:r>
      <w:r w:rsidR="00A47796">
        <w:rPr>
          <w:rFonts w:ascii="Calibri" w:hAnsi="Calibri"/>
        </w:rPr>
        <w:t xml:space="preserve">13 </w:t>
      </w:r>
      <w:r w:rsidR="000D47E5" w:rsidRPr="0043072E">
        <w:rPr>
          <w:rFonts w:ascii="Calibri" w:hAnsi="Calibri"/>
        </w:rPr>
        <w:t>van de hoofdtekst van de tariefmethodologie) zijn opgenomen. Deze vormen de afschrijvingspercentages waarvoor in ‘tabel 4’, ‘tabel 5A’ en ‘tabel 5</w:t>
      </w:r>
      <w:r w:rsidR="00CE2C05">
        <w:rPr>
          <w:rFonts w:ascii="Calibri" w:hAnsi="Calibri"/>
        </w:rPr>
        <w:t>B</w:t>
      </w:r>
      <w:r w:rsidR="000D47E5" w:rsidRPr="0043072E">
        <w:rPr>
          <w:rFonts w:ascii="Calibri" w:hAnsi="Calibri"/>
        </w:rPr>
        <w:t xml:space="preserve">’ het jaarlijks bedrag van de afschrijvingen voor respectievelijk de immateriële vaste activa, de historische aanschaffingswaarde van de materiële vaste activa voor de gereguleerde activiteit </w:t>
      </w:r>
      <w:r w:rsidR="00EC32E2">
        <w:rPr>
          <w:rFonts w:ascii="Calibri" w:hAnsi="Calibri"/>
        </w:rPr>
        <w:t>‘</w:t>
      </w:r>
      <w:r w:rsidR="000D47E5" w:rsidRPr="0043072E">
        <w:rPr>
          <w:rFonts w:ascii="Calibri" w:hAnsi="Calibri"/>
        </w:rPr>
        <w:t>elektriciteit</w:t>
      </w:r>
      <w:r w:rsidR="00EC32E2">
        <w:rPr>
          <w:rFonts w:ascii="Calibri" w:hAnsi="Calibri"/>
        </w:rPr>
        <w:t>’</w:t>
      </w:r>
      <w:r w:rsidR="000D47E5" w:rsidRPr="0043072E">
        <w:rPr>
          <w:rFonts w:ascii="Calibri" w:hAnsi="Calibri"/>
        </w:rPr>
        <w:t xml:space="preserve"> en de historische aanschaffingswaarde van de materiële vaste activa voor de gereguleerde activiteit </w:t>
      </w:r>
      <w:r w:rsidR="00EC32E2">
        <w:rPr>
          <w:rFonts w:ascii="Calibri" w:hAnsi="Calibri"/>
        </w:rPr>
        <w:t>‘</w:t>
      </w:r>
      <w:r w:rsidR="000D47E5" w:rsidRPr="0043072E">
        <w:rPr>
          <w:rFonts w:ascii="Calibri" w:hAnsi="Calibri"/>
        </w:rPr>
        <w:t>gas</w:t>
      </w:r>
      <w:r w:rsidR="00EC32E2">
        <w:rPr>
          <w:rFonts w:ascii="Calibri" w:hAnsi="Calibri"/>
        </w:rPr>
        <w:t>’</w:t>
      </w:r>
      <w:r w:rsidR="000D47E5" w:rsidRPr="0043072E">
        <w:rPr>
          <w:rFonts w:ascii="Calibri" w:hAnsi="Calibri"/>
        </w:rPr>
        <w:t xml:space="preserve"> worden gerapporteerd, zonder rekening te houden met enige restwaarde</w:t>
      </w:r>
      <w:r w:rsidR="007624B0">
        <w:rPr>
          <w:rFonts w:ascii="Calibri" w:hAnsi="Calibri"/>
        </w:rPr>
        <w:t>.</w:t>
      </w:r>
    </w:p>
    <w:p w14:paraId="7D562D1E" w14:textId="1649C755" w:rsidR="000D47E5" w:rsidRPr="0043072E" w:rsidRDefault="000F5B50" w:rsidP="00836F3C">
      <w:pPr>
        <w:rPr>
          <w:rFonts w:ascii="Calibri" w:hAnsi="Calibri"/>
        </w:rPr>
      </w:pPr>
      <w:r w:rsidRPr="000F5B50">
        <w:rPr>
          <w:rFonts w:ascii="Calibri" w:hAnsi="Calibri"/>
        </w:rPr>
        <w:t>Na overleg van de distributienetbeheerders met de VREG en rekening houdend met specifieke projecten kunnen andere activaklassen en afschrijvingspercentages worden goedgekeurd</w:t>
      </w:r>
      <w:r w:rsidR="000D47E5" w:rsidRPr="0043072E">
        <w:rPr>
          <w:rFonts w:ascii="Calibri" w:hAnsi="Calibri"/>
        </w:rPr>
        <w:t>.</w:t>
      </w:r>
    </w:p>
    <w:p w14:paraId="253C22C7" w14:textId="7D7BBD0E" w:rsidR="000D47E5" w:rsidRPr="00836F3C" w:rsidRDefault="000D47E5" w:rsidP="00BC4CB0">
      <w:pPr>
        <w:pStyle w:val="Kop4"/>
      </w:pPr>
      <w:bookmarkStart w:id="131" w:name="_Toc81512488"/>
      <w:r w:rsidRPr="0043072E">
        <w:t xml:space="preserve">TABEL 1: Balans (algemene boekhouding) </w:t>
      </w:r>
      <w:r w:rsidR="00BC4CB0">
        <w:t>voor</w:t>
      </w:r>
      <w:r w:rsidRPr="0043072E">
        <w:t xml:space="preserve"> boekjaar 20XX</w:t>
      </w:r>
      <w:bookmarkEnd w:id="131"/>
    </w:p>
    <w:p w14:paraId="4D9C2156" w14:textId="286BD985" w:rsidR="000D47E5" w:rsidRDefault="000D47E5" w:rsidP="005D0A79">
      <w:pPr>
        <w:rPr>
          <w:rFonts w:ascii="Calibri" w:hAnsi="Calibri"/>
        </w:rPr>
      </w:pPr>
      <w:r w:rsidRPr="0043072E">
        <w:rPr>
          <w:rFonts w:ascii="Calibri" w:hAnsi="Calibri"/>
        </w:rPr>
        <w:t>Deze tabel geeft een overzicht van de balanswaarden voor boekjaar 20XX</w:t>
      </w:r>
      <w:r w:rsidR="00067E0A">
        <w:rPr>
          <w:rFonts w:ascii="Calibri" w:hAnsi="Calibri"/>
        </w:rPr>
        <w:t xml:space="preserve"> enerzijds en boekjaar 20XX-1 anderzijds</w:t>
      </w:r>
      <w:r w:rsidRPr="0043072E">
        <w:rPr>
          <w:rFonts w:ascii="Calibri" w:hAnsi="Calibri"/>
        </w:rPr>
        <w:t>. Hierbij wordt een opsplitsing gemaakt over de verschillende activiteiten (‘netbeheer elektriciteit’, ‘netbeheer gas’ en ‘niet-gereguleerde activiteiten’; waarbij voor ‘netbeheer elektriciteit’ en ‘netbeheer gas’ een verder onderscheid wordt gemaakt tussen de gereguleerde activiteiten en de niet-gereguleerde activiteiten). Het totaal van de balans geeft dus een overzicht van alle activiteiten van de distributienetbeheerder en moet aansluiten met de jaarrekening van het desbetreffende boekjaar. Hierbij dienen zowel voor de activa (indien debetsaldo) als de passiva (indien creditsaldo) positieve waarden worden opgegeven.</w:t>
      </w:r>
    </w:p>
    <w:p w14:paraId="4C84881A" w14:textId="448B992E" w:rsidR="00071A6A" w:rsidRDefault="00071A6A" w:rsidP="005D0A79">
      <w:pPr>
        <w:rPr>
          <w:rFonts w:ascii="Calibri" w:hAnsi="Calibri"/>
        </w:rPr>
      </w:pPr>
      <w:r w:rsidRPr="006A0D0B">
        <w:rPr>
          <w:rFonts w:ascii="Calibri" w:hAnsi="Calibri"/>
        </w:rPr>
        <w:t>Conform de bepalingen in</w:t>
      </w:r>
      <w:r w:rsidR="000A3F06">
        <w:rPr>
          <w:rFonts w:ascii="Calibri" w:hAnsi="Calibri"/>
        </w:rPr>
        <w:t xml:space="preserve"> paragraaf 4 van</w:t>
      </w:r>
      <w:r w:rsidRPr="006A0D0B">
        <w:rPr>
          <w:rFonts w:ascii="Calibri" w:hAnsi="Calibri"/>
        </w:rPr>
        <w:t xml:space="preserve"> de bijlage 6 van de tariefmethodologie dient de distributienetbeheerder </w:t>
      </w:r>
      <w:r w:rsidR="0085220C">
        <w:rPr>
          <w:rFonts w:ascii="Calibri" w:hAnsi="Calibri"/>
        </w:rPr>
        <w:t xml:space="preserve">aan de VREG </w:t>
      </w:r>
      <w:r w:rsidR="00092215">
        <w:rPr>
          <w:rFonts w:ascii="Calibri" w:hAnsi="Calibri"/>
        </w:rPr>
        <w:t xml:space="preserve">details te verlenen inzake het cashpoolsysteem </w:t>
      </w:r>
      <w:r w:rsidR="001763F6">
        <w:rPr>
          <w:rFonts w:ascii="Calibri" w:hAnsi="Calibri"/>
        </w:rPr>
        <w:t xml:space="preserve">van toepassing </w:t>
      </w:r>
      <w:r w:rsidR="00092215">
        <w:rPr>
          <w:rFonts w:ascii="Calibri" w:hAnsi="Calibri"/>
        </w:rPr>
        <w:t xml:space="preserve">binnen </w:t>
      </w:r>
      <w:r w:rsidR="001763F6">
        <w:rPr>
          <w:rFonts w:ascii="Calibri" w:hAnsi="Calibri"/>
        </w:rPr>
        <w:t xml:space="preserve">de economische groep </w:t>
      </w:r>
      <w:r w:rsidR="00092215">
        <w:rPr>
          <w:rFonts w:ascii="Calibri" w:hAnsi="Calibri"/>
        </w:rPr>
        <w:t xml:space="preserve">Fluvius System Operator cvba. </w:t>
      </w:r>
    </w:p>
    <w:p w14:paraId="0D69A5AD" w14:textId="2ABA99E9" w:rsidR="002A45D9" w:rsidRDefault="002A45D9" w:rsidP="005D0A79">
      <w:pPr>
        <w:rPr>
          <w:rFonts w:ascii="Calibri" w:hAnsi="Calibri"/>
        </w:rPr>
      </w:pPr>
      <w:r>
        <w:rPr>
          <w:rFonts w:ascii="Calibri" w:hAnsi="Calibri"/>
        </w:rPr>
        <w:t xml:space="preserve">Onderaan </w:t>
      </w:r>
      <w:r w:rsidR="00AD2926">
        <w:rPr>
          <w:rFonts w:ascii="Calibri" w:hAnsi="Calibri"/>
        </w:rPr>
        <w:t xml:space="preserve">de tabel </w:t>
      </w:r>
      <w:r>
        <w:rPr>
          <w:rFonts w:ascii="Calibri" w:hAnsi="Calibri"/>
        </w:rPr>
        <w:t>worden de balanswaarden voor boekjaar 20XX en 20XX-1 vergeleken</w:t>
      </w:r>
      <w:r w:rsidR="00A6309A">
        <w:rPr>
          <w:rFonts w:ascii="Calibri" w:hAnsi="Calibri"/>
        </w:rPr>
        <w:t xml:space="preserve"> waardoor eenvoudig de voornaamste </w:t>
      </w:r>
      <w:r w:rsidR="005452F4">
        <w:rPr>
          <w:rFonts w:ascii="Calibri" w:hAnsi="Calibri"/>
        </w:rPr>
        <w:t>wijzigingen</w:t>
      </w:r>
      <w:r w:rsidR="00A6309A">
        <w:rPr>
          <w:rFonts w:ascii="Calibri" w:hAnsi="Calibri"/>
        </w:rPr>
        <w:t xml:space="preserve"> in de balans kunnen vastgesteld worden. </w:t>
      </w:r>
      <w:r w:rsidR="00F02F28">
        <w:rPr>
          <w:rFonts w:ascii="Calibri" w:hAnsi="Calibri"/>
        </w:rPr>
        <w:t>In zijn</w:t>
      </w:r>
      <w:r w:rsidR="005452F4">
        <w:rPr>
          <w:rFonts w:ascii="Calibri" w:hAnsi="Calibri"/>
        </w:rPr>
        <w:t xml:space="preserve"> nazicht van het ex-post rapporteringsmodel</w:t>
      </w:r>
      <w:r w:rsidR="00F02F28">
        <w:rPr>
          <w:rFonts w:ascii="Calibri" w:hAnsi="Calibri"/>
        </w:rPr>
        <w:t xml:space="preserve"> kan de VREG vervolgens bijkomende informatie omtrent bepaalde </w:t>
      </w:r>
      <w:r w:rsidR="005452F4">
        <w:rPr>
          <w:rFonts w:ascii="Calibri" w:hAnsi="Calibri"/>
        </w:rPr>
        <w:t>balanswijzigingen</w:t>
      </w:r>
      <w:r w:rsidR="00F02F28">
        <w:rPr>
          <w:rFonts w:ascii="Calibri" w:hAnsi="Calibri"/>
        </w:rPr>
        <w:t xml:space="preserve"> bij de distributienetbeheerder opvragen. </w:t>
      </w:r>
    </w:p>
    <w:p w14:paraId="79B7AF70" w14:textId="4F5E64F5" w:rsidR="000D47E5" w:rsidRPr="0043072E" w:rsidRDefault="000D47E5" w:rsidP="005D0A79">
      <w:pPr>
        <w:pStyle w:val="Kop4"/>
      </w:pPr>
      <w:bookmarkStart w:id="132" w:name="_Toc81512489"/>
      <w:r w:rsidRPr="0043072E">
        <w:t xml:space="preserve">TABEL 2: Resultatenrekening (algemene boekhouding) </w:t>
      </w:r>
      <w:r w:rsidR="00334755">
        <w:t>voor</w:t>
      </w:r>
      <w:r w:rsidRPr="0043072E">
        <w:t xml:space="preserve"> boekjaar 20XX</w:t>
      </w:r>
      <w:bookmarkEnd w:id="132"/>
    </w:p>
    <w:p w14:paraId="471EC938" w14:textId="038DC9FC" w:rsidR="000D47E5" w:rsidRPr="0043072E" w:rsidRDefault="000D47E5" w:rsidP="005D0A79">
      <w:pPr>
        <w:rPr>
          <w:rFonts w:ascii="Calibri" w:hAnsi="Calibri"/>
        </w:rPr>
      </w:pPr>
      <w:r w:rsidRPr="0043072E">
        <w:rPr>
          <w:rFonts w:ascii="Calibri" w:hAnsi="Calibri"/>
        </w:rPr>
        <w:lastRenderedPageBreak/>
        <w:t xml:space="preserve">In deze tabel dient de distributienetbeheerder de resultatenrekening voor boekjaar 20XX </w:t>
      </w:r>
      <w:r w:rsidR="00334755">
        <w:rPr>
          <w:rFonts w:ascii="Calibri" w:hAnsi="Calibri"/>
        </w:rPr>
        <w:t xml:space="preserve">enerzijds en boekjaar 20XX-1 anderzijds </w:t>
      </w:r>
      <w:r w:rsidRPr="0043072E">
        <w:rPr>
          <w:rFonts w:ascii="Calibri" w:hAnsi="Calibri"/>
        </w:rPr>
        <w:t xml:space="preserve">op te geven. Hierbij wordt eveneens een opsplitsing gemaakt over de verschillende activiteiten (‘netbeheer elektriciteit’, ‘netbeheer gas’ en ‘niet-gereguleerde activiteiten’) en vervolgens wordt voor ‘netbeheer elektriciteit’ en ‘netbeheer gas’ een verder onderscheid gemaakt tussen endogene kosten/opbrengsten, exogene kosten/opbrengsten, overige kosten/opbrengsten, overboekingen en/of terugnames en niet-gereguleerde activiteiten. </w:t>
      </w:r>
    </w:p>
    <w:p w14:paraId="031A3673" w14:textId="77777777" w:rsidR="000D47E5" w:rsidRPr="0043072E" w:rsidRDefault="000D47E5" w:rsidP="005D0A79">
      <w:pPr>
        <w:rPr>
          <w:rFonts w:ascii="Calibri" w:hAnsi="Calibri"/>
        </w:rPr>
      </w:pPr>
      <w:r w:rsidRPr="0043072E">
        <w:rPr>
          <w:rFonts w:ascii="Calibri" w:hAnsi="Calibri"/>
        </w:rPr>
        <w:t>De distributienetbeheerder dient deze splitsing op te geven teneinde voor het betreffende boekjaar inzicht te hebben in:</w:t>
      </w:r>
    </w:p>
    <w:p w14:paraId="1FA789BC" w14:textId="77777777" w:rsidR="000D47E5" w:rsidRPr="0043072E" w:rsidRDefault="000D47E5" w:rsidP="000D47E5">
      <w:pPr>
        <w:numPr>
          <w:ilvl w:val="0"/>
          <w:numId w:val="25"/>
        </w:numPr>
        <w:spacing w:before="0" w:line="240" w:lineRule="auto"/>
        <w:ind w:left="1418" w:hanging="218"/>
        <w:jc w:val="both"/>
        <w:rPr>
          <w:rFonts w:ascii="Calibri" w:hAnsi="Calibri"/>
        </w:rPr>
      </w:pPr>
      <w:r w:rsidRPr="0043072E">
        <w:rPr>
          <w:rFonts w:ascii="Calibri" w:hAnsi="Calibri"/>
        </w:rPr>
        <w:t>welke kosten en opbrengsten louter betrekking hebben op de uitvoering van de gereguleerde activiteiten in de loop van het boekjaar, en;</w:t>
      </w:r>
    </w:p>
    <w:p w14:paraId="795BAE5D" w14:textId="77777777" w:rsidR="000D47E5" w:rsidRPr="0043072E" w:rsidRDefault="000D47E5" w:rsidP="000D47E5">
      <w:pPr>
        <w:numPr>
          <w:ilvl w:val="0"/>
          <w:numId w:val="25"/>
        </w:numPr>
        <w:spacing w:before="0" w:line="240" w:lineRule="auto"/>
        <w:ind w:left="1560"/>
        <w:jc w:val="both"/>
        <w:rPr>
          <w:rFonts w:ascii="Calibri" w:hAnsi="Calibri"/>
        </w:rPr>
      </w:pPr>
      <w:r w:rsidRPr="0043072E">
        <w:rPr>
          <w:rFonts w:ascii="Calibri" w:hAnsi="Calibri"/>
        </w:rPr>
        <w:t>welke betrekking hebben op:</w:t>
      </w:r>
    </w:p>
    <w:p w14:paraId="4D3D180D" w14:textId="77777777" w:rsidR="000D47E5" w:rsidRPr="0043072E" w:rsidRDefault="000D47E5" w:rsidP="000D47E5">
      <w:pPr>
        <w:numPr>
          <w:ilvl w:val="1"/>
          <w:numId w:val="25"/>
        </w:numPr>
        <w:spacing w:before="0" w:line="240" w:lineRule="auto"/>
        <w:ind w:left="2127"/>
        <w:jc w:val="both"/>
        <w:rPr>
          <w:rFonts w:ascii="Calibri" w:hAnsi="Calibri"/>
        </w:rPr>
      </w:pPr>
      <w:r w:rsidRPr="0043072E">
        <w:rPr>
          <w:rFonts w:ascii="Calibri" w:hAnsi="Calibri"/>
        </w:rPr>
        <w:t>de niet-gereguleerde activiteiten en</w:t>
      </w:r>
    </w:p>
    <w:p w14:paraId="3BD084B6" w14:textId="77777777" w:rsidR="000D47E5" w:rsidRPr="0043072E" w:rsidRDefault="000D47E5" w:rsidP="000D47E5">
      <w:pPr>
        <w:numPr>
          <w:ilvl w:val="1"/>
          <w:numId w:val="25"/>
        </w:numPr>
        <w:spacing w:before="0" w:line="240" w:lineRule="auto"/>
        <w:ind w:left="2127"/>
        <w:jc w:val="both"/>
        <w:rPr>
          <w:rFonts w:ascii="Calibri" w:hAnsi="Calibri"/>
        </w:rPr>
      </w:pPr>
      <w:r w:rsidRPr="0043072E">
        <w:rPr>
          <w:rFonts w:ascii="Calibri" w:hAnsi="Calibri"/>
        </w:rPr>
        <w:t>de overdrachten en/of terugnames van de regulatoire saldi ontstaan in:</w:t>
      </w:r>
    </w:p>
    <w:p w14:paraId="498019BA" w14:textId="77777777" w:rsidR="000D47E5" w:rsidRPr="0043072E" w:rsidRDefault="000D47E5" w:rsidP="000D47E5">
      <w:pPr>
        <w:numPr>
          <w:ilvl w:val="2"/>
          <w:numId w:val="25"/>
        </w:numPr>
        <w:spacing w:before="0" w:line="240" w:lineRule="auto"/>
        <w:ind w:left="2694"/>
        <w:jc w:val="both"/>
        <w:rPr>
          <w:rFonts w:ascii="Calibri" w:hAnsi="Calibri"/>
        </w:rPr>
      </w:pPr>
      <w:r w:rsidRPr="0043072E">
        <w:rPr>
          <w:rFonts w:ascii="Calibri" w:hAnsi="Calibri"/>
        </w:rPr>
        <w:t>het huidige boekjaar en/of;</w:t>
      </w:r>
    </w:p>
    <w:p w14:paraId="5267C5B8" w14:textId="77777777" w:rsidR="000D47E5" w:rsidRPr="0043072E" w:rsidRDefault="000D47E5" w:rsidP="000D47E5">
      <w:pPr>
        <w:numPr>
          <w:ilvl w:val="2"/>
          <w:numId w:val="25"/>
        </w:numPr>
        <w:spacing w:before="0" w:line="240" w:lineRule="auto"/>
        <w:ind w:left="2694"/>
        <w:jc w:val="both"/>
        <w:rPr>
          <w:rFonts w:ascii="Calibri" w:hAnsi="Calibri"/>
        </w:rPr>
      </w:pPr>
      <w:r w:rsidRPr="0043072E">
        <w:rPr>
          <w:rFonts w:ascii="Calibri" w:hAnsi="Calibri"/>
        </w:rPr>
        <w:t>de vorige boekjaren.</w:t>
      </w:r>
    </w:p>
    <w:p w14:paraId="7218F2D1" w14:textId="77777777" w:rsidR="000D47E5" w:rsidRPr="0043072E" w:rsidRDefault="000D47E5" w:rsidP="000D47E5">
      <w:pPr>
        <w:ind w:left="2127"/>
        <w:rPr>
          <w:rFonts w:ascii="Calibri" w:hAnsi="Calibri"/>
        </w:rPr>
      </w:pPr>
      <w:r w:rsidRPr="0043072E">
        <w:rPr>
          <w:rFonts w:ascii="Calibri" w:hAnsi="Calibri"/>
        </w:rPr>
        <w:t>Deze overdrachten en/of terugnames dienen in deze tabel als één bedrag te worden gerapporteerd.</w:t>
      </w:r>
    </w:p>
    <w:p w14:paraId="775940F4" w14:textId="7F4F2A81" w:rsidR="000D47E5" w:rsidRDefault="000D47E5" w:rsidP="00775178">
      <w:pPr>
        <w:rPr>
          <w:rFonts w:ascii="Calibri" w:hAnsi="Calibri"/>
        </w:rPr>
      </w:pPr>
      <w:r w:rsidRPr="0043072E">
        <w:rPr>
          <w:rFonts w:ascii="Calibri" w:hAnsi="Calibri"/>
        </w:rPr>
        <w:t>Het totaal van de resultatenrekening geeft dus een overzicht van alle activiteiten van de distributienetbeheerder en moet aansluiten met de jaarrekening van het desbetreffende boekjaar. Hierbij dienen zowel voor de kosten (indien debetsaldo) als de opbrengsten (indien creditsaldo) posi</w:t>
      </w:r>
      <w:r w:rsidR="005D0A79">
        <w:rPr>
          <w:rFonts w:ascii="Calibri" w:hAnsi="Calibri"/>
        </w:rPr>
        <w:t>tieve waarden worden opgegeven.</w:t>
      </w:r>
    </w:p>
    <w:p w14:paraId="1B1E9053" w14:textId="4085E1F8" w:rsidR="00AD2926" w:rsidRDefault="00AD2926" w:rsidP="00AD2926">
      <w:pPr>
        <w:rPr>
          <w:rFonts w:ascii="Calibri" w:hAnsi="Calibri"/>
        </w:rPr>
      </w:pPr>
      <w:r>
        <w:rPr>
          <w:rFonts w:ascii="Calibri" w:hAnsi="Calibri"/>
        </w:rPr>
        <w:t xml:space="preserve">Onderaan de tabel worden de resultatenrekeningen voor boekjaar 20XX en 20XX-1 vergeleken waardoor eenvoudig de voornaamste wijzigingen kunnen vastgesteld worden. In zijn nazicht van het ex-post rapporteringsmodel kan de VREG vervolgens bijkomende informatie omtrent bepaalde wijzigingen </w:t>
      </w:r>
      <w:r w:rsidR="005115D4">
        <w:rPr>
          <w:rFonts w:ascii="Calibri" w:hAnsi="Calibri"/>
        </w:rPr>
        <w:t xml:space="preserve">in de resultatenrekening </w:t>
      </w:r>
      <w:r>
        <w:rPr>
          <w:rFonts w:ascii="Calibri" w:hAnsi="Calibri"/>
        </w:rPr>
        <w:t>bij de distributienetbeheerder opvragen.</w:t>
      </w:r>
    </w:p>
    <w:p w14:paraId="2E2CFF76" w14:textId="145F158D" w:rsidR="000D47E5" w:rsidRPr="005B7870" w:rsidRDefault="000D47E5" w:rsidP="000D47E5">
      <w:pPr>
        <w:pStyle w:val="Kop4"/>
      </w:pPr>
      <w:bookmarkStart w:id="133" w:name="_Ref421093144"/>
      <w:bookmarkStart w:id="134" w:name="_Toc81512490"/>
      <w:r w:rsidRPr="005B7870">
        <w:t>TABEL 3: Algemeen overzicht</w:t>
      </w:r>
      <w:bookmarkEnd w:id="133"/>
      <w:r w:rsidR="001B4CA5" w:rsidRPr="005B7870">
        <w:t xml:space="preserve"> endogene kosten</w:t>
      </w:r>
      <w:bookmarkEnd w:id="134"/>
    </w:p>
    <w:p w14:paraId="33A862BC" w14:textId="155AF071" w:rsidR="000D47E5" w:rsidRPr="00A6618A" w:rsidRDefault="000D47E5" w:rsidP="005D0A79">
      <w:pPr>
        <w:rPr>
          <w:rFonts w:ascii="Calibri" w:hAnsi="Calibri"/>
        </w:rPr>
      </w:pPr>
      <w:r w:rsidRPr="005B7870">
        <w:rPr>
          <w:rFonts w:ascii="Calibri" w:hAnsi="Calibri"/>
        </w:rPr>
        <w:t>In ‘tabel 3’ wordt een overzicht gegeven van de beschouwde kosten ter bepaling van de totale endogene kosten voor boekjaar 20XX. Voor</w:t>
      </w:r>
      <w:r w:rsidR="009C699F" w:rsidRPr="005B7870">
        <w:rPr>
          <w:rFonts w:ascii="Calibri" w:hAnsi="Calibri"/>
        </w:rPr>
        <w:t xml:space="preserve"> zover van toepassing, dient voor</w:t>
      </w:r>
      <w:r w:rsidRPr="005B7870">
        <w:rPr>
          <w:rFonts w:ascii="Calibri" w:hAnsi="Calibri"/>
        </w:rPr>
        <w:t xml:space="preserve"> de gewestgrensoverschrijdende distributienetbeheerders ook het relatief aandeel van het Vlaamse Gewest in het totaal van de respectievelijke endogene kostenrubrieken worden opgegeven. Hierbij dient in een afzonderlijk verklarende nota een gedetailleerde onderbouw worden opgegeven voor het relatief aandeel van het Vlaamse Gewest in de respectievelijke rubrieken van de gewestgrensoverschrijdende distributienetbeheerder. Hierbij dienen de percentages die in </w:t>
      </w:r>
      <w:r w:rsidRPr="00A6618A">
        <w:rPr>
          <w:rFonts w:ascii="Calibri" w:hAnsi="Calibri"/>
        </w:rPr>
        <w:t xml:space="preserve">deze tabel worden opgegeven in detail worden samengesteld en </w:t>
      </w:r>
      <w:r w:rsidR="00521BB4">
        <w:rPr>
          <w:rFonts w:ascii="Calibri" w:hAnsi="Calibri"/>
        </w:rPr>
        <w:t>geconformeerd met</w:t>
      </w:r>
      <w:r w:rsidRPr="00A6618A">
        <w:rPr>
          <w:rFonts w:ascii="Calibri" w:hAnsi="Calibri"/>
        </w:rPr>
        <w:t xml:space="preserve"> de bepalingen in bijlage 3 van de tariefmethodologie.</w:t>
      </w:r>
    </w:p>
    <w:p w14:paraId="0C219F43" w14:textId="6BA5FC51" w:rsidR="000D47E5" w:rsidRPr="00A6618A" w:rsidRDefault="000D47E5" w:rsidP="005D0A79">
      <w:pPr>
        <w:rPr>
          <w:rFonts w:ascii="Calibri" w:hAnsi="Calibri"/>
        </w:rPr>
      </w:pPr>
      <w:r w:rsidRPr="00A6618A">
        <w:rPr>
          <w:rFonts w:ascii="Calibri" w:hAnsi="Calibri"/>
        </w:rPr>
        <w:t xml:space="preserve">Verder wordt in deze tabel ook de eenmalige impact van eventuele wijzigingen in de waarderingsregels m.b.t. de voorraden en/of handelsvorderingen op de operationele kosten gespreid over de verschillende boekjaren en dit zoals beschreven in de tariefmethodologie en op basis van de verleende informatie in de bijlage 6 (In te dienen toelichting bij rapporteringsmodel endogene kosten) van de tariefmethodologie. Een wijziging in de waarderingsregels m.b.t. de voorraden of de handelsvorderingen zal een eenmalige kost of opbrengst veroorzaken, welke ook haar oorsprong kan vinden in de voorgaande boekjaren. Teneinde de hoogte van het toegelaten inkomen niet te laten vertekenen door deze eenmalige piek wenst de VREG deze piek te spreiden </w:t>
      </w:r>
      <w:r w:rsidRPr="00A6618A">
        <w:rPr>
          <w:rFonts w:ascii="Calibri" w:hAnsi="Calibri"/>
        </w:rPr>
        <w:lastRenderedPageBreak/>
        <w:t>over de respectievelijke boekjaren waarop de</w:t>
      </w:r>
      <w:r w:rsidR="00961157">
        <w:rPr>
          <w:rFonts w:ascii="Calibri" w:hAnsi="Calibri"/>
        </w:rPr>
        <w:t>ze eenmalige</w:t>
      </w:r>
      <w:r w:rsidRPr="00A6618A">
        <w:rPr>
          <w:rFonts w:ascii="Calibri" w:hAnsi="Calibri"/>
        </w:rPr>
        <w:t xml:space="preserve"> kost of opbrengst effectief betrekking hadden. De spreiding van deze eenmalige kost of opbrengst over de verschillende boekjaren van de beschouwde periode zal dan ook door de VREG worden aangevuld op basis van de verleende informatie in de bijlage 6 van de tariefmethodologie en deze aanvulling zal gebeuren in het berekeningsmodel (bijlage 1</w:t>
      </w:r>
      <w:r w:rsidR="00F7130B">
        <w:rPr>
          <w:rFonts w:ascii="Calibri" w:hAnsi="Calibri"/>
        </w:rPr>
        <w:t>0</w:t>
      </w:r>
      <w:r w:rsidRPr="00A6618A">
        <w:rPr>
          <w:rFonts w:ascii="Calibri" w:hAnsi="Calibri"/>
        </w:rPr>
        <w:t xml:space="preserve"> van de tariefmethodologie) waarin de VREG o.m. de trendberekening voor de endogene kosten uitvoert in het jaar voorafgaand aan de volgende reguleringsperiode.</w:t>
      </w:r>
    </w:p>
    <w:p w14:paraId="4E3CACF7" w14:textId="416795CA" w:rsidR="000D47E5" w:rsidRDefault="000D47E5" w:rsidP="005D0A79">
      <w:pPr>
        <w:rPr>
          <w:rFonts w:ascii="Calibri" w:hAnsi="Calibri"/>
        </w:rPr>
      </w:pPr>
      <w:r w:rsidRPr="00FA18D6">
        <w:rPr>
          <w:rFonts w:ascii="Calibri" w:hAnsi="Calibri"/>
        </w:rPr>
        <w:t>De bepaling van de kapitaalkostvergoeding voor de RAB-waarde</w:t>
      </w:r>
      <w:r w:rsidR="00A6618A" w:rsidRPr="00FA18D6">
        <w:rPr>
          <w:rFonts w:ascii="Calibri" w:hAnsi="Calibri"/>
        </w:rPr>
        <w:t xml:space="preserve"> (excl. herwaarderingsmeerwaarden)</w:t>
      </w:r>
      <w:r w:rsidRPr="00FA18D6">
        <w:rPr>
          <w:rFonts w:ascii="Calibri" w:hAnsi="Calibri"/>
        </w:rPr>
        <w:t xml:space="preserve"> en het nettobedrijfskapitaal v</w:t>
      </w:r>
      <w:r w:rsidR="00A6618A" w:rsidRPr="00FA18D6">
        <w:rPr>
          <w:rFonts w:ascii="Calibri" w:hAnsi="Calibri"/>
        </w:rPr>
        <w:t>oor</w:t>
      </w:r>
      <w:r w:rsidRPr="00FA18D6">
        <w:rPr>
          <w:rFonts w:ascii="Calibri" w:hAnsi="Calibri"/>
        </w:rPr>
        <w:t xml:space="preserve"> boekjaar 20XX enerzijds en de actualisatie van de endogene kosten voor boekjaar 20XX anderzijds, zal door de VREG eveneens gebeuren in het berekeningsmodel (bijlage 1</w:t>
      </w:r>
      <w:r w:rsidR="00F7130B">
        <w:rPr>
          <w:rFonts w:ascii="Calibri" w:hAnsi="Calibri"/>
        </w:rPr>
        <w:t>0</w:t>
      </w:r>
      <w:r w:rsidRPr="00FA18D6">
        <w:rPr>
          <w:rFonts w:ascii="Calibri" w:hAnsi="Calibri"/>
        </w:rPr>
        <w:t xml:space="preserve"> van de tariefmethodologie).</w:t>
      </w:r>
    </w:p>
    <w:p w14:paraId="70C3E6A1" w14:textId="10B96A84" w:rsidR="000D47E5" w:rsidRPr="00FA18D6" w:rsidRDefault="000D47E5" w:rsidP="000D47E5">
      <w:pPr>
        <w:pStyle w:val="Kop4"/>
      </w:pPr>
      <w:bookmarkStart w:id="135" w:name="_Toc81512491"/>
      <w:r w:rsidRPr="00FA18D6">
        <w:t>TABEL 4: Afschrijvingen immateriële vaste activa</w:t>
      </w:r>
      <w:bookmarkEnd w:id="135"/>
    </w:p>
    <w:p w14:paraId="3B52B878" w14:textId="6112E80D" w:rsidR="000D47E5" w:rsidRPr="00FA18D6" w:rsidRDefault="000D47E5" w:rsidP="005D0A79">
      <w:pPr>
        <w:rPr>
          <w:rFonts w:ascii="Calibri" w:hAnsi="Calibri"/>
        </w:rPr>
      </w:pPr>
      <w:r w:rsidRPr="00FA18D6">
        <w:rPr>
          <w:rFonts w:ascii="Calibri" w:hAnsi="Calibri"/>
        </w:rPr>
        <w:t xml:space="preserve">Deze tabel geeft de evolutie van de immateriële vaste activa weer door middel van een duidelijke opbouw van de nettoboekwaarde per jaar. Hierbij moet worden opgemerkt dat de </w:t>
      </w:r>
      <w:r w:rsidR="005B0A17" w:rsidRPr="00FA18D6">
        <w:rPr>
          <w:rFonts w:ascii="Calibri" w:hAnsi="Calibri"/>
        </w:rPr>
        <w:t>activa</w:t>
      </w:r>
      <w:r w:rsidRPr="00FA18D6">
        <w:rPr>
          <w:rFonts w:ascii="Calibri" w:hAnsi="Calibri"/>
        </w:rPr>
        <w:t>rubriek ‘goodwill’, zowel voor de opbouw van de RAB</w:t>
      </w:r>
      <w:r w:rsidR="005B0A17" w:rsidRPr="00FA18D6">
        <w:rPr>
          <w:rFonts w:ascii="Calibri" w:hAnsi="Calibri"/>
        </w:rPr>
        <w:t>-waarde</w:t>
      </w:r>
      <w:r w:rsidRPr="00FA18D6">
        <w:rPr>
          <w:rFonts w:ascii="Calibri" w:hAnsi="Calibri"/>
        </w:rPr>
        <w:t xml:space="preserve"> als voor de bepaling van de afschrijvingskosten, </w:t>
      </w:r>
      <w:r w:rsidR="009051AD" w:rsidRPr="00FA18D6">
        <w:rPr>
          <w:rFonts w:ascii="Calibri" w:hAnsi="Calibri"/>
        </w:rPr>
        <w:t xml:space="preserve">conform de bepalingen in de tariefmethodologie </w:t>
      </w:r>
      <w:r w:rsidRPr="00FA18D6">
        <w:rPr>
          <w:rFonts w:ascii="Calibri" w:hAnsi="Calibri"/>
        </w:rPr>
        <w:t xml:space="preserve">volledig buiten beschouwing wordt gelaten. </w:t>
      </w:r>
    </w:p>
    <w:p w14:paraId="6F7B9694" w14:textId="1AA5EB03" w:rsidR="000D47E5" w:rsidRPr="00FA18D6" w:rsidRDefault="000D47E5" w:rsidP="005D0A79">
      <w:pPr>
        <w:rPr>
          <w:rFonts w:ascii="Calibri" w:hAnsi="Calibri"/>
        </w:rPr>
      </w:pPr>
      <w:r w:rsidRPr="00FA18D6">
        <w:rPr>
          <w:rFonts w:ascii="Calibri" w:hAnsi="Calibri"/>
        </w:rPr>
        <w:t xml:space="preserve">De evolutie van de immateriële vaste activa wordt duidelijk opgebouwd door </w:t>
      </w:r>
      <w:r w:rsidR="00811066">
        <w:rPr>
          <w:rFonts w:ascii="Calibri" w:hAnsi="Calibri"/>
        </w:rPr>
        <w:t xml:space="preserve">de </w:t>
      </w:r>
      <w:r w:rsidRPr="00FA18D6">
        <w:rPr>
          <w:rFonts w:ascii="Calibri" w:hAnsi="Calibri"/>
        </w:rPr>
        <w:t>rapportering van volgende elementen:</w:t>
      </w:r>
    </w:p>
    <w:p w14:paraId="3260057D" w14:textId="77777777" w:rsidR="00C21167" w:rsidRPr="00FA18D6" w:rsidRDefault="000D47E5" w:rsidP="00C21167">
      <w:pPr>
        <w:numPr>
          <w:ilvl w:val="0"/>
          <w:numId w:val="19"/>
        </w:numPr>
        <w:spacing w:before="0" w:line="240" w:lineRule="auto"/>
        <w:ind w:left="1418" w:hanging="218"/>
        <w:jc w:val="both"/>
        <w:rPr>
          <w:rFonts w:ascii="Calibri" w:hAnsi="Calibri"/>
        </w:rPr>
      </w:pPr>
      <w:r w:rsidRPr="00FA18D6">
        <w:rPr>
          <w:rFonts w:ascii="Calibri" w:hAnsi="Calibri"/>
        </w:rPr>
        <w:t>Aanschaffingswaarde en gecumuleerde afschrijvingen (en waardeverminderingen) op de respectievelijke activa per einde boekjaar 20XX-1</w:t>
      </w:r>
    </w:p>
    <w:p w14:paraId="2916B103" w14:textId="5E8ECB20" w:rsidR="004C7592" w:rsidRDefault="004C7592" w:rsidP="00C21167">
      <w:pPr>
        <w:numPr>
          <w:ilvl w:val="0"/>
          <w:numId w:val="19"/>
        </w:numPr>
        <w:spacing w:before="0" w:line="240" w:lineRule="auto"/>
        <w:ind w:left="1418" w:hanging="218"/>
        <w:jc w:val="both"/>
        <w:rPr>
          <w:rFonts w:ascii="Calibri" w:hAnsi="Calibri"/>
        </w:rPr>
      </w:pPr>
      <w:r>
        <w:rPr>
          <w:rFonts w:ascii="Calibri" w:hAnsi="Calibri"/>
        </w:rPr>
        <w:t>Transfers tussen activa</w:t>
      </w:r>
      <w:r w:rsidR="00407A41">
        <w:rPr>
          <w:rFonts w:ascii="Calibri" w:hAnsi="Calibri"/>
        </w:rPr>
        <w:t>rubrieken over boekjaar 20XX</w:t>
      </w:r>
    </w:p>
    <w:p w14:paraId="5BE78373" w14:textId="3F368199" w:rsidR="000D47E5" w:rsidRPr="00FA18D6" w:rsidRDefault="000D47E5" w:rsidP="00C21167">
      <w:pPr>
        <w:numPr>
          <w:ilvl w:val="0"/>
          <w:numId w:val="19"/>
        </w:numPr>
        <w:spacing w:before="0" w:line="240" w:lineRule="auto"/>
        <w:ind w:left="1418" w:hanging="218"/>
        <w:jc w:val="both"/>
        <w:rPr>
          <w:rFonts w:ascii="Calibri" w:hAnsi="Calibri"/>
        </w:rPr>
      </w:pPr>
      <w:r w:rsidRPr="00FA18D6">
        <w:rPr>
          <w:rFonts w:ascii="Calibri" w:hAnsi="Calibri"/>
        </w:rPr>
        <w:t>Aanschaffingswaarde van de investeringen over boekjaar 20XX</w:t>
      </w:r>
    </w:p>
    <w:p w14:paraId="5BAAA8DE" w14:textId="77777777" w:rsidR="000D47E5" w:rsidRPr="00FA18D6" w:rsidRDefault="000D47E5" w:rsidP="000D47E5">
      <w:pPr>
        <w:numPr>
          <w:ilvl w:val="0"/>
          <w:numId w:val="19"/>
        </w:numPr>
        <w:spacing w:before="0" w:line="240" w:lineRule="auto"/>
        <w:ind w:left="1418" w:hanging="218"/>
        <w:jc w:val="both"/>
        <w:rPr>
          <w:rFonts w:ascii="Calibri" w:hAnsi="Calibri"/>
        </w:rPr>
      </w:pPr>
      <w:r w:rsidRPr="00FA18D6">
        <w:rPr>
          <w:rFonts w:ascii="Calibri" w:hAnsi="Calibri"/>
        </w:rPr>
        <w:t>Aanschaffingswaarde en gecumuleerde afschrijvingen (en waardeverminderingen) van de desinvesteringen over boekjaar 20XX</w:t>
      </w:r>
    </w:p>
    <w:p w14:paraId="26680C66" w14:textId="3A48C5EB" w:rsidR="000D47E5" w:rsidRPr="00FA18D6" w:rsidRDefault="000D47E5" w:rsidP="005D0A79">
      <w:pPr>
        <w:numPr>
          <w:ilvl w:val="0"/>
          <w:numId w:val="19"/>
        </w:numPr>
        <w:spacing w:before="0" w:line="240" w:lineRule="auto"/>
        <w:ind w:left="1418" w:hanging="218"/>
        <w:jc w:val="both"/>
        <w:rPr>
          <w:rFonts w:ascii="Calibri" w:hAnsi="Calibri"/>
        </w:rPr>
      </w:pPr>
      <w:r w:rsidRPr="00FA18D6">
        <w:rPr>
          <w:rFonts w:ascii="Calibri" w:hAnsi="Calibri"/>
        </w:rPr>
        <w:t>Afschrijvingen (en waardeverminderingen) m.b.t. deze activa over boekjaar 20XX.</w:t>
      </w:r>
    </w:p>
    <w:p w14:paraId="0974BD3E" w14:textId="1787B68A" w:rsidR="000D47E5" w:rsidRDefault="000D47E5" w:rsidP="005D0A79">
      <w:pPr>
        <w:rPr>
          <w:rFonts w:ascii="Calibri" w:hAnsi="Calibri"/>
        </w:rPr>
      </w:pPr>
      <w:r w:rsidRPr="00FA18D6">
        <w:rPr>
          <w:rFonts w:ascii="Calibri" w:hAnsi="Calibri"/>
        </w:rPr>
        <w:t xml:space="preserve">Deze tabel heeft als doel om zowel deel uit te maken van de evolutie van de opbouw van de </w:t>
      </w:r>
      <w:r w:rsidR="007F2698" w:rsidRPr="00511C4D">
        <w:rPr>
          <w:rFonts w:ascii="Calibri" w:hAnsi="Calibri"/>
        </w:rPr>
        <w:t>RAB</w:t>
      </w:r>
      <w:r w:rsidR="007F2698">
        <w:rPr>
          <w:rFonts w:ascii="Calibri" w:hAnsi="Calibri"/>
        </w:rPr>
        <w:t xml:space="preserve">-waarde (cfr paragraaf </w:t>
      </w:r>
      <w:r w:rsidR="007F2698">
        <w:rPr>
          <w:rFonts w:ascii="Calibri" w:hAnsi="Calibri"/>
        </w:rPr>
        <w:fldChar w:fldCharType="begin"/>
      </w:r>
      <w:r w:rsidR="007F2698">
        <w:rPr>
          <w:rFonts w:ascii="Calibri" w:hAnsi="Calibri"/>
        </w:rPr>
        <w:instrText xml:space="preserve"> REF _Ref40332576 \r \h </w:instrText>
      </w:r>
      <w:r w:rsidR="007F2698">
        <w:rPr>
          <w:rFonts w:ascii="Calibri" w:hAnsi="Calibri"/>
        </w:rPr>
      </w:r>
      <w:r w:rsidR="007F2698">
        <w:rPr>
          <w:rFonts w:ascii="Calibri" w:hAnsi="Calibri"/>
        </w:rPr>
        <w:fldChar w:fldCharType="separate"/>
      </w:r>
      <w:r w:rsidR="00964FA9">
        <w:rPr>
          <w:rFonts w:ascii="Calibri" w:hAnsi="Calibri"/>
        </w:rPr>
        <w:t>1.3.1.10</w:t>
      </w:r>
      <w:r w:rsidR="007F2698">
        <w:rPr>
          <w:rFonts w:ascii="Calibri" w:hAnsi="Calibri"/>
        </w:rPr>
        <w:fldChar w:fldCharType="end"/>
      </w:r>
      <w:r w:rsidR="007F2698">
        <w:rPr>
          <w:rFonts w:ascii="Calibri" w:hAnsi="Calibri"/>
        </w:rPr>
        <w:t xml:space="preserve">) </w:t>
      </w:r>
      <w:r w:rsidRPr="00FA18D6">
        <w:rPr>
          <w:rFonts w:ascii="Calibri" w:hAnsi="Calibri"/>
        </w:rPr>
        <w:t xml:space="preserve">als voor de bepaling van de afschrijvingskosten. </w:t>
      </w:r>
    </w:p>
    <w:p w14:paraId="2E1F3D1F" w14:textId="1AC8DCD2" w:rsidR="005E437D" w:rsidRPr="00FA18D6" w:rsidRDefault="005E437D" w:rsidP="005D0A79">
      <w:pPr>
        <w:rPr>
          <w:rFonts w:ascii="Calibri" w:hAnsi="Calibri"/>
        </w:rPr>
      </w:pPr>
      <w:r>
        <w:rPr>
          <w:rFonts w:ascii="Calibri" w:hAnsi="Calibri"/>
        </w:rPr>
        <w:t xml:space="preserve">De </w:t>
      </w:r>
      <w:r w:rsidR="0031237A">
        <w:rPr>
          <w:rFonts w:ascii="Calibri" w:hAnsi="Calibri"/>
        </w:rPr>
        <w:t xml:space="preserve">eventuele </w:t>
      </w:r>
      <w:r>
        <w:rPr>
          <w:rFonts w:ascii="Calibri" w:hAnsi="Calibri"/>
        </w:rPr>
        <w:t xml:space="preserve">transfers die door de distributienetbeheerder </w:t>
      </w:r>
      <w:r w:rsidR="009915A5">
        <w:rPr>
          <w:rFonts w:ascii="Calibri" w:hAnsi="Calibri"/>
        </w:rPr>
        <w:t>in het betreffende boekjaar tussen de verschillende activarubrieken werden doorgevoerd, dienen in een afzonderlijk verklarende nota uitgebreid te worden gemotiveerd.</w:t>
      </w:r>
    </w:p>
    <w:p w14:paraId="57C6C774" w14:textId="5FBFCAA2" w:rsidR="000D47E5" w:rsidRPr="00511C4D" w:rsidRDefault="000D47E5" w:rsidP="005D0A79">
      <w:pPr>
        <w:rPr>
          <w:rFonts w:ascii="Calibri" w:hAnsi="Calibri"/>
        </w:rPr>
      </w:pPr>
      <w:r w:rsidRPr="00FA18D6">
        <w:rPr>
          <w:rFonts w:ascii="Calibri" w:hAnsi="Calibri"/>
        </w:rPr>
        <w:t>Verder word</w:t>
      </w:r>
      <w:r w:rsidRPr="00511C4D">
        <w:rPr>
          <w:rFonts w:ascii="Calibri" w:hAnsi="Calibri"/>
        </w:rPr>
        <w:t xml:space="preserve">t ook een vergelijking gemaakt tussen de in deze tabel gerapporteerde waarden en de boekhoudkundige waarden voor de immateriële vaste activa </w:t>
      </w:r>
      <w:r w:rsidR="00A767BB">
        <w:rPr>
          <w:rFonts w:ascii="Calibri" w:hAnsi="Calibri"/>
        </w:rPr>
        <w:t>m.b.t. de betreffende gereguleerde activiteit in ‘tabel 1’</w:t>
      </w:r>
      <w:r w:rsidRPr="00511C4D">
        <w:rPr>
          <w:rFonts w:ascii="Calibri" w:hAnsi="Calibri"/>
        </w:rPr>
        <w:t>. Enige afwijkingen in de controle met ‘tabel 1’ ten gevolge van eventuele goodwill of eventuele andere factoren dienen in een afzonderlijke nota in detail te worden opgegeven en verklaard.</w:t>
      </w:r>
    </w:p>
    <w:p w14:paraId="3A4B2D5D" w14:textId="217DC4C4" w:rsidR="000D47E5" w:rsidRPr="00511C4D" w:rsidRDefault="000D47E5" w:rsidP="005D0A79">
      <w:pPr>
        <w:rPr>
          <w:rFonts w:ascii="Calibri" w:hAnsi="Calibri"/>
        </w:rPr>
      </w:pPr>
      <w:r w:rsidRPr="00511C4D">
        <w:rPr>
          <w:rFonts w:ascii="Calibri" w:hAnsi="Calibri"/>
        </w:rPr>
        <w:t>Indien in de kolomhoofden een ‘+’-teken is opgenomen, dienen positieve waarden in deze kolom worden opgegeven, en omgekeerd.</w:t>
      </w:r>
    </w:p>
    <w:p w14:paraId="45B8C883" w14:textId="6C603028" w:rsidR="000D47E5" w:rsidRPr="00511C4D" w:rsidRDefault="000D47E5" w:rsidP="000D47E5">
      <w:pPr>
        <w:pStyle w:val="Kop4"/>
      </w:pPr>
      <w:bookmarkStart w:id="136" w:name="_Toc81512492"/>
      <w:r w:rsidRPr="00511C4D">
        <w:t>TABEL 5A: Afschrijvingen van de historische aanschaffingswaarde (materiële vaste activa) - elektriciteit</w:t>
      </w:r>
      <w:bookmarkEnd w:id="136"/>
    </w:p>
    <w:p w14:paraId="2B533457" w14:textId="731E266D" w:rsidR="000D47E5" w:rsidRPr="00511C4D" w:rsidRDefault="000D47E5" w:rsidP="005D0A79">
      <w:pPr>
        <w:rPr>
          <w:rFonts w:ascii="Calibri" w:hAnsi="Calibri"/>
        </w:rPr>
      </w:pPr>
      <w:r w:rsidRPr="00511C4D">
        <w:rPr>
          <w:rFonts w:ascii="Calibri" w:hAnsi="Calibri"/>
        </w:rPr>
        <w:lastRenderedPageBreak/>
        <w:t xml:space="preserve">Deze tabel geeft de evolutie van de historische aanschaffingswaarde van de materiële vaste activa voor de gereguleerde activiteit ‘elektriciteit’ weer door middel van een duidelijke opbouw van de nettoboekwaarde per jaar. Hierbij dienen alle boekhoudkundige klassen m.b.t. de materiële vaste activa (klasse 22 tot en met klasse 27) worden verdeeld over de rubrieken die in </w:t>
      </w:r>
      <w:r w:rsidR="00FB7A69" w:rsidRPr="00511C4D">
        <w:rPr>
          <w:rFonts w:ascii="Calibri" w:hAnsi="Calibri"/>
        </w:rPr>
        <w:t>de tabel zijn opgenomen</w:t>
      </w:r>
      <w:r w:rsidRPr="00511C4D">
        <w:rPr>
          <w:rFonts w:ascii="Calibri" w:hAnsi="Calibri"/>
        </w:rPr>
        <w:t xml:space="preserve">. </w:t>
      </w:r>
    </w:p>
    <w:p w14:paraId="320BB277" w14:textId="3B3C9261" w:rsidR="000D47E5" w:rsidRPr="00511C4D" w:rsidRDefault="000D47E5" w:rsidP="005D0A79">
      <w:pPr>
        <w:rPr>
          <w:rFonts w:ascii="Calibri" w:hAnsi="Calibri"/>
        </w:rPr>
      </w:pPr>
      <w:r w:rsidRPr="00511C4D">
        <w:rPr>
          <w:rFonts w:ascii="Calibri" w:hAnsi="Calibri"/>
        </w:rPr>
        <w:t xml:space="preserve">De evolutie van de historische aanschaffingswaarde van de materiële vaste activa wordt duidelijk opgebouwd door middel van </w:t>
      </w:r>
      <w:r w:rsidR="00297BEA">
        <w:rPr>
          <w:rFonts w:ascii="Calibri" w:hAnsi="Calibri"/>
        </w:rPr>
        <w:t xml:space="preserve">de </w:t>
      </w:r>
      <w:r w:rsidRPr="00511C4D">
        <w:rPr>
          <w:rFonts w:ascii="Calibri" w:hAnsi="Calibri"/>
        </w:rPr>
        <w:t>rapportering van volgende elementen:</w:t>
      </w:r>
    </w:p>
    <w:p w14:paraId="05CA564D" w14:textId="763A75DE" w:rsidR="000D47E5" w:rsidRDefault="000D47E5" w:rsidP="005D0A79">
      <w:pPr>
        <w:pStyle w:val="Lijstalinea"/>
      </w:pPr>
      <w:r w:rsidRPr="00511C4D">
        <w:t>Aanschaffingswaarde en gecumuleerde afschrijvingen (en waardeverminderingen) op de respectievelijke activa per einde boekjaar 20XX-1</w:t>
      </w:r>
    </w:p>
    <w:p w14:paraId="03567CC5" w14:textId="52F8A50F" w:rsidR="001355A3" w:rsidRPr="001355A3" w:rsidRDefault="001355A3" w:rsidP="005D0A79">
      <w:pPr>
        <w:pStyle w:val="Lijstalinea"/>
      </w:pPr>
      <w:r>
        <w:rPr>
          <w:rFonts w:ascii="Calibri" w:hAnsi="Calibri"/>
        </w:rPr>
        <w:t>Transfers tussen activarubrieken over boekjaar 20XX</w:t>
      </w:r>
    </w:p>
    <w:p w14:paraId="3E5D7DFF" w14:textId="501CFE59" w:rsidR="000D47E5" w:rsidRPr="00511C4D" w:rsidRDefault="000D47E5" w:rsidP="005D0A79">
      <w:pPr>
        <w:pStyle w:val="Lijstalinea"/>
      </w:pPr>
      <w:r w:rsidRPr="00511C4D">
        <w:t>Aanschaffingswaarde van de investeringen (vervangings- en uitbreidingsinvesteringen) over boekjaar 20XX</w:t>
      </w:r>
    </w:p>
    <w:p w14:paraId="23B7780E" w14:textId="77777777" w:rsidR="000D47E5" w:rsidRPr="00511C4D" w:rsidRDefault="000D47E5" w:rsidP="005D0A79">
      <w:pPr>
        <w:pStyle w:val="Lijstalinea"/>
      </w:pPr>
      <w:r w:rsidRPr="00511C4D">
        <w:t>Tussenkomsten derden m.b.t. deze activa over boekjaar 20XX</w:t>
      </w:r>
    </w:p>
    <w:p w14:paraId="50857173" w14:textId="77777777" w:rsidR="000D47E5" w:rsidRPr="00511C4D" w:rsidRDefault="000D47E5" w:rsidP="005D0A79">
      <w:pPr>
        <w:pStyle w:val="Lijstalinea"/>
      </w:pPr>
      <w:r w:rsidRPr="00511C4D">
        <w:t>Subsidies m.b.t. deze activa over boekjaar 20XX</w:t>
      </w:r>
    </w:p>
    <w:p w14:paraId="2A5E23BE" w14:textId="77777777" w:rsidR="000D47E5" w:rsidRPr="00511C4D" w:rsidRDefault="000D47E5" w:rsidP="005D0A79">
      <w:pPr>
        <w:pStyle w:val="Lijstalinea"/>
      </w:pPr>
      <w:r w:rsidRPr="00511C4D">
        <w:t>Aanschaffingswaarde en gecumuleerde afschrijvingen (en waardeverminderingen) van de desinvesteringen over boekjaar 20XX</w:t>
      </w:r>
    </w:p>
    <w:p w14:paraId="788DF721" w14:textId="77777777" w:rsidR="000D47E5" w:rsidRPr="00511C4D" w:rsidRDefault="000D47E5" w:rsidP="005D0A79">
      <w:pPr>
        <w:pStyle w:val="Lijstalinea"/>
      </w:pPr>
      <w:r w:rsidRPr="00511C4D">
        <w:t>Afschrijvingen (en waardeverminderingen) m.b.t. deze activa over boekjaar 20XX.</w:t>
      </w:r>
    </w:p>
    <w:p w14:paraId="56C20BBA" w14:textId="610364EB" w:rsidR="000D47E5" w:rsidRDefault="000D47E5" w:rsidP="005D0A79">
      <w:pPr>
        <w:rPr>
          <w:rFonts w:ascii="Calibri" w:hAnsi="Calibri"/>
        </w:rPr>
      </w:pPr>
      <w:r w:rsidRPr="00511C4D">
        <w:rPr>
          <w:rFonts w:ascii="Calibri" w:hAnsi="Calibri"/>
        </w:rPr>
        <w:t>Deze tabel heeft als doel om zowel deel uit te maken van de evolutie van de opbouw van de RAB</w:t>
      </w:r>
      <w:r w:rsidR="001C6AE4">
        <w:rPr>
          <w:rFonts w:ascii="Calibri" w:hAnsi="Calibri"/>
        </w:rPr>
        <w:t xml:space="preserve">-waarde (cfr paragraaf </w:t>
      </w:r>
      <w:r w:rsidR="007F2698">
        <w:rPr>
          <w:rFonts w:ascii="Calibri" w:hAnsi="Calibri"/>
        </w:rPr>
        <w:fldChar w:fldCharType="begin"/>
      </w:r>
      <w:r w:rsidR="007F2698">
        <w:rPr>
          <w:rFonts w:ascii="Calibri" w:hAnsi="Calibri"/>
        </w:rPr>
        <w:instrText xml:space="preserve"> REF _Ref40332576 \r \h </w:instrText>
      </w:r>
      <w:r w:rsidR="007F2698">
        <w:rPr>
          <w:rFonts w:ascii="Calibri" w:hAnsi="Calibri"/>
        </w:rPr>
      </w:r>
      <w:r w:rsidR="007F2698">
        <w:rPr>
          <w:rFonts w:ascii="Calibri" w:hAnsi="Calibri"/>
        </w:rPr>
        <w:fldChar w:fldCharType="separate"/>
      </w:r>
      <w:r w:rsidR="00964FA9">
        <w:rPr>
          <w:rFonts w:ascii="Calibri" w:hAnsi="Calibri"/>
        </w:rPr>
        <w:t>1.3.1.10</w:t>
      </w:r>
      <w:r w:rsidR="007F2698">
        <w:rPr>
          <w:rFonts w:ascii="Calibri" w:hAnsi="Calibri"/>
        </w:rPr>
        <w:fldChar w:fldCharType="end"/>
      </w:r>
      <w:r w:rsidR="007F2698">
        <w:rPr>
          <w:rFonts w:ascii="Calibri" w:hAnsi="Calibri"/>
        </w:rPr>
        <w:t xml:space="preserve">) </w:t>
      </w:r>
      <w:r w:rsidRPr="002028CE">
        <w:rPr>
          <w:rFonts w:ascii="Calibri" w:hAnsi="Calibri"/>
        </w:rPr>
        <w:t xml:space="preserve">als voor de bepaling van de afschrijvingskosten. </w:t>
      </w:r>
    </w:p>
    <w:p w14:paraId="7E63156A" w14:textId="7EF7C907" w:rsidR="0025708C" w:rsidRPr="002028CE" w:rsidRDefault="0025708C" w:rsidP="005D0A79">
      <w:pPr>
        <w:rPr>
          <w:rFonts w:ascii="Calibri" w:hAnsi="Calibri"/>
        </w:rPr>
      </w:pPr>
      <w:r>
        <w:rPr>
          <w:rFonts w:ascii="Calibri" w:hAnsi="Calibri"/>
        </w:rPr>
        <w:t xml:space="preserve">De </w:t>
      </w:r>
      <w:r w:rsidR="0031237A">
        <w:rPr>
          <w:rFonts w:ascii="Calibri" w:hAnsi="Calibri"/>
        </w:rPr>
        <w:t xml:space="preserve">eventuele </w:t>
      </w:r>
      <w:r>
        <w:rPr>
          <w:rFonts w:ascii="Calibri" w:hAnsi="Calibri"/>
        </w:rPr>
        <w:t>transfers die door de distributienetbeheerder in het betreffende boekjaar tussen de verschillende activarubrieken werden doorgevoerd, dienen in een afzonderlijk verklarende nota uitgebreid te worden gemotiveerd.</w:t>
      </w:r>
    </w:p>
    <w:p w14:paraId="53B87608" w14:textId="5EC72592" w:rsidR="000D47E5" w:rsidRPr="002028CE" w:rsidRDefault="000D47E5" w:rsidP="005D0A79">
      <w:pPr>
        <w:rPr>
          <w:rFonts w:ascii="Calibri" w:hAnsi="Calibri"/>
        </w:rPr>
      </w:pPr>
      <w:r w:rsidRPr="002028CE">
        <w:rPr>
          <w:rFonts w:ascii="Calibri" w:hAnsi="Calibri"/>
        </w:rPr>
        <w:t>Indien in de kolomhoofden een ‘+’-teken is opgenomen, dienen positieve waarden in deze kolom worden opgegeven, en omgekeerd.</w:t>
      </w:r>
    </w:p>
    <w:p w14:paraId="6BA2542B" w14:textId="2B135B98" w:rsidR="000D47E5" w:rsidRPr="002028CE" w:rsidRDefault="000D47E5" w:rsidP="005D0A79">
      <w:pPr>
        <w:pStyle w:val="Kop4"/>
      </w:pPr>
      <w:bookmarkStart w:id="137" w:name="_Toc81512493"/>
      <w:r w:rsidRPr="002028CE">
        <w:t xml:space="preserve">TABEL </w:t>
      </w:r>
      <w:r w:rsidR="002028CE">
        <w:t>5B:</w:t>
      </w:r>
      <w:r w:rsidRPr="002028CE">
        <w:t xml:space="preserve"> Afschrijvingen van de historische aanschaffingswaarde (materiële vaste activa) - gas</w:t>
      </w:r>
      <w:bookmarkEnd w:id="137"/>
    </w:p>
    <w:p w14:paraId="58D9A43A" w14:textId="3FE2BA48" w:rsidR="000D47E5" w:rsidRPr="002028CE" w:rsidRDefault="000D47E5" w:rsidP="005D0A79">
      <w:pPr>
        <w:rPr>
          <w:rFonts w:ascii="Calibri" w:hAnsi="Calibri"/>
        </w:rPr>
      </w:pPr>
      <w:r w:rsidRPr="002028CE">
        <w:rPr>
          <w:rFonts w:ascii="Calibri" w:hAnsi="Calibri"/>
        </w:rPr>
        <w:t xml:space="preserve">Deze tabel geeft de evolutie van de historische aanschaffingswaarde van de materiële vaste activa voor de gereguleerde activiteit ‘gas’ weer door middel van een duidelijke opbouw van de nettoboekwaarde per jaar. Hierbij dienen alle boekhoudkundige klassen m.b.t. de materiële vaste activa (klasse 22 tot en met klasse 27) </w:t>
      </w:r>
      <w:r w:rsidR="00DD2281" w:rsidRPr="002028CE">
        <w:rPr>
          <w:rFonts w:ascii="Calibri" w:hAnsi="Calibri"/>
        </w:rPr>
        <w:t>worden verdeeld over de rubrieken die in de tabel zijn opgenomen</w:t>
      </w:r>
      <w:r w:rsidRPr="002028CE">
        <w:rPr>
          <w:rFonts w:ascii="Calibri" w:hAnsi="Calibri"/>
        </w:rPr>
        <w:t xml:space="preserve">. </w:t>
      </w:r>
    </w:p>
    <w:p w14:paraId="710A4719" w14:textId="5B4ACE0A" w:rsidR="000D47E5" w:rsidRPr="002028CE" w:rsidRDefault="000D47E5" w:rsidP="005D0A79">
      <w:pPr>
        <w:rPr>
          <w:rFonts w:ascii="Calibri" w:hAnsi="Calibri"/>
        </w:rPr>
      </w:pPr>
      <w:r w:rsidRPr="002028CE">
        <w:rPr>
          <w:rFonts w:ascii="Calibri" w:hAnsi="Calibri"/>
        </w:rPr>
        <w:t xml:space="preserve">De evolutie van de historische aanschaffingswaarde van de materiële vaste activa wordt duidelijk opgebouwd door middel van </w:t>
      </w:r>
      <w:r w:rsidR="00297BEA">
        <w:rPr>
          <w:rFonts w:ascii="Calibri" w:hAnsi="Calibri"/>
        </w:rPr>
        <w:t xml:space="preserve">de </w:t>
      </w:r>
      <w:r w:rsidRPr="002028CE">
        <w:rPr>
          <w:rFonts w:ascii="Calibri" w:hAnsi="Calibri"/>
        </w:rPr>
        <w:t>rapportering van volgende elementen:</w:t>
      </w:r>
    </w:p>
    <w:p w14:paraId="325688DD" w14:textId="48EDAFD0" w:rsidR="000D47E5" w:rsidRDefault="000D47E5" w:rsidP="005D0A79">
      <w:pPr>
        <w:pStyle w:val="Lijstalinea"/>
      </w:pPr>
      <w:r w:rsidRPr="00125B92">
        <w:t>Aanschaffingswaarde en gecumuleerde afschrijvingen (en waardeverminderingen) op de respectievelijke activa per einde boekjaar 20XX-1</w:t>
      </w:r>
    </w:p>
    <w:p w14:paraId="617E8A77" w14:textId="01454944" w:rsidR="00974A93" w:rsidRPr="00125B92" w:rsidRDefault="00974A93" w:rsidP="005D0A79">
      <w:pPr>
        <w:pStyle w:val="Lijstalinea"/>
      </w:pPr>
      <w:r>
        <w:rPr>
          <w:rFonts w:ascii="Calibri" w:hAnsi="Calibri"/>
        </w:rPr>
        <w:t>Transfers tussen activarubrieken over boekjaar 20XX</w:t>
      </w:r>
    </w:p>
    <w:p w14:paraId="3CCD46A6" w14:textId="77777777" w:rsidR="000D47E5" w:rsidRPr="00125B92" w:rsidRDefault="000D47E5" w:rsidP="005D0A79">
      <w:pPr>
        <w:pStyle w:val="Lijstalinea"/>
      </w:pPr>
      <w:r w:rsidRPr="00125B92">
        <w:t>Aanschaffingswaarde van de investeringen (vervangings- en uitbreidingsinvesteringen) over boekjaar 20XX</w:t>
      </w:r>
    </w:p>
    <w:p w14:paraId="2A1C2945" w14:textId="77777777" w:rsidR="000D47E5" w:rsidRPr="00125B92" w:rsidRDefault="000D47E5" w:rsidP="005D0A79">
      <w:pPr>
        <w:pStyle w:val="Lijstalinea"/>
      </w:pPr>
      <w:r w:rsidRPr="00125B92">
        <w:t>Tussenkomsten derden m.b.t. deze activa over boekjaar 20XX</w:t>
      </w:r>
    </w:p>
    <w:p w14:paraId="1568032D" w14:textId="77777777" w:rsidR="000D47E5" w:rsidRPr="00125B92" w:rsidRDefault="000D47E5" w:rsidP="005D0A79">
      <w:pPr>
        <w:pStyle w:val="Lijstalinea"/>
      </w:pPr>
      <w:r w:rsidRPr="00125B92">
        <w:t>Subsidies m.b.t. deze activa over boekjaar 20XX</w:t>
      </w:r>
    </w:p>
    <w:p w14:paraId="524E9749" w14:textId="77777777" w:rsidR="000D47E5" w:rsidRPr="00125B92" w:rsidRDefault="000D47E5" w:rsidP="005D0A79">
      <w:pPr>
        <w:pStyle w:val="Lijstalinea"/>
      </w:pPr>
      <w:r w:rsidRPr="00125B92">
        <w:lastRenderedPageBreak/>
        <w:t>Aanschaffingswaarde en gecumuleerde afschrijvingen (en waardeverminderingen) van de desinvesteringen over boekjaar 20XX</w:t>
      </w:r>
    </w:p>
    <w:p w14:paraId="48049671" w14:textId="5D718B6B" w:rsidR="000D47E5" w:rsidRPr="00125B92" w:rsidRDefault="000D47E5" w:rsidP="000D47E5">
      <w:pPr>
        <w:pStyle w:val="Lijstalinea"/>
      </w:pPr>
      <w:r w:rsidRPr="00125B92">
        <w:t>Afschrijvingen (en waardeverminderingen) m.b.t. deze activa over boekjaar 20XX.</w:t>
      </w:r>
    </w:p>
    <w:p w14:paraId="36A1462D" w14:textId="688B6365" w:rsidR="000D47E5" w:rsidRDefault="000D47E5" w:rsidP="005D0A79">
      <w:pPr>
        <w:rPr>
          <w:rFonts w:ascii="Calibri" w:hAnsi="Calibri"/>
        </w:rPr>
      </w:pPr>
      <w:r w:rsidRPr="00125B92">
        <w:rPr>
          <w:rFonts w:ascii="Calibri" w:hAnsi="Calibri"/>
        </w:rPr>
        <w:t xml:space="preserve">Deze tabel heeft als doel om zowel deel uit te maken van de evolutie van de opbouw van de </w:t>
      </w:r>
      <w:r w:rsidR="00297BEA" w:rsidRPr="00511C4D">
        <w:rPr>
          <w:rFonts w:ascii="Calibri" w:hAnsi="Calibri"/>
        </w:rPr>
        <w:t>RAB</w:t>
      </w:r>
      <w:r w:rsidR="00297BEA">
        <w:rPr>
          <w:rFonts w:ascii="Calibri" w:hAnsi="Calibri"/>
        </w:rPr>
        <w:t xml:space="preserve">-waarde (cfr paragraaf </w:t>
      </w:r>
      <w:r w:rsidR="00297BEA">
        <w:rPr>
          <w:rFonts w:ascii="Calibri" w:hAnsi="Calibri"/>
        </w:rPr>
        <w:fldChar w:fldCharType="begin"/>
      </w:r>
      <w:r w:rsidR="00297BEA">
        <w:rPr>
          <w:rFonts w:ascii="Calibri" w:hAnsi="Calibri"/>
        </w:rPr>
        <w:instrText xml:space="preserve"> REF _Ref40332576 \r \h </w:instrText>
      </w:r>
      <w:r w:rsidR="00297BEA">
        <w:rPr>
          <w:rFonts w:ascii="Calibri" w:hAnsi="Calibri"/>
        </w:rPr>
      </w:r>
      <w:r w:rsidR="00297BEA">
        <w:rPr>
          <w:rFonts w:ascii="Calibri" w:hAnsi="Calibri"/>
        </w:rPr>
        <w:fldChar w:fldCharType="separate"/>
      </w:r>
      <w:r w:rsidR="00964FA9">
        <w:rPr>
          <w:rFonts w:ascii="Calibri" w:hAnsi="Calibri"/>
        </w:rPr>
        <w:t>1.3.1.10</w:t>
      </w:r>
      <w:r w:rsidR="00297BEA">
        <w:rPr>
          <w:rFonts w:ascii="Calibri" w:hAnsi="Calibri"/>
        </w:rPr>
        <w:fldChar w:fldCharType="end"/>
      </w:r>
      <w:r w:rsidR="00297BEA">
        <w:rPr>
          <w:rFonts w:ascii="Calibri" w:hAnsi="Calibri"/>
        </w:rPr>
        <w:t>)</w:t>
      </w:r>
      <w:r w:rsidRPr="00125B92">
        <w:rPr>
          <w:rFonts w:ascii="Calibri" w:hAnsi="Calibri"/>
        </w:rPr>
        <w:t xml:space="preserve"> als voor de bepaling van de afschrijvingskosten. </w:t>
      </w:r>
    </w:p>
    <w:p w14:paraId="7611D52C" w14:textId="19D5B6F7" w:rsidR="0025708C" w:rsidRPr="00125B92" w:rsidRDefault="0025708C" w:rsidP="005D0A79">
      <w:pPr>
        <w:rPr>
          <w:rFonts w:ascii="Calibri" w:hAnsi="Calibri"/>
        </w:rPr>
      </w:pPr>
      <w:r>
        <w:rPr>
          <w:rFonts w:ascii="Calibri" w:hAnsi="Calibri"/>
        </w:rPr>
        <w:t xml:space="preserve">De </w:t>
      </w:r>
      <w:r w:rsidR="0031237A">
        <w:rPr>
          <w:rFonts w:ascii="Calibri" w:hAnsi="Calibri"/>
        </w:rPr>
        <w:t xml:space="preserve">eventuele </w:t>
      </w:r>
      <w:r>
        <w:rPr>
          <w:rFonts w:ascii="Calibri" w:hAnsi="Calibri"/>
        </w:rPr>
        <w:t>transfers die door de distributienetbeheerder in het betreffende boekjaar tussen de verschillende activarubrieken werden doorgevoerd, dienen in een afzonderlijk verklarende nota uitgebreid te worden gemotiveerd.</w:t>
      </w:r>
    </w:p>
    <w:p w14:paraId="08EDB2AA" w14:textId="24C5E0AE" w:rsidR="000D47E5" w:rsidRPr="006A0D0B" w:rsidRDefault="000D47E5" w:rsidP="005D0A79">
      <w:pPr>
        <w:rPr>
          <w:rFonts w:ascii="Calibri" w:hAnsi="Calibri"/>
        </w:rPr>
      </w:pPr>
      <w:r w:rsidRPr="006A0D0B">
        <w:rPr>
          <w:rFonts w:ascii="Calibri" w:hAnsi="Calibri"/>
        </w:rPr>
        <w:t>Indien in de kolomhoofden een ‘+’-teken is opgenomen, dienen positieve waarden in deze kolom worden opgegeven, en omgekeerd.</w:t>
      </w:r>
    </w:p>
    <w:p w14:paraId="062612C4" w14:textId="531CA03F" w:rsidR="000D47E5" w:rsidRPr="006A0D0B" w:rsidRDefault="000D47E5" w:rsidP="000D47E5">
      <w:pPr>
        <w:pStyle w:val="Kop4"/>
      </w:pPr>
      <w:bookmarkStart w:id="138" w:name="_Ref389575693"/>
      <w:bookmarkStart w:id="139" w:name="_Toc81512494"/>
      <w:r w:rsidRPr="006A0D0B">
        <w:t>TABEL 6: Evolutie nettobedrijfskapitaal</w:t>
      </w:r>
      <w:bookmarkEnd w:id="138"/>
      <w:r w:rsidR="006A0D0B" w:rsidRPr="006A0D0B">
        <w:t xml:space="preserve"> (NBK)</w:t>
      </w:r>
      <w:bookmarkEnd w:id="139"/>
    </w:p>
    <w:p w14:paraId="7DAA95DB" w14:textId="041FA62E" w:rsidR="000D47E5" w:rsidRPr="006A0D0B" w:rsidRDefault="000D47E5" w:rsidP="005D0A79">
      <w:pPr>
        <w:rPr>
          <w:rFonts w:ascii="Calibri" w:hAnsi="Calibri"/>
        </w:rPr>
      </w:pPr>
      <w:r w:rsidRPr="006A0D0B">
        <w:rPr>
          <w:rFonts w:ascii="Calibri" w:hAnsi="Calibri"/>
        </w:rPr>
        <w:t xml:space="preserve">In deze tabel </w:t>
      </w:r>
      <w:r w:rsidR="004A32E3">
        <w:rPr>
          <w:rFonts w:ascii="Calibri" w:hAnsi="Calibri"/>
        </w:rPr>
        <w:t>rapporteert de distributienetbeheerder de waarden</w:t>
      </w:r>
      <w:r w:rsidRPr="006A0D0B">
        <w:rPr>
          <w:rFonts w:ascii="Calibri" w:hAnsi="Calibri"/>
        </w:rPr>
        <w:t xml:space="preserve"> ter bepaling van het nettobedrijfskapitaal. Het nettobedrijfskapitaal is opgebouwd uit het verschil tussen de vlottende activa</w:t>
      </w:r>
      <w:r w:rsidRPr="006A0D0B">
        <w:rPr>
          <w:rStyle w:val="Voetnootmarkering"/>
          <w:rFonts w:ascii="Calibri" w:hAnsi="Calibri"/>
        </w:rPr>
        <w:footnoteReference w:id="24"/>
      </w:r>
      <w:r w:rsidRPr="006A0D0B">
        <w:rPr>
          <w:rFonts w:ascii="Calibri" w:hAnsi="Calibri"/>
        </w:rPr>
        <w:t xml:space="preserve"> en het vreemd vermogen op korte termijn</w:t>
      </w:r>
      <w:r w:rsidRPr="006A0D0B">
        <w:rPr>
          <w:rStyle w:val="Voetnootmarkering"/>
          <w:rFonts w:ascii="Calibri" w:hAnsi="Calibri"/>
        </w:rPr>
        <w:footnoteReference w:id="25"/>
      </w:r>
      <w:r w:rsidRPr="006A0D0B">
        <w:rPr>
          <w:rFonts w:ascii="Calibri" w:hAnsi="Calibri"/>
        </w:rPr>
        <w:t>. Hierbij dient het nettobedrijfskapitaal aan activazijde te worden gecorrigeerd met de waarde aan groenestroom- en warmtekrachtcertificaten, de regulatoire saldi die voortvloeien uit de tariefmethodologie van de VREG</w:t>
      </w:r>
      <w:r w:rsidR="004D73F6" w:rsidRPr="006A0D0B">
        <w:rPr>
          <w:rFonts w:ascii="Calibri" w:hAnsi="Calibri"/>
        </w:rPr>
        <w:t xml:space="preserve"> (</w:t>
      </w:r>
      <w:r w:rsidRPr="006A0D0B">
        <w:rPr>
          <w:rFonts w:ascii="Calibri" w:hAnsi="Calibri"/>
        </w:rPr>
        <w:t>de regulatoire saldi op de passiefzijde van de balans word</w:t>
      </w:r>
      <w:r w:rsidR="004D73F6" w:rsidRPr="006A0D0B">
        <w:rPr>
          <w:rFonts w:ascii="Calibri" w:hAnsi="Calibri"/>
        </w:rPr>
        <w:t>en</w:t>
      </w:r>
      <w:r w:rsidRPr="006A0D0B">
        <w:rPr>
          <w:rFonts w:ascii="Calibri" w:hAnsi="Calibri"/>
        </w:rPr>
        <w:t xml:space="preserve"> </w:t>
      </w:r>
      <w:r w:rsidRPr="006A0D0B">
        <w:rPr>
          <w:rFonts w:ascii="Calibri" w:hAnsi="Calibri"/>
          <w:b/>
        </w:rPr>
        <w:t>niet</w:t>
      </w:r>
      <w:r w:rsidRPr="006A0D0B">
        <w:rPr>
          <w:rFonts w:ascii="Calibri" w:hAnsi="Calibri"/>
        </w:rPr>
        <w:t xml:space="preserve"> gecorrigeerd), de saldi m.b.t. oplaadpunten voor elektrische voertuigen volgens art. 6.4.2 van het Energiebesluit (de saldi op de passiefzijde van de balans worden </w:t>
      </w:r>
      <w:r w:rsidRPr="006A0D0B">
        <w:rPr>
          <w:rFonts w:ascii="Calibri" w:hAnsi="Calibri"/>
          <w:b/>
        </w:rPr>
        <w:t xml:space="preserve">niet </w:t>
      </w:r>
      <w:r w:rsidRPr="006A0D0B">
        <w:rPr>
          <w:rFonts w:ascii="Calibri" w:hAnsi="Calibri"/>
        </w:rPr>
        <w:t xml:space="preserve">gecorrigeerd) en de saldi m.b.t. oplaadpunten voor elektrische voertuigen volgens art. 6.4.3 van het Energiebesluit (de saldi op de passiefzijde van de balans worden </w:t>
      </w:r>
      <w:r w:rsidRPr="006A0D0B">
        <w:rPr>
          <w:rFonts w:ascii="Calibri" w:hAnsi="Calibri"/>
          <w:b/>
        </w:rPr>
        <w:t xml:space="preserve">niet </w:t>
      </w:r>
      <w:r w:rsidRPr="006A0D0B">
        <w:rPr>
          <w:rFonts w:ascii="Calibri" w:hAnsi="Calibri"/>
        </w:rPr>
        <w:t>gecorrigeerd). Uiteraard dienen voor deze</w:t>
      </w:r>
      <w:r w:rsidR="009A090F">
        <w:rPr>
          <w:rFonts w:ascii="Calibri" w:hAnsi="Calibri"/>
        </w:rPr>
        <w:t xml:space="preserve"> </w:t>
      </w:r>
      <w:r w:rsidR="00A108B5">
        <w:rPr>
          <w:rFonts w:ascii="Calibri" w:hAnsi="Calibri"/>
        </w:rPr>
        <w:t>correctierubrieken</w:t>
      </w:r>
      <w:r w:rsidRPr="006A0D0B">
        <w:rPr>
          <w:rFonts w:ascii="Calibri" w:hAnsi="Calibri"/>
        </w:rPr>
        <w:t xml:space="preserve"> slechts waarden worden ingevuld in het geval ze ook effectief onder de beschouwde boekhoudkundige rekeningen van de vlottende activa worden geboekt. </w:t>
      </w:r>
    </w:p>
    <w:p w14:paraId="3436986B" w14:textId="5FB59B1E" w:rsidR="000D47E5" w:rsidRPr="006A0D0B" w:rsidRDefault="000D47E5" w:rsidP="005D0A79">
      <w:pPr>
        <w:rPr>
          <w:rFonts w:ascii="Calibri" w:hAnsi="Calibri"/>
        </w:rPr>
      </w:pPr>
      <w:r w:rsidRPr="006A0D0B">
        <w:rPr>
          <w:rFonts w:ascii="Calibri" w:hAnsi="Calibri"/>
        </w:rPr>
        <w:t xml:space="preserve">Conform de bepalingen in de bijlage </w:t>
      </w:r>
      <w:r w:rsidR="00125B92" w:rsidRPr="006A0D0B">
        <w:rPr>
          <w:rFonts w:ascii="Calibri" w:hAnsi="Calibri"/>
        </w:rPr>
        <w:t xml:space="preserve">6 </w:t>
      </w:r>
      <w:r w:rsidRPr="006A0D0B">
        <w:rPr>
          <w:rFonts w:ascii="Calibri" w:hAnsi="Calibri"/>
        </w:rPr>
        <w:t>van de tariefmethodologie dient de elektriciteitsdistributienetbeheerder eveneens een detail op te leveren van de oplaadpunten voor elektrische voertuigen en dit volgens het in de bijlage 6 opgenomen standaardformaat voor zowel de oplaadpunten volgens art. 6.4.2 als volgens art. 6.4.3 van het Energiebesluit.</w:t>
      </w:r>
    </w:p>
    <w:p w14:paraId="643DEE98" w14:textId="77777777" w:rsidR="00BB74A1" w:rsidRDefault="000D47E5" w:rsidP="005D0A79">
      <w:pPr>
        <w:rPr>
          <w:rFonts w:ascii="Calibri" w:hAnsi="Calibri"/>
        </w:rPr>
      </w:pPr>
      <w:r w:rsidRPr="006A0D0B">
        <w:rPr>
          <w:rFonts w:ascii="Calibri" w:hAnsi="Calibri"/>
        </w:rPr>
        <w:t>Hiernaast legt de tariefmethodologie ook op dat de hoogte van het nettobedrijfskapitaal minimaal gelijk moet zijn aan nul en maximaal samenvalt met 1/14</w:t>
      </w:r>
      <w:r w:rsidRPr="006A0D0B">
        <w:rPr>
          <w:rFonts w:ascii="Calibri" w:hAnsi="Calibri"/>
          <w:vertAlign w:val="superscript"/>
        </w:rPr>
        <w:t>de</w:t>
      </w:r>
      <w:r w:rsidRPr="006A0D0B">
        <w:rPr>
          <w:rFonts w:ascii="Calibri" w:hAnsi="Calibri"/>
        </w:rPr>
        <w:t xml:space="preserve"> van de jaarlijkse omzet (som van klasse 70 en klasse 74) voor de respectievelijke gereguleerde activiteit, gecorrigeerd met de opbrengsten uit de verkoop van de groenestroom- en warmtekrachtcertificaten. </w:t>
      </w:r>
    </w:p>
    <w:p w14:paraId="729551CE" w14:textId="24BC3B5C" w:rsidR="000D47E5" w:rsidRPr="006A0D0B" w:rsidRDefault="000D47E5" w:rsidP="005D0A79">
      <w:pPr>
        <w:rPr>
          <w:rFonts w:ascii="Calibri" w:hAnsi="Calibri"/>
        </w:rPr>
      </w:pPr>
      <w:r w:rsidRPr="006A0D0B">
        <w:rPr>
          <w:rFonts w:ascii="Calibri" w:hAnsi="Calibri"/>
        </w:rPr>
        <w:t xml:space="preserve">Bovendien kan de distributienetbeheerder zijn aandeel in de voorraad, die </w:t>
      </w:r>
      <w:r w:rsidR="001627B8" w:rsidRPr="006A0D0B">
        <w:rPr>
          <w:rFonts w:ascii="Calibri" w:hAnsi="Calibri"/>
        </w:rPr>
        <w:t xml:space="preserve">eventueel </w:t>
      </w:r>
      <w:r w:rsidRPr="006A0D0B">
        <w:rPr>
          <w:rFonts w:ascii="Calibri" w:hAnsi="Calibri"/>
        </w:rPr>
        <w:t>bij zijn werkmaatschappij is geboekt (boekhoudkundige klasse 3), in rekening brengen van het nettobedrijfskapitaal (onder de kolom ‘Correcties’).</w:t>
      </w:r>
    </w:p>
    <w:p w14:paraId="471A0E47" w14:textId="679DA4C0" w:rsidR="000D47E5" w:rsidRPr="006A0D0B" w:rsidRDefault="000D47E5" w:rsidP="005D0A79">
      <w:pPr>
        <w:rPr>
          <w:rFonts w:ascii="Calibri" w:hAnsi="Calibri"/>
        </w:rPr>
      </w:pPr>
      <w:r w:rsidRPr="006A0D0B">
        <w:rPr>
          <w:rFonts w:ascii="Calibri" w:hAnsi="Calibri"/>
        </w:rPr>
        <w:t xml:space="preserve">Verder wordt in deze tabel ook de eenmalige impact van eventuele wijzigingen in de waarderingsregels m.b.t. de voorraden en/of handelsvorderingen op het nettobedrijfskapitaal </w:t>
      </w:r>
      <w:r w:rsidRPr="006A0D0B">
        <w:rPr>
          <w:rFonts w:ascii="Calibri" w:hAnsi="Calibri"/>
        </w:rPr>
        <w:lastRenderedPageBreak/>
        <w:t xml:space="preserve">gespreid over de verschillende boekjaren en dit zoals beschreven in de tariefmethodologie en op basis van de verleende informatie in de bijlage 6 van de tariefmethodologie. Een wijziging in de waarderingsregels m.b.t. de voorraden of de handelsvorderingen zal een eenmalige kost of opbrengst veroorzaken, welke ook haar oorsprong kan vinden in de voorgaande boekjaren. Deze eenmalige kost of opbrengst zal dan ook tot gevolg hebben dat de waardering van de respectievelijke activaklassen zal wijzigen. </w:t>
      </w:r>
    </w:p>
    <w:p w14:paraId="728B1F4B" w14:textId="6CFFE518" w:rsidR="007E385D" w:rsidRPr="006A0D0B" w:rsidRDefault="007E385D" w:rsidP="007E385D">
      <w:pPr>
        <w:rPr>
          <w:rFonts w:ascii="Calibri" w:hAnsi="Calibri"/>
        </w:rPr>
      </w:pPr>
      <w:r>
        <w:rPr>
          <w:rFonts w:ascii="Calibri" w:hAnsi="Calibri"/>
        </w:rPr>
        <w:t>In de tabel</w:t>
      </w:r>
      <w:r w:rsidRPr="006A0D0B">
        <w:rPr>
          <w:rFonts w:ascii="Calibri" w:hAnsi="Calibri"/>
        </w:rPr>
        <w:t xml:space="preserve"> dienen zowel voor de activa (indien debetbedrag)</w:t>
      </w:r>
      <w:r w:rsidR="00E23BC8">
        <w:rPr>
          <w:rFonts w:ascii="Calibri" w:hAnsi="Calibri"/>
        </w:rPr>
        <w:t xml:space="preserve"> als</w:t>
      </w:r>
      <w:r w:rsidRPr="006A0D0B">
        <w:rPr>
          <w:rFonts w:ascii="Calibri" w:hAnsi="Calibri"/>
        </w:rPr>
        <w:t xml:space="preserve"> passiva (indien creditbedrag) positieve waarden worden ingegeven. </w:t>
      </w:r>
    </w:p>
    <w:p w14:paraId="700F4AA5" w14:textId="76AE45EC" w:rsidR="000D47E5" w:rsidRPr="006A0D0B" w:rsidRDefault="000D47E5" w:rsidP="005D0A79">
      <w:pPr>
        <w:rPr>
          <w:rFonts w:ascii="Calibri" w:hAnsi="Calibri"/>
        </w:rPr>
      </w:pPr>
      <w:r w:rsidRPr="006A0D0B">
        <w:rPr>
          <w:rFonts w:ascii="Calibri" w:hAnsi="Calibri"/>
        </w:rPr>
        <w:t xml:space="preserve">Verder dienen de ingevulde waarden in de kolom ‘Balanscijfers’ voor boekjaar 20XX overeen te stemmen met de waarden die in ‘tabel 1’ </w:t>
      </w:r>
      <w:r w:rsidR="00B64FC8">
        <w:rPr>
          <w:rFonts w:ascii="Calibri" w:hAnsi="Calibri"/>
        </w:rPr>
        <w:t xml:space="preserve">voor de betreffende gereguleerde activiteit </w:t>
      </w:r>
      <w:r w:rsidRPr="006A0D0B">
        <w:rPr>
          <w:rFonts w:ascii="Calibri" w:hAnsi="Calibri"/>
        </w:rPr>
        <w:t>werden gerapporteerd. Eventuele afwijkingen met ‘tabel 1’ alsook de gerapporteerde waarden in de kolom ‘Correcties’ dienen in een afzonderlijke nota te worden verantwoord.</w:t>
      </w:r>
    </w:p>
    <w:p w14:paraId="0893BC68" w14:textId="2AD3407C" w:rsidR="000D47E5" w:rsidRPr="004B5698" w:rsidRDefault="000D47E5" w:rsidP="005D0A79">
      <w:pPr>
        <w:rPr>
          <w:rFonts w:ascii="Calibri" w:hAnsi="Calibri"/>
        </w:rPr>
      </w:pPr>
      <w:r w:rsidRPr="006A0D0B">
        <w:rPr>
          <w:rFonts w:ascii="Calibri" w:hAnsi="Calibri"/>
        </w:rPr>
        <w:t xml:space="preserve">De gemiddelde waarde van het nettobedrijfskapitaal wordt bovenaan de tabel automatisch berekend en vervolgens overgenomen in ‘tabel 3’ van dit rapporteringsmodel. Teneinde het gemiddelde nettobedrijfskapitaal voor boekjaar 20XX te kunnen bepalen, dient de distributienetbeheerder ook het nettobedrijfskapitaal voor boekjaar 20XX-1 te rapporteren. Verder dient de distributienetbeheerder in deze tabel ook de maximale waarde van het </w:t>
      </w:r>
      <w:r w:rsidRPr="004B5698">
        <w:rPr>
          <w:rFonts w:ascii="Calibri" w:hAnsi="Calibri"/>
        </w:rPr>
        <w:t xml:space="preserve">nettobedrijfskapitaal voor boekjaar 20XX-1 te rapporteren. Het </w:t>
      </w:r>
      <w:r w:rsidR="006A0D0B" w:rsidRPr="004B5698">
        <w:rPr>
          <w:rFonts w:ascii="Calibri" w:hAnsi="Calibri"/>
        </w:rPr>
        <w:t xml:space="preserve">nettobedrijfskapitaal </w:t>
      </w:r>
      <w:r w:rsidRPr="004B5698">
        <w:rPr>
          <w:rFonts w:ascii="Calibri" w:hAnsi="Calibri"/>
        </w:rPr>
        <w:t>en de maximale waarde voor boekjaar 20XX-1 dienen hierbij overeen te komen met de waarden die uit het definitieve rapporteringsmodel inzake endogene kosten voor boekjaar 20XX-1 uit ‘tabel 6</w:t>
      </w:r>
      <w:r w:rsidR="00C24C4E" w:rsidRPr="004B5698">
        <w:rPr>
          <w:rFonts w:ascii="Calibri" w:hAnsi="Calibri"/>
        </w:rPr>
        <w:t>’ kunnen</w:t>
      </w:r>
      <w:r w:rsidRPr="004B5698">
        <w:rPr>
          <w:rFonts w:ascii="Calibri" w:hAnsi="Calibri"/>
        </w:rPr>
        <w:t xml:space="preserve"> worden afgeleid.</w:t>
      </w:r>
    </w:p>
    <w:p w14:paraId="15E64047" w14:textId="77585BE1" w:rsidR="000D47E5" w:rsidRPr="00B47891" w:rsidRDefault="000D47E5" w:rsidP="005D0A79">
      <w:pPr>
        <w:pStyle w:val="Kop4"/>
      </w:pPr>
      <w:bookmarkStart w:id="140" w:name="_Ref40332576"/>
      <w:bookmarkStart w:id="141" w:name="_Toc81512495"/>
      <w:r w:rsidRPr="00B47891">
        <w:t xml:space="preserve">TABEL </w:t>
      </w:r>
      <w:r w:rsidR="00772540" w:rsidRPr="00B47891">
        <w:t>7</w:t>
      </w:r>
      <w:r w:rsidRPr="00B47891">
        <w:t>: Evolutie van de RAB-waarde</w:t>
      </w:r>
      <w:r w:rsidR="003226BC" w:rsidRPr="00B47891">
        <w:t xml:space="preserve"> (excl. herwaarderingsmeerwaarden)</w:t>
      </w:r>
      <w:bookmarkEnd w:id="140"/>
      <w:bookmarkEnd w:id="141"/>
    </w:p>
    <w:p w14:paraId="4F8B5922" w14:textId="494F2E28" w:rsidR="000D47E5" w:rsidRPr="00B47891" w:rsidRDefault="000D47E5" w:rsidP="005D0A79">
      <w:pPr>
        <w:rPr>
          <w:rFonts w:ascii="Calibri" w:hAnsi="Calibri"/>
        </w:rPr>
      </w:pPr>
      <w:r w:rsidRPr="00B47891">
        <w:rPr>
          <w:rFonts w:ascii="Calibri" w:hAnsi="Calibri"/>
        </w:rPr>
        <w:t>Deze tabel geeft de jaarlijkse evolutie van de RAB-waarde</w:t>
      </w:r>
      <w:r w:rsidR="00772540" w:rsidRPr="00B47891">
        <w:rPr>
          <w:rFonts w:ascii="Calibri" w:hAnsi="Calibri"/>
        </w:rPr>
        <w:t xml:space="preserve"> (excl. herwaarderingsmeerwaarden)</w:t>
      </w:r>
      <w:r w:rsidRPr="00B47891">
        <w:rPr>
          <w:rFonts w:ascii="Calibri" w:hAnsi="Calibri"/>
        </w:rPr>
        <w:t xml:space="preserve"> weer. Deze evolutie wordt automatisch berekend op basis van </w:t>
      </w:r>
      <w:r w:rsidR="00287C83" w:rsidRPr="00B47891">
        <w:rPr>
          <w:rFonts w:ascii="Calibri" w:hAnsi="Calibri"/>
        </w:rPr>
        <w:t>gerapporteerde gegevens in ‘tabel 4’, ‘tabel 5A’ en ‘tabel 5B’</w:t>
      </w:r>
      <w:r w:rsidRPr="00B47891">
        <w:rPr>
          <w:rFonts w:ascii="Calibri" w:hAnsi="Calibri"/>
        </w:rPr>
        <w:t>. Op basis van deze data wordt dan een gemiddelde RAB-waarde</w:t>
      </w:r>
      <w:r w:rsidR="00CB0FC9">
        <w:rPr>
          <w:rFonts w:ascii="Calibri" w:hAnsi="Calibri"/>
        </w:rPr>
        <w:t xml:space="preserve"> (excl. herwaarderingsmeerwaarden)</w:t>
      </w:r>
      <w:r w:rsidRPr="00B47891">
        <w:rPr>
          <w:rFonts w:ascii="Calibri" w:hAnsi="Calibri"/>
        </w:rPr>
        <w:t xml:space="preserve"> voor boekjaar 20XX berekend</w:t>
      </w:r>
      <w:r w:rsidR="004B5698" w:rsidRPr="00B47891">
        <w:rPr>
          <w:rFonts w:ascii="Calibri" w:hAnsi="Calibri"/>
        </w:rPr>
        <w:t xml:space="preserve"> en automatisch in ‘tabel 3’ aangevuld</w:t>
      </w:r>
      <w:r w:rsidRPr="00B47891">
        <w:rPr>
          <w:rFonts w:ascii="Calibri" w:hAnsi="Calibri"/>
        </w:rPr>
        <w:t>.</w:t>
      </w:r>
    </w:p>
    <w:p w14:paraId="2FE73E0D" w14:textId="2F79C5AF" w:rsidR="000D47E5" w:rsidRPr="00B47891" w:rsidRDefault="000D47E5" w:rsidP="005D0A79">
      <w:pPr>
        <w:pStyle w:val="Kop4"/>
      </w:pPr>
      <w:bookmarkStart w:id="142" w:name="_Toc81512496"/>
      <w:bookmarkStart w:id="143" w:name="_Ref389575600"/>
      <w:r w:rsidRPr="00B47891">
        <w:t xml:space="preserve">TABEL </w:t>
      </w:r>
      <w:r w:rsidR="002B6771" w:rsidRPr="00B47891">
        <w:t>8</w:t>
      </w:r>
      <w:r w:rsidRPr="00B47891">
        <w:t>: Operationele kosten</w:t>
      </w:r>
      <w:bookmarkEnd w:id="142"/>
      <w:r w:rsidRPr="00B47891">
        <w:t xml:space="preserve"> </w:t>
      </w:r>
      <w:bookmarkEnd w:id="143"/>
    </w:p>
    <w:p w14:paraId="36FB28B0" w14:textId="4A43A499" w:rsidR="000D47E5" w:rsidRPr="00B47891" w:rsidRDefault="000D47E5" w:rsidP="005D0A79">
      <w:pPr>
        <w:rPr>
          <w:rFonts w:ascii="Calibri" w:hAnsi="Calibri"/>
        </w:rPr>
      </w:pPr>
      <w:r w:rsidRPr="00B47891">
        <w:rPr>
          <w:rFonts w:ascii="Calibri" w:hAnsi="Calibri"/>
        </w:rPr>
        <w:t xml:space="preserve">In ‘tabel </w:t>
      </w:r>
      <w:r w:rsidR="00B7295C" w:rsidRPr="00B47891">
        <w:rPr>
          <w:rFonts w:ascii="Calibri" w:hAnsi="Calibri"/>
        </w:rPr>
        <w:t>8</w:t>
      </w:r>
      <w:r w:rsidRPr="00B47891">
        <w:rPr>
          <w:rFonts w:ascii="Calibri" w:hAnsi="Calibri"/>
        </w:rPr>
        <w:t xml:space="preserve">’ wordt </w:t>
      </w:r>
      <w:r w:rsidR="00BA785C">
        <w:rPr>
          <w:rFonts w:ascii="Calibri" w:hAnsi="Calibri"/>
        </w:rPr>
        <w:t xml:space="preserve">voor de betreffende gereguleerde activiteit </w:t>
      </w:r>
      <w:r w:rsidRPr="00B47891">
        <w:rPr>
          <w:rFonts w:ascii="Calibri" w:hAnsi="Calibri"/>
        </w:rPr>
        <w:t>gestart met een overzicht van alle kostenrekeningen in de resultatenrekening van de distributienetbeheerder voor boekjaar 20XX. Hierbij wordt eveneens een aansluiting gemaakt met de gerapporteerde waarden in ‘tabel 2’ van het rapporteringsmodel. Eventuele afwijkingen met ‘tabel 2’ dienen door de distributienetbeheerder in een afzonderlijke nota te worden opgegeven en verklaard.</w:t>
      </w:r>
    </w:p>
    <w:p w14:paraId="20F7D675" w14:textId="77777777" w:rsidR="00B6388A" w:rsidRPr="00B47891" w:rsidRDefault="000D47E5" w:rsidP="00217E5C">
      <w:pPr>
        <w:rPr>
          <w:rFonts w:ascii="Calibri" w:hAnsi="Calibri"/>
        </w:rPr>
      </w:pPr>
      <w:r w:rsidRPr="00B47891">
        <w:rPr>
          <w:rFonts w:ascii="Calibri" w:hAnsi="Calibri"/>
        </w:rPr>
        <w:t>Vervolgens worden alle correcties opgenomen teneinde tot de te beschouwen operationele kosten te komen.</w:t>
      </w:r>
      <w:r w:rsidR="00491C1E" w:rsidRPr="00B47891">
        <w:rPr>
          <w:rFonts w:ascii="Calibri" w:hAnsi="Calibri"/>
        </w:rPr>
        <w:t xml:space="preserve"> Voor een volledig overzicht van de </w:t>
      </w:r>
      <w:r w:rsidR="00DF30B9" w:rsidRPr="00B47891">
        <w:rPr>
          <w:rFonts w:ascii="Calibri" w:hAnsi="Calibri"/>
        </w:rPr>
        <w:t xml:space="preserve">noodzakelijke correcties teneinde de operationele kosten samen te stellen, verwijzen we naar </w:t>
      </w:r>
      <w:r w:rsidR="00217E5C" w:rsidRPr="00B47891">
        <w:rPr>
          <w:rFonts w:ascii="Calibri" w:hAnsi="Calibri"/>
        </w:rPr>
        <w:t xml:space="preserve">de bepalingen in paragraaf 5.3.3 van de hoofdtekst van de tariefmethodologie. </w:t>
      </w:r>
      <w:r w:rsidR="00B6388A" w:rsidRPr="00B47891">
        <w:rPr>
          <w:rFonts w:ascii="Calibri" w:hAnsi="Calibri"/>
        </w:rPr>
        <w:t>Voor een aantal correctierubrieken geven we hieronder nog een verdere duiding:</w:t>
      </w:r>
    </w:p>
    <w:p w14:paraId="45535EE8" w14:textId="4181B36E" w:rsidR="000D47E5" w:rsidRPr="00B47891" w:rsidRDefault="00B6388A" w:rsidP="00B6388A">
      <w:pPr>
        <w:pStyle w:val="Lijstalinea"/>
        <w:numPr>
          <w:ilvl w:val="0"/>
          <w:numId w:val="28"/>
        </w:numPr>
        <w:rPr>
          <w:rFonts w:ascii="Calibri" w:hAnsi="Calibri"/>
        </w:rPr>
      </w:pPr>
      <w:r w:rsidRPr="00B47891">
        <w:rPr>
          <w:rFonts w:ascii="Calibri" w:hAnsi="Calibri"/>
        </w:rPr>
        <w:t>De</w:t>
      </w:r>
      <w:r w:rsidR="000D47E5" w:rsidRPr="00B47891">
        <w:rPr>
          <w:rFonts w:ascii="Calibri" w:hAnsi="Calibri"/>
        </w:rPr>
        <w:t xml:space="preserve"> correctie m.b.t. de transa</w:t>
      </w:r>
      <w:r w:rsidR="000D47E5" w:rsidRPr="00B47891">
        <w:rPr>
          <w:rFonts w:ascii="Calibri" w:hAnsi="Calibri"/>
          <w:bCs/>
        </w:rPr>
        <w:t>ctiekosten</w:t>
      </w:r>
      <w:r w:rsidRPr="00B47891">
        <w:rPr>
          <w:rFonts w:ascii="Calibri" w:hAnsi="Calibri"/>
        </w:rPr>
        <w:t>: d</w:t>
      </w:r>
      <w:r w:rsidR="000D47E5" w:rsidRPr="00B47891">
        <w:rPr>
          <w:rFonts w:ascii="Calibri" w:hAnsi="Calibri"/>
        </w:rPr>
        <w:t xml:space="preserve">eze correctie omvat, volgens de </w:t>
      </w:r>
      <w:r w:rsidRPr="00B47891">
        <w:rPr>
          <w:rFonts w:ascii="Calibri" w:hAnsi="Calibri"/>
        </w:rPr>
        <w:t>omschrijving in de bijlage 2 van de tariefmethodologie</w:t>
      </w:r>
      <w:r w:rsidR="000D47E5" w:rsidRPr="00B47891">
        <w:rPr>
          <w:rFonts w:ascii="Calibri" w:hAnsi="Calibri"/>
        </w:rPr>
        <w:t xml:space="preserve">, volgende boekhoudkundige elementen mits deze kosten </w:t>
      </w:r>
      <w:r w:rsidR="000D47E5" w:rsidRPr="00B47891">
        <w:rPr>
          <w:rFonts w:ascii="Calibri" w:hAnsi="Calibri"/>
          <w:b/>
        </w:rPr>
        <w:t>niet</w:t>
      </w:r>
      <w:r w:rsidR="004E795C" w:rsidRPr="00B47891">
        <w:rPr>
          <w:rFonts w:ascii="Calibri" w:hAnsi="Calibri"/>
        </w:rPr>
        <w:t xml:space="preserve"> op de boekhoudkundige rekening 65 van de resultatenrekening werd</w:t>
      </w:r>
      <w:r w:rsidR="006B62CD">
        <w:rPr>
          <w:rFonts w:ascii="Calibri" w:hAnsi="Calibri"/>
        </w:rPr>
        <w:t>en</w:t>
      </w:r>
      <w:r w:rsidR="004E795C" w:rsidRPr="00B47891">
        <w:rPr>
          <w:rFonts w:ascii="Calibri" w:hAnsi="Calibri"/>
        </w:rPr>
        <w:t xml:space="preserve"> geboekt</w:t>
      </w:r>
      <w:r w:rsidR="000D47E5" w:rsidRPr="00B47891">
        <w:rPr>
          <w:rFonts w:ascii="Calibri" w:hAnsi="Calibri"/>
        </w:rPr>
        <w:t>:</w:t>
      </w:r>
    </w:p>
    <w:p w14:paraId="2A6CBD9A" w14:textId="77777777" w:rsidR="000D47E5" w:rsidRPr="00B47891" w:rsidRDefault="000D47E5" w:rsidP="000D47E5">
      <w:pPr>
        <w:numPr>
          <w:ilvl w:val="0"/>
          <w:numId w:val="20"/>
        </w:numPr>
        <w:spacing w:before="0" w:line="240" w:lineRule="auto"/>
        <w:ind w:left="2127"/>
        <w:jc w:val="both"/>
        <w:rPr>
          <w:rFonts w:ascii="Calibri" w:hAnsi="Calibri"/>
        </w:rPr>
      </w:pPr>
      <w:r w:rsidRPr="00B47891">
        <w:rPr>
          <w:rFonts w:ascii="Calibri" w:hAnsi="Calibri"/>
        </w:rPr>
        <w:lastRenderedPageBreak/>
        <w:t>Kosten gemaakt in het kader van emissies van effecten, zoals</w:t>
      </w:r>
    </w:p>
    <w:p w14:paraId="28B29630" w14:textId="10A0C646" w:rsidR="000D47E5" w:rsidRPr="00B47891" w:rsidRDefault="000D47E5" w:rsidP="000D47E5">
      <w:pPr>
        <w:numPr>
          <w:ilvl w:val="1"/>
          <w:numId w:val="20"/>
        </w:numPr>
        <w:spacing w:before="0" w:line="240" w:lineRule="auto"/>
        <w:ind w:left="2694"/>
        <w:jc w:val="both"/>
        <w:rPr>
          <w:rFonts w:ascii="Calibri" w:hAnsi="Calibri"/>
        </w:rPr>
      </w:pPr>
      <w:r w:rsidRPr="00B47891">
        <w:rPr>
          <w:rFonts w:ascii="Calibri" w:hAnsi="Calibri"/>
        </w:rPr>
        <w:t>Kosten voor opmaak van prospectus en advies (o.a. advocaten, consulting,</w:t>
      </w:r>
      <w:r w:rsidR="00E9209E">
        <w:rPr>
          <w:rFonts w:ascii="Calibri" w:hAnsi="Calibri"/>
        </w:rPr>
        <w:t xml:space="preserve"> </w:t>
      </w:r>
      <w:r w:rsidRPr="00B47891">
        <w:rPr>
          <w:rFonts w:ascii="Calibri" w:hAnsi="Calibri"/>
        </w:rPr>
        <w:t>…)</w:t>
      </w:r>
    </w:p>
    <w:p w14:paraId="66386FB9" w14:textId="77777777" w:rsidR="000D47E5" w:rsidRPr="00B47891" w:rsidRDefault="000D47E5" w:rsidP="000D47E5">
      <w:pPr>
        <w:numPr>
          <w:ilvl w:val="1"/>
          <w:numId w:val="20"/>
        </w:numPr>
        <w:spacing w:before="0" w:line="240" w:lineRule="auto"/>
        <w:ind w:left="2694"/>
        <w:jc w:val="both"/>
        <w:rPr>
          <w:rFonts w:ascii="Calibri" w:hAnsi="Calibri"/>
        </w:rPr>
      </w:pPr>
      <w:r w:rsidRPr="00B47891">
        <w:rPr>
          <w:rFonts w:ascii="Calibri" w:hAnsi="Calibri"/>
        </w:rPr>
        <w:t>Vergoedingen te betalen aan de Autoriteit voor Financiële Diensten en Markten voor de goedkeuringsprocedure van het prospectus</w:t>
      </w:r>
    </w:p>
    <w:p w14:paraId="1E230691" w14:textId="02E32A13" w:rsidR="000D47E5" w:rsidRPr="00B47891" w:rsidRDefault="000D47E5" w:rsidP="000D47E5">
      <w:pPr>
        <w:numPr>
          <w:ilvl w:val="1"/>
          <w:numId w:val="20"/>
        </w:numPr>
        <w:spacing w:before="0" w:line="240" w:lineRule="auto"/>
        <w:ind w:left="2694"/>
        <w:jc w:val="both"/>
        <w:rPr>
          <w:rFonts w:ascii="Calibri" w:hAnsi="Calibri"/>
        </w:rPr>
      </w:pPr>
      <w:r w:rsidRPr="00B47891">
        <w:rPr>
          <w:rFonts w:ascii="Calibri" w:hAnsi="Calibri"/>
        </w:rPr>
        <w:t>Vergoeding van de financiële tussenpersonen die voor de plaatsing van de effecten bij de investeerders en/of het publiek zorgen en die de betalingen verwikkelen (o.a. dealers, arrangers, underwriters,</w:t>
      </w:r>
      <w:r w:rsidR="00E9209E">
        <w:rPr>
          <w:rFonts w:ascii="Calibri" w:hAnsi="Calibri"/>
        </w:rPr>
        <w:t xml:space="preserve"> </w:t>
      </w:r>
      <w:r w:rsidRPr="00B47891">
        <w:rPr>
          <w:rFonts w:ascii="Calibri" w:hAnsi="Calibri"/>
        </w:rPr>
        <w:t>…)</w:t>
      </w:r>
    </w:p>
    <w:p w14:paraId="40BFB3E7" w14:textId="77777777" w:rsidR="000D47E5" w:rsidRPr="00B47891" w:rsidRDefault="000D47E5" w:rsidP="000D47E5">
      <w:pPr>
        <w:numPr>
          <w:ilvl w:val="1"/>
          <w:numId w:val="20"/>
        </w:numPr>
        <w:spacing w:before="0" w:line="240" w:lineRule="auto"/>
        <w:ind w:left="2694"/>
        <w:jc w:val="both"/>
        <w:rPr>
          <w:rFonts w:ascii="Calibri" w:hAnsi="Calibri"/>
        </w:rPr>
      </w:pPr>
      <w:r w:rsidRPr="00B47891">
        <w:rPr>
          <w:rFonts w:ascii="Calibri" w:hAnsi="Calibri"/>
        </w:rPr>
        <w:t>Eventuele kosten indien de effecten een notering krijgen, bv. aan Euronext Brussels</w:t>
      </w:r>
    </w:p>
    <w:p w14:paraId="15658CD9" w14:textId="51D8CBA6" w:rsidR="000D47E5" w:rsidRPr="00B47891" w:rsidRDefault="000D47E5" w:rsidP="000D47E5">
      <w:pPr>
        <w:numPr>
          <w:ilvl w:val="0"/>
          <w:numId w:val="20"/>
        </w:numPr>
        <w:spacing w:before="0" w:line="240" w:lineRule="auto"/>
        <w:ind w:left="2127"/>
        <w:jc w:val="both"/>
        <w:rPr>
          <w:rFonts w:ascii="Calibri" w:hAnsi="Calibri"/>
        </w:rPr>
      </w:pPr>
      <w:r w:rsidRPr="00B47891">
        <w:rPr>
          <w:rFonts w:ascii="Calibri" w:hAnsi="Calibri"/>
        </w:rPr>
        <w:t>Kosten gemaakt m.b.t. schulden</w:t>
      </w:r>
      <w:r w:rsidR="005039DF">
        <w:rPr>
          <w:rFonts w:ascii="Calibri" w:hAnsi="Calibri"/>
        </w:rPr>
        <w:t xml:space="preserve"> zoals</w:t>
      </w:r>
    </w:p>
    <w:p w14:paraId="73D911D5" w14:textId="77777777" w:rsidR="000D47E5" w:rsidRPr="00B47891" w:rsidRDefault="000D47E5" w:rsidP="000D47E5">
      <w:pPr>
        <w:numPr>
          <w:ilvl w:val="1"/>
          <w:numId w:val="20"/>
        </w:numPr>
        <w:spacing w:before="0" w:line="240" w:lineRule="auto"/>
        <w:ind w:left="2694"/>
        <w:jc w:val="both"/>
        <w:rPr>
          <w:rFonts w:ascii="Calibri" w:hAnsi="Calibri"/>
        </w:rPr>
      </w:pPr>
      <w:r w:rsidRPr="00B47891">
        <w:rPr>
          <w:rFonts w:ascii="Calibri" w:hAnsi="Calibri"/>
        </w:rPr>
        <w:t>Periodieke fees voor kredietfaciliteiten</w:t>
      </w:r>
    </w:p>
    <w:p w14:paraId="698E10A3" w14:textId="77777777" w:rsidR="000D47E5" w:rsidRPr="00B47891" w:rsidRDefault="000D47E5" w:rsidP="000D47E5">
      <w:pPr>
        <w:numPr>
          <w:ilvl w:val="1"/>
          <w:numId w:val="20"/>
        </w:numPr>
        <w:spacing w:before="0" w:line="240" w:lineRule="auto"/>
        <w:ind w:left="2694"/>
        <w:jc w:val="both"/>
        <w:rPr>
          <w:rFonts w:ascii="Calibri" w:hAnsi="Calibri"/>
        </w:rPr>
      </w:pPr>
      <w:r w:rsidRPr="00B47891">
        <w:rPr>
          <w:rFonts w:ascii="Calibri" w:hAnsi="Calibri"/>
        </w:rPr>
        <w:t>Periodieke kosten voor eventuele beursnotering</w:t>
      </w:r>
    </w:p>
    <w:p w14:paraId="0A212B96" w14:textId="77777777" w:rsidR="000D47E5" w:rsidRPr="00B47891" w:rsidRDefault="000D47E5" w:rsidP="000D47E5">
      <w:pPr>
        <w:numPr>
          <w:ilvl w:val="1"/>
          <w:numId w:val="20"/>
        </w:numPr>
        <w:spacing w:before="0" w:line="240" w:lineRule="auto"/>
        <w:ind w:left="2694"/>
        <w:jc w:val="both"/>
        <w:rPr>
          <w:rFonts w:ascii="Calibri" w:hAnsi="Calibri"/>
        </w:rPr>
      </w:pPr>
      <w:r w:rsidRPr="00B47891">
        <w:rPr>
          <w:rFonts w:ascii="Calibri" w:hAnsi="Calibri"/>
        </w:rPr>
        <w:t>Overhead kosten: zoals externe administratieve-, treasury en juridische kosten om de vreemd vermogen portefeuille te beheren</w:t>
      </w:r>
    </w:p>
    <w:p w14:paraId="3591E253" w14:textId="0B8102D1" w:rsidR="000D47E5" w:rsidRPr="00B47891" w:rsidRDefault="000D47E5" w:rsidP="000D47E5">
      <w:pPr>
        <w:numPr>
          <w:ilvl w:val="0"/>
          <w:numId w:val="20"/>
        </w:numPr>
        <w:spacing w:before="0" w:line="240" w:lineRule="auto"/>
        <w:ind w:left="2127"/>
        <w:jc w:val="both"/>
        <w:rPr>
          <w:rFonts w:ascii="Calibri" w:hAnsi="Calibri"/>
        </w:rPr>
      </w:pPr>
      <w:r w:rsidRPr="00B47891">
        <w:rPr>
          <w:rFonts w:ascii="Calibri" w:hAnsi="Calibri"/>
        </w:rPr>
        <w:t>Kosten m.b.t. een kredietrating</w:t>
      </w:r>
      <w:r w:rsidR="005039DF">
        <w:rPr>
          <w:rFonts w:ascii="Calibri" w:hAnsi="Calibri"/>
        </w:rPr>
        <w:t xml:space="preserve"> zoals</w:t>
      </w:r>
    </w:p>
    <w:p w14:paraId="38A452E9" w14:textId="77777777" w:rsidR="000D47E5" w:rsidRPr="00DF57C1" w:rsidRDefault="000D47E5" w:rsidP="000D47E5">
      <w:pPr>
        <w:numPr>
          <w:ilvl w:val="1"/>
          <w:numId w:val="20"/>
        </w:numPr>
        <w:spacing w:before="0" w:line="240" w:lineRule="auto"/>
        <w:ind w:left="2694"/>
        <w:jc w:val="both"/>
        <w:rPr>
          <w:rFonts w:ascii="Calibri" w:hAnsi="Calibri"/>
        </w:rPr>
      </w:pPr>
      <w:r w:rsidRPr="00DF57C1">
        <w:rPr>
          <w:rFonts w:ascii="Calibri" w:hAnsi="Calibri"/>
        </w:rPr>
        <w:t>Kosten van ratingbureaus (eenmalige en periodieke)</w:t>
      </w:r>
    </w:p>
    <w:p w14:paraId="6A4552EF" w14:textId="22D26AE9" w:rsidR="000D47E5" w:rsidRDefault="000D47E5" w:rsidP="005D0A79">
      <w:pPr>
        <w:pStyle w:val="Lijstalinea"/>
      </w:pPr>
      <w:r w:rsidRPr="00B47891">
        <w:t>Correcties m.b.t. het saldo inzake oplaadpunten voor elektrische voertuigen initieel geplaatst in opdracht van de distributienetbeheerder: in de eerste 10 jaar (</w:t>
      </w:r>
      <w:r w:rsidRPr="00B47891">
        <w:rPr>
          <w:i/>
        </w:rPr>
        <w:t>j+10</w:t>
      </w:r>
      <w:r w:rsidRPr="00B47891">
        <w:t xml:space="preserve">) na de initiële installatie van de elektrische oplaadpunten in opdracht van de distributienetbeheerder in het jaar </w:t>
      </w:r>
      <w:r w:rsidRPr="00B47891">
        <w:rPr>
          <w:i/>
        </w:rPr>
        <w:t>j</w:t>
      </w:r>
      <w:r w:rsidRPr="00B47891">
        <w:t xml:space="preserve">, dient de distributienetbeheerder jaarlijks de betreffende kosten en opbrengsten te compenseren aan de hand van het jaarlijks saldo inzake oplaadpunten voor elektrische voertuigen en dit per jaar van initiële installatie. Verder dient de elektriciteitsdistributienetbeheerder hierbij een onderscheid te maken tussen oplaadpunten in zijn opdracht geïnstalleerd volgens art. 6.4.2 en deze volgens art. 6.4.3 van het Energiebesluit. Zoals eerder aangegeven dient de elektriciteitsdistributienetbeheerder conform de bepalingen in de bijlage 6 van de tariefmethodologie eveneens een detail op te leveren van het jaarlijks saldo inzake de oplaadpunten voor elektrische voertuigen en dit volgens het in de bijlage 6 opgenomen standaardformaat. Dit betekent dat het jaarlijks saldo dat in deze correctierubriek wordt gerapporteerd aldus moet overeen stemmen met het gerapporteerde saldo volgende het standaardformaat in bijlage 6. De kosten en opbrengsten ontstaan vanaf 1 januari van het jaar </w:t>
      </w:r>
      <w:r w:rsidRPr="00B47891">
        <w:rPr>
          <w:i/>
        </w:rPr>
        <w:t>j+11</w:t>
      </w:r>
      <w:r w:rsidRPr="00B47891">
        <w:t xml:space="preserve"> en verbonden aan de oplaadpunten, in opdracht van een distributienetbeheerder initieel geïnstalleerd in het jaar </w:t>
      </w:r>
      <w:r w:rsidRPr="00B47891">
        <w:rPr>
          <w:i/>
        </w:rPr>
        <w:t>j</w:t>
      </w:r>
      <w:r w:rsidRPr="00B47891">
        <w:t xml:space="preserve">, worden zonder compensatie van hun jaarlijks saldo opgenomen in de rapportering van de </w:t>
      </w:r>
      <w:r w:rsidR="009C120B" w:rsidRPr="00B47891">
        <w:t>endogene</w:t>
      </w:r>
      <w:r w:rsidRPr="00B47891">
        <w:t xml:space="preserve"> kosten.</w:t>
      </w:r>
    </w:p>
    <w:p w14:paraId="5C230076" w14:textId="18E94378" w:rsidR="000D47E5" w:rsidRPr="008E3797" w:rsidRDefault="00405926" w:rsidP="005D0A79">
      <w:pPr>
        <w:rPr>
          <w:rFonts w:ascii="Calibri" w:hAnsi="Calibri"/>
        </w:rPr>
      </w:pPr>
      <w:r w:rsidRPr="008E3797">
        <w:rPr>
          <w:rFonts w:ascii="Calibri" w:hAnsi="Calibri"/>
        </w:rPr>
        <w:t>In de tabel</w:t>
      </w:r>
      <w:r w:rsidR="000D47E5" w:rsidRPr="008E3797">
        <w:rPr>
          <w:rFonts w:ascii="Calibri" w:hAnsi="Calibri"/>
        </w:rPr>
        <w:t xml:space="preserve"> dienen voor de kosten (indien debetsaldo) positieve waarden worden opgegeven, tenzij in ‘kolom B’ anders wordt aangegeven. </w:t>
      </w:r>
    </w:p>
    <w:p w14:paraId="2B4960AB" w14:textId="301C7C67" w:rsidR="000D47E5" w:rsidRPr="007A0349" w:rsidRDefault="000D47E5" w:rsidP="005D0A79">
      <w:pPr>
        <w:rPr>
          <w:rFonts w:ascii="Calibri" w:hAnsi="Calibri"/>
        </w:rPr>
      </w:pPr>
      <w:r w:rsidRPr="008E3797">
        <w:rPr>
          <w:rFonts w:ascii="Calibri" w:hAnsi="Calibri"/>
        </w:rPr>
        <w:t xml:space="preserve">Verder dient uiteraard worden vermeden dat in de correctierubrieken bepaalde kosten meerdere malen worden gecorrigeerd. Daarom dient de distributienetbeheerder in een correctierubriek enkel een waarde op te nemen voor zover deze </w:t>
      </w:r>
      <w:r w:rsidR="008E3797" w:rsidRPr="008E3797">
        <w:rPr>
          <w:rFonts w:ascii="Calibri" w:hAnsi="Calibri"/>
        </w:rPr>
        <w:t xml:space="preserve">waarde </w:t>
      </w:r>
      <w:r w:rsidRPr="008E3797">
        <w:rPr>
          <w:rFonts w:ascii="Calibri" w:hAnsi="Calibri"/>
        </w:rPr>
        <w:t xml:space="preserve">niet wordt gecorrigeerd aan de hand van </w:t>
      </w:r>
      <w:r w:rsidRPr="007A0349">
        <w:rPr>
          <w:rFonts w:ascii="Calibri" w:hAnsi="Calibri"/>
        </w:rPr>
        <w:t>een andere correctierubriek in deze tabel.</w:t>
      </w:r>
    </w:p>
    <w:p w14:paraId="76A3C3C7" w14:textId="6DA1AA08" w:rsidR="000D47E5" w:rsidRPr="007A0349" w:rsidRDefault="000D47E5" w:rsidP="005D0A79">
      <w:pPr>
        <w:pStyle w:val="Kop4"/>
      </w:pPr>
      <w:bookmarkStart w:id="144" w:name="_Toc81512497"/>
      <w:bookmarkStart w:id="145" w:name="_Ref389575702"/>
      <w:r w:rsidRPr="007A0349">
        <w:t xml:space="preserve">TABEL </w:t>
      </w:r>
      <w:r w:rsidR="008E3797" w:rsidRPr="007A0349">
        <w:t>9</w:t>
      </w:r>
      <w:r w:rsidRPr="007A0349">
        <w:t>: Operationele opbrengsten</w:t>
      </w:r>
      <w:bookmarkEnd w:id="144"/>
      <w:r w:rsidRPr="007A0349">
        <w:t xml:space="preserve"> </w:t>
      </w:r>
      <w:bookmarkEnd w:id="145"/>
    </w:p>
    <w:p w14:paraId="5E17CDE2" w14:textId="27A1D707" w:rsidR="000D47E5" w:rsidRPr="007A0349" w:rsidRDefault="000D47E5" w:rsidP="005D0A79">
      <w:pPr>
        <w:rPr>
          <w:rFonts w:ascii="Calibri" w:hAnsi="Calibri"/>
        </w:rPr>
      </w:pPr>
      <w:r w:rsidRPr="007A0349">
        <w:rPr>
          <w:rFonts w:ascii="Calibri" w:hAnsi="Calibri"/>
        </w:rPr>
        <w:t xml:space="preserve">In ‘tabel </w:t>
      </w:r>
      <w:r w:rsidR="00F80860" w:rsidRPr="007A0349">
        <w:rPr>
          <w:rFonts w:ascii="Calibri" w:hAnsi="Calibri"/>
        </w:rPr>
        <w:t>9</w:t>
      </w:r>
      <w:r w:rsidRPr="007A0349">
        <w:rPr>
          <w:rFonts w:ascii="Calibri" w:hAnsi="Calibri"/>
        </w:rPr>
        <w:t xml:space="preserve">’ wordt </w:t>
      </w:r>
      <w:r w:rsidR="00995C11">
        <w:rPr>
          <w:rFonts w:ascii="Calibri" w:hAnsi="Calibri"/>
        </w:rPr>
        <w:t xml:space="preserve">voor de betreffende gereguleerde activiteit </w:t>
      </w:r>
      <w:r w:rsidRPr="007A0349">
        <w:rPr>
          <w:rFonts w:ascii="Calibri" w:hAnsi="Calibri"/>
        </w:rPr>
        <w:t>gestart met een overzicht van alle opbrengstenrekeningen in de resultatenrekening van de distributienetbeheerder voor boekjaar 20XX. Hierbij wordt eveneens een aansluiting gemaakt met de gerapporteerde waarden in ‘tabel 2’ van het rapporteringsmodel. Eventuele afwijkingen met ‘tabel 2’ dienen door de distributienetbeheerder in een afzonderlijke nota te worden opgegeven en verklaard.</w:t>
      </w:r>
    </w:p>
    <w:p w14:paraId="15C4D43A" w14:textId="7E7F9E87" w:rsidR="00172243" w:rsidRPr="007A0349" w:rsidRDefault="00F80860" w:rsidP="000139BD">
      <w:r w:rsidRPr="007A0349">
        <w:rPr>
          <w:rFonts w:ascii="Calibri" w:hAnsi="Calibri"/>
        </w:rPr>
        <w:lastRenderedPageBreak/>
        <w:t xml:space="preserve">Vervolgens worden alle correcties opgenomen teneinde tot de te beschouwen operationele opbrengsten te komen. Voor een volledig overzicht van de noodzakelijke correcties teneinde de operationele </w:t>
      </w:r>
      <w:r w:rsidR="00D36DB2" w:rsidRPr="007A0349">
        <w:rPr>
          <w:rFonts w:ascii="Calibri" w:hAnsi="Calibri"/>
        </w:rPr>
        <w:t>opbrengsten</w:t>
      </w:r>
      <w:r w:rsidRPr="007A0349">
        <w:rPr>
          <w:rFonts w:ascii="Calibri" w:hAnsi="Calibri"/>
        </w:rPr>
        <w:t xml:space="preserve"> samen te stellen, verwijzen we naar de bepalingen in paragraaf 5.3.3 van de hoofdtekst van de tariefmethodologie. </w:t>
      </w:r>
    </w:p>
    <w:p w14:paraId="4076D17D" w14:textId="1FC2B876" w:rsidR="000D47E5" w:rsidRPr="007A0349" w:rsidRDefault="000D47E5" w:rsidP="005D0A79">
      <w:pPr>
        <w:rPr>
          <w:rFonts w:ascii="Calibri" w:hAnsi="Calibri"/>
        </w:rPr>
      </w:pPr>
      <w:r w:rsidRPr="007A0349">
        <w:rPr>
          <w:rFonts w:ascii="Calibri" w:hAnsi="Calibri"/>
        </w:rPr>
        <w:t xml:space="preserve">Ter verduidelijking wenst de VREG op te merken dat er in deze tabel geen correctie is opgenomen m.b.t. de ‘aan een andere distributienetbeheerder (via doorvoer) aangerekende vergoeding voor het gebruik van het transmissienet’. Dit omwille van het feit dat de omzet uit deze aangerekende vergoeding reeds vervat is in de ‘omzet uit periodieke distributienettarieven’ dewelke op haar beurt, zoals eerder vermeld, niet in rekening wordt genomen ter bepaling van de operationele opbrengsten. </w:t>
      </w:r>
      <w:r w:rsidR="00CD18C6">
        <w:rPr>
          <w:rFonts w:ascii="Calibri" w:hAnsi="Calibri"/>
        </w:rPr>
        <w:t>Merk</w:t>
      </w:r>
      <w:r w:rsidRPr="007A0349">
        <w:rPr>
          <w:rFonts w:ascii="Calibri" w:hAnsi="Calibri"/>
        </w:rPr>
        <w:t xml:space="preserve"> op d</w:t>
      </w:r>
      <w:r w:rsidR="001E6EB9">
        <w:rPr>
          <w:rFonts w:ascii="Calibri" w:hAnsi="Calibri"/>
        </w:rPr>
        <w:t xml:space="preserve">at de omzet m.b.t. de federale bijdrage voor elektriciteit </w:t>
      </w:r>
      <w:r w:rsidR="00586623">
        <w:rPr>
          <w:rFonts w:ascii="Calibri" w:hAnsi="Calibri"/>
        </w:rPr>
        <w:t>niet in beschouwing van de operationele opbrengsten kan genomen worden</w:t>
      </w:r>
      <w:r w:rsidRPr="007A0349">
        <w:rPr>
          <w:rFonts w:ascii="Calibri" w:hAnsi="Calibri"/>
        </w:rPr>
        <w:t>.</w:t>
      </w:r>
    </w:p>
    <w:p w14:paraId="67D7BEDB" w14:textId="5C876202" w:rsidR="000D47E5" w:rsidRPr="009A6DB0" w:rsidRDefault="007A0349" w:rsidP="005D0A79">
      <w:pPr>
        <w:rPr>
          <w:rFonts w:ascii="Calibri" w:hAnsi="Calibri"/>
        </w:rPr>
      </w:pPr>
      <w:r w:rsidRPr="007A0349">
        <w:rPr>
          <w:rFonts w:ascii="Calibri" w:hAnsi="Calibri"/>
        </w:rPr>
        <w:t xml:space="preserve">In deze tabel </w:t>
      </w:r>
      <w:r w:rsidR="000D47E5" w:rsidRPr="007A0349">
        <w:rPr>
          <w:rFonts w:ascii="Calibri" w:hAnsi="Calibri"/>
        </w:rPr>
        <w:t xml:space="preserve">dienen voor de opbrengsten (indien creditsaldo) positieve waarden worden </w:t>
      </w:r>
      <w:r w:rsidR="000D47E5" w:rsidRPr="009A6DB0">
        <w:rPr>
          <w:rFonts w:ascii="Calibri" w:hAnsi="Calibri"/>
        </w:rPr>
        <w:t xml:space="preserve">opgegeven, tenzij in kolom B anders wordt aangegeven. </w:t>
      </w:r>
    </w:p>
    <w:p w14:paraId="54D91B0D" w14:textId="37550F89" w:rsidR="000D47E5" w:rsidRPr="009A6DB0" w:rsidRDefault="000D47E5" w:rsidP="005D0A79">
      <w:pPr>
        <w:rPr>
          <w:rFonts w:ascii="Calibri" w:hAnsi="Calibri"/>
        </w:rPr>
      </w:pPr>
      <w:r w:rsidRPr="009A6DB0">
        <w:rPr>
          <w:rFonts w:ascii="Calibri" w:hAnsi="Calibri"/>
        </w:rPr>
        <w:t xml:space="preserve">Verder dient uiteraard worden vermeden dat in de correctierubrieken bepaalde opbrengsten meerdere malen worden gecorrigeerd. Daarom dient de distributienetbeheerder in een correctierubriek enkel een waarde op te nemen voor zover deze </w:t>
      </w:r>
      <w:r w:rsidR="007A0349" w:rsidRPr="009A6DB0">
        <w:rPr>
          <w:rFonts w:ascii="Calibri" w:hAnsi="Calibri"/>
        </w:rPr>
        <w:t xml:space="preserve">waarde </w:t>
      </w:r>
      <w:r w:rsidRPr="009A6DB0">
        <w:rPr>
          <w:rFonts w:ascii="Calibri" w:hAnsi="Calibri"/>
        </w:rPr>
        <w:t>niet wordt gecorrigeerd aan de hand van een andere correctierubriek in deze tabel.</w:t>
      </w:r>
    </w:p>
    <w:p w14:paraId="567E1943" w14:textId="23C5BD90" w:rsidR="00FF288F" w:rsidRPr="009A6DB0" w:rsidRDefault="00FF288F" w:rsidP="00FF288F">
      <w:pPr>
        <w:pStyle w:val="Kop4"/>
      </w:pPr>
      <w:bookmarkStart w:id="146" w:name="_Toc81512498"/>
      <w:r w:rsidRPr="009A6DB0">
        <w:t>TABEL 10A: Over</w:t>
      </w:r>
      <w:r w:rsidR="0010292C" w:rsidRPr="009A6DB0">
        <w:t>zicht gefactureerde volumes voor het jaar 20XX - ELEKTRICITEIT</w:t>
      </w:r>
      <w:bookmarkEnd w:id="146"/>
      <w:r w:rsidRPr="009A6DB0">
        <w:t xml:space="preserve"> </w:t>
      </w:r>
    </w:p>
    <w:p w14:paraId="5541C060" w14:textId="19AED962" w:rsidR="00FF288F" w:rsidRDefault="009A6DB0" w:rsidP="00FF288F">
      <w:pPr>
        <w:rPr>
          <w:rFonts w:ascii="Calibri" w:hAnsi="Calibri"/>
        </w:rPr>
      </w:pPr>
      <w:r>
        <w:rPr>
          <w:rFonts w:ascii="Calibri" w:hAnsi="Calibri"/>
        </w:rPr>
        <w:t xml:space="preserve">In deze tabel rapporteert de distributienetbeheerder </w:t>
      </w:r>
      <w:r w:rsidR="00FE403E">
        <w:rPr>
          <w:rFonts w:ascii="Calibri" w:hAnsi="Calibri"/>
        </w:rPr>
        <w:t xml:space="preserve">per spanningsniveau </w:t>
      </w:r>
      <w:r w:rsidR="00770DC5">
        <w:rPr>
          <w:rFonts w:ascii="Calibri" w:hAnsi="Calibri"/>
        </w:rPr>
        <w:t>de gefactureerde volumes</w:t>
      </w:r>
      <w:r w:rsidR="006900EA">
        <w:rPr>
          <w:rFonts w:ascii="Calibri" w:hAnsi="Calibri"/>
        </w:rPr>
        <w:t xml:space="preserve"> </w:t>
      </w:r>
      <w:r w:rsidR="00770DC5">
        <w:rPr>
          <w:rFonts w:ascii="Calibri" w:hAnsi="Calibri"/>
        </w:rPr>
        <w:t xml:space="preserve">voor het jaar 20XX </w:t>
      </w:r>
      <w:r w:rsidR="00246C17">
        <w:rPr>
          <w:rFonts w:ascii="Calibri" w:hAnsi="Calibri"/>
        </w:rPr>
        <w:t>en</w:t>
      </w:r>
      <w:r w:rsidR="00F6642E">
        <w:rPr>
          <w:rFonts w:ascii="Calibri" w:hAnsi="Calibri"/>
        </w:rPr>
        <w:t xml:space="preserve"> dit zowel voor </w:t>
      </w:r>
      <w:r w:rsidR="00C4020C">
        <w:rPr>
          <w:rFonts w:ascii="Calibri" w:hAnsi="Calibri"/>
        </w:rPr>
        <w:t>afname als injectie</w:t>
      </w:r>
      <w:r w:rsidR="00DF7528">
        <w:rPr>
          <w:rFonts w:ascii="Calibri" w:hAnsi="Calibri"/>
        </w:rPr>
        <w:t xml:space="preserve">. Gezien de introductie van een nieuwe tariefstructuur vanaf 2022 </w:t>
      </w:r>
      <w:r w:rsidR="009E6FA7">
        <w:rPr>
          <w:rFonts w:ascii="Calibri" w:hAnsi="Calibri"/>
        </w:rPr>
        <w:t>worden voor 2021 enerzijds en de overige jaren van de reguleringsperiode anderzijds verschillende gegevens opgevraagd</w:t>
      </w:r>
      <w:r w:rsidR="00DD1737">
        <w:rPr>
          <w:rFonts w:ascii="Calibri" w:hAnsi="Calibri"/>
        </w:rPr>
        <w:t xml:space="preserve">, dewelke in afzonderlijke tabellen zijn vervat. </w:t>
      </w:r>
      <w:r w:rsidR="00501990">
        <w:rPr>
          <w:rFonts w:ascii="Calibri" w:hAnsi="Calibri"/>
        </w:rPr>
        <w:t xml:space="preserve">Voor een aantal tariefdragers worden echter niet de gefactureerde volumes maar wel de aantallen per 31 december van het betreffende jaar opgevraagd. </w:t>
      </w:r>
      <w:r w:rsidR="00140B93">
        <w:rPr>
          <w:rFonts w:ascii="Calibri" w:hAnsi="Calibri"/>
        </w:rPr>
        <w:t>Voor de betreffende tariefdragers wordt dit verduidelijkt in de tabel</w:t>
      </w:r>
      <w:r w:rsidR="00DD1737">
        <w:rPr>
          <w:rFonts w:ascii="Calibri" w:hAnsi="Calibri"/>
        </w:rPr>
        <w:t>len</w:t>
      </w:r>
      <w:r w:rsidR="00140B93">
        <w:rPr>
          <w:rFonts w:ascii="Calibri" w:hAnsi="Calibri"/>
        </w:rPr>
        <w:t>.</w:t>
      </w:r>
    </w:p>
    <w:p w14:paraId="550A3DE0" w14:textId="63648D09" w:rsidR="000A23A4" w:rsidRPr="009A6DB0" w:rsidRDefault="000A23A4" w:rsidP="00FF288F">
      <w:pPr>
        <w:rPr>
          <w:rFonts w:ascii="Calibri" w:hAnsi="Calibri"/>
        </w:rPr>
      </w:pPr>
      <w:r>
        <w:rPr>
          <w:rFonts w:ascii="Calibri" w:hAnsi="Calibri"/>
        </w:rPr>
        <w:t xml:space="preserve">Onderaan de tabel dient de distributienetbeheerder ook de door Elia aan de distributienetbeheerder gefactureerde volumes </w:t>
      </w:r>
      <w:r w:rsidR="0099065F">
        <w:rPr>
          <w:rFonts w:ascii="Calibri" w:hAnsi="Calibri"/>
        </w:rPr>
        <w:t>voor het betreffende jaar te rapporteren.</w:t>
      </w:r>
    </w:p>
    <w:p w14:paraId="488F4158" w14:textId="50A04641" w:rsidR="0010292C" w:rsidRPr="009A6DB0" w:rsidRDefault="0010292C" w:rsidP="0010292C">
      <w:pPr>
        <w:pStyle w:val="Kop4"/>
      </w:pPr>
      <w:bookmarkStart w:id="147" w:name="_Toc81512499"/>
      <w:r w:rsidRPr="009A6DB0">
        <w:t>TABEL 10B: Overzicht gefactureerde volumes voor het jaar 20XX - GAS</w:t>
      </w:r>
      <w:bookmarkEnd w:id="147"/>
      <w:r w:rsidRPr="009A6DB0">
        <w:t xml:space="preserve"> </w:t>
      </w:r>
    </w:p>
    <w:p w14:paraId="47FB7716" w14:textId="789C27C6" w:rsidR="0010292C" w:rsidRDefault="00F6642E" w:rsidP="00FF288F">
      <w:pPr>
        <w:rPr>
          <w:rFonts w:ascii="Calibri" w:hAnsi="Calibri"/>
        </w:rPr>
      </w:pPr>
      <w:r>
        <w:rPr>
          <w:rFonts w:ascii="Calibri" w:hAnsi="Calibri"/>
        </w:rPr>
        <w:t xml:space="preserve">In deze tabel rapporteert de distributienetbeheerder </w:t>
      </w:r>
      <w:r w:rsidR="00FE403E">
        <w:rPr>
          <w:rFonts w:ascii="Calibri" w:hAnsi="Calibri"/>
        </w:rPr>
        <w:t xml:space="preserve">per </w:t>
      </w:r>
      <w:r w:rsidR="00DD1737">
        <w:rPr>
          <w:rFonts w:ascii="Calibri" w:hAnsi="Calibri"/>
        </w:rPr>
        <w:t>klanten</w:t>
      </w:r>
      <w:r w:rsidR="00FE403E">
        <w:rPr>
          <w:rFonts w:ascii="Calibri" w:hAnsi="Calibri"/>
        </w:rPr>
        <w:t xml:space="preserve">categorie </w:t>
      </w:r>
      <w:r>
        <w:rPr>
          <w:rFonts w:ascii="Calibri" w:hAnsi="Calibri"/>
        </w:rPr>
        <w:t xml:space="preserve">de gefactureerde volumes voor het jaar 20XX </w:t>
      </w:r>
      <w:r w:rsidR="00246C17">
        <w:rPr>
          <w:rFonts w:ascii="Calibri" w:hAnsi="Calibri"/>
        </w:rPr>
        <w:t>en</w:t>
      </w:r>
      <w:r>
        <w:rPr>
          <w:rFonts w:ascii="Calibri" w:hAnsi="Calibri"/>
        </w:rPr>
        <w:t xml:space="preserve"> dit zowel voor </w:t>
      </w:r>
      <w:r w:rsidR="00FE403E">
        <w:rPr>
          <w:rFonts w:ascii="Calibri" w:hAnsi="Calibri"/>
        </w:rPr>
        <w:t>afname als injectie</w:t>
      </w:r>
      <w:r>
        <w:rPr>
          <w:rFonts w:ascii="Calibri" w:hAnsi="Calibri"/>
        </w:rPr>
        <w:t>. Voor een aantal tariefdragers worden echter niet de gefactureerde volumes maar wel de aantallen per 31 december van het betreffende jaar opgevraagd. Voor de betreffende tariefdragers wordt dit verduidelijkt in de tabe</w:t>
      </w:r>
      <w:r w:rsidR="005B0651">
        <w:rPr>
          <w:rFonts w:ascii="Calibri" w:hAnsi="Calibri"/>
        </w:rPr>
        <w:t>l.</w:t>
      </w:r>
    </w:p>
    <w:p w14:paraId="4DFFF6BB" w14:textId="1EC9AC57" w:rsidR="000D47E5" w:rsidRPr="00714FF6" w:rsidRDefault="000D47E5" w:rsidP="00714FF6">
      <w:pPr>
        <w:pStyle w:val="Kop1"/>
      </w:pPr>
      <w:bookmarkStart w:id="148" w:name="_Toc445469014"/>
      <w:bookmarkStart w:id="149" w:name="_Toc445469015"/>
      <w:bookmarkStart w:id="150" w:name="_Toc445469019"/>
      <w:bookmarkStart w:id="151" w:name="_Toc445469022"/>
      <w:bookmarkStart w:id="152" w:name="_Toc445469024"/>
      <w:bookmarkStart w:id="153" w:name="_Toc445469027"/>
      <w:bookmarkStart w:id="154" w:name="_Toc445469028"/>
      <w:bookmarkStart w:id="155" w:name="_Toc445469029"/>
      <w:bookmarkStart w:id="156" w:name="_Toc420934511"/>
      <w:bookmarkStart w:id="157" w:name="_Ref443055075"/>
      <w:bookmarkStart w:id="158" w:name="_Toc81512500"/>
      <w:bookmarkStart w:id="159" w:name="_Toc450038585"/>
      <w:bookmarkEnd w:id="148"/>
      <w:bookmarkEnd w:id="149"/>
      <w:bookmarkEnd w:id="150"/>
      <w:bookmarkEnd w:id="151"/>
      <w:bookmarkEnd w:id="152"/>
      <w:bookmarkEnd w:id="153"/>
      <w:bookmarkEnd w:id="154"/>
      <w:bookmarkEnd w:id="155"/>
      <w:r w:rsidRPr="00714FF6">
        <w:t>Invulinstructie tariefvoorstel periodieke distributienettarieven</w:t>
      </w:r>
      <w:bookmarkEnd w:id="156"/>
      <w:bookmarkEnd w:id="157"/>
      <w:bookmarkEnd w:id="158"/>
      <w:r w:rsidRPr="00714FF6">
        <w:t xml:space="preserve"> </w:t>
      </w:r>
      <w:bookmarkEnd w:id="159"/>
    </w:p>
    <w:p w14:paraId="012277D7" w14:textId="3B723DCF" w:rsidR="001F238C" w:rsidRDefault="001F238C" w:rsidP="001F238C">
      <w:pPr>
        <w:pStyle w:val="Kop2"/>
      </w:pPr>
      <w:bookmarkStart w:id="160" w:name="_Toc42926182"/>
      <w:bookmarkStart w:id="161" w:name="_Toc81512501"/>
      <w:r>
        <w:lastRenderedPageBreak/>
        <w:t>Invulinstructies Bijlage 7A: Tariefvoorstel periodieke distributienettarieven 2021</w:t>
      </w:r>
      <w:bookmarkEnd w:id="160"/>
      <w:r w:rsidR="003E2634">
        <w:t xml:space="preserve"> [en 2022H1]</w:t>
      </w:r>
      <w:r w:rsidR="003E2634">
        <w:rPr>
          <w:rStyle w:val="Voetnootmarkering"/>
        </w:rPr>
        <w:footnoteReference w:id="26"/>
      </w:r>
      <w:bookmarkEnd w:id="161"/>
    </w:p>
    <w:p w14:paraId="225C16EC" w14:textId="509F3897" w:rsidR="001F238C" w:rsidRDefault="001F238C" w:rsidP="001F238C">
      <w:r w:rsidRPr="00635FA3">
        <w:t>Dit rapporteringsmodel heeft als doel om de distributienetbeheerder op gestandaardiseerde wijze aan de VREG te laten rapporteren over het tariefvoorstel dat de distributienetbeheerder op basis van het door de VREG toegelaten inkomen voor de gereguleerde activiteiten '</w:t>
      </w:r>
      <w:r w:rsidR="00992AB4">
        <w:t>e</w:t>
      </w:r>
      <w:r w:rsidRPr="00635FA3">
        <w:t>lektriciteit' en '</w:t>
      </w:r>
      <w:r w:rsidR="00992AB4">
        <w:t>a</w:t>
      </w:r>
      <w:r w:rsidRPr="00635FA3">
        <w:t>ardgas' opmaakte.</w:t>
      </w:r>
    </w:p>
    <w:p w14:paraId="41E82ED5" w14:textId="77777777" w:rsidR="001F238C" w:rsidRDefault="001F238C" w:rsidP="001F238C">
      <w:r w:rsidRPr="00635FA3">
        <w:t>Dit rapporteringsmodel omvat enkele tabellen en bijkomend aan te leveren informatie die de vertaling van het toegelaten inkomen naar de periodieke distributienettarieven stapsgewijs en op een overzichtelijk manier weergeven.</w:t>
      </w:r>
    </w:p>
    <w:p w14:paraId="03597138" w14:textId="77777777" w:rsidR="001F238C" w:rsidRDefault="001F238C" w:rsidP="001F238C">
      <w:r>
        <w:t>Het rapporteringsmodel bestaat meer bepaald uit een Excel-bestand met de volgende werkbladen:</w:t>
      </w:r>
    </w:p>
    <w:p w14:paraId="1959263F" w14:textId="77777777" w:rsidR="001F238C" w:rsidRDefault="001F238C" w:rsidP="001F238C">
      <w:pPr>
        <w:pStyle w:val="Lijstalinea"/>
        <w:numPr>
          <w:ilvl w:val="0"/>
          <w:numId w:val="38"/>
        </w:numPr>
        <w:spacing w:before="0" w:after="160" w:line="259" w:lineRule="auto"/>
      </w:pPr>
      <w:r>
        <w:t>TITELBLAD</w:t>
      </w:r>
    </w:p>
    <w:p w14:paraId="0C1CFB82" w14:textId="226FB348" w:rsidR="001F238C" w:rsidRDefault="001F238C" w:rsidP="001F238C">
      <w:pPr>
        <w:pStyle w:val="Lijstalinea"/>
        <w:numPr>
          <w:ilvl w:val="0"/>
          <w:numId w:val="38"/>
        </w:numPr>
        <w:spacing w:before="0" w:after="160" w:line="259" w:lineRule="auto"/>
      </w:pPr>
      <w:r>
        <w:t xml:space="preserve">TABEL 1: Overzicht door de VREG toegelaten inkomen voor gereguleerde activiteiten ‘elektriciteit’ en ‘gas’ voor boekjaar </w:t>
      </w:r>
      <w:r w:rsidR="00D9077E">
        <w:t>[</w:t>
      </w:r>
      <w:r>
        <w:t>20</w:t>
      </w:r>
      <w:r w:rsidR="005D14FA">
        <w:t>XX</w:t>
      </w:r>
      <w:r w:rsidR="00D9077E">
        <w:t>]</w:t>
      </w:r>
      <w:r w:rsidR="005D14FA">
        <w:rPr>
          <w:rStyle w:val="Voetnootmarkering"/>
        </w:rPr>
        <w:footnoteReference w:id="27"/>
      </w:r>
    </w:p>
    <w:p w14:paraId="4EE95BAE" w14:textId="77777777" w:rsidR="001F238C" w:rsidRDefault="001F238C" w:rsidP="001F238C">
      <w:pPr>
        <w:pStyle w:val="Lijstalinea"/>
        <w:numPr>
          <w:ilvl w:val="0"/>
          <w:numId w:val="38"/>
        </w:numPr>
        <w:spacing w:before="0" w:after="160" w:line="259" w:lineRule="auto"/>
      </w:pPr>
      <w:r>
        <w:t>TABEL 2: Opdeling gebudgetteerd inkomen voor gereguleerde activiteit ‘elektriciteit’ volgens tariefcomponenten</w:t>
      </w:r>
    </w:p>
    <w:p w14:paraId="696EF78D" w14:textId="77777777" w:rsidR="001F238C" w:rsidRDefault="001F238C" w:rsidP="001F238C">
      <w:pPr>
        <w:pStyle w:val="Lijstalinea"/>
        <w:numPr>
          <w:ilvl w:val="0"/>
          <w:numId w:val="38"/>
        </w:numPr>
        <w:spacing w:before="0" w:after="160" w:line="259" w:lineRule="auto"/>
      </w:pPr>
      <w:r>
        <w:t>TABEL 3: Opdeling gebudgetteerd inkomen voor gereguleerde activiteit ‘elektriciteit’ volgens energierichting, spanningsniveau en klantengroep</w:t>
      </w:r>
    </w:p>
    <w:p w14:paraId="611BD827" w14:textId="323D8A41" w:rsidR="001F238C" w:rsidRDefault="001F238C" w:rsidP="001F238C">
      <w:pPr>
        <w:pStyle w:val="Lijstalinea"/>
        <w:numPr>
          <w:ilvl w:val="0"/>
          <w:numId w:val="38"/>
        </w:numPr>
        <w:spacing w:before="0" w:after="160" w:line="259" w:lineRule="auto"/>
      </w:pPr>
      <w:r>
        <w:t xml:space="preserve">TABEL 4: Naam distributienetbeheerder – ELEKTRICITEIT – Tarieflijst </w:t>
      </w:r>
      <w:r w:rsidR="009F709A">
        <w:t xml:space="preserve">periodieke </w:t>
      </w:r>
      <w:r>
        <w:t xml:space="preserve">distributienettarieven </w:t>
      </w:r>
      <w:r w:rsidR="00D9077E">
        <w:t>[</w:t>
      </w:r>
      <w:r>
        <w:t>20</w:t>
      </w:r>
      <w:r w:rsidR="003C6903">
        <w:t>XX</w:t>
      </w:r>
      <w:r w:rsidR="00D9077E">
        <w:t>]</w:t>
      </w:r>
      <w:r w:rsidR="00D9077E" w:rsidRPr="00D9077E">
        <w:rPr>
          <w:rStyle w:val="Voetnootmarkering"/>
        </w:rPr>
        <w:t xml:space="preserve"> </w:t>
      </w:r>
      <w:r w:rsidR="00D9077E">
        <w:rPr>
          <w:rStyle w:val="Voetnootmarkering"/>
        </w:rPr>
        <w:footnoteReference w:id="28"/>
      </w:r>
      <w:r>
        <w:t xml:space="preserve"> – Afname</w:t>
      </w:r>
    </w:p>
    <w:p w14:paraId="04403AA5" w14:textId="3789FDA5" w:rsidR="001F238C" w:rsidRDefault="001F238C" w:rsidP="001F238C">
      <w:pPr>
        <w:pStyle w:val="Lijstalinea"/>
        <w:numPr>
          <w:ilvl w:val="0"/>
          <w:numId w:val="38"/>
        </w:numPr>
        <w:spacing w:before="0" w:after="160" w:line="259" w:lineRule="auto"/>
      </w:pPr>
      <w:r>
        <w:t xml:space="preserve">TABEL 5: Reconciliatie van het gebudgetteerd inkomen voor de gereguleerde activiteit ‘elektriciteit’ met de geraamde omzet voor de periodieke </w:t>
      </w:r>
      <w:r w:rsidR="001D67EB">
        <w:t>distributienet</w:t>
      </w:r>
      <w:r>
        <w:t>tarieven (afname)</w:t>
      </w:r>
    </w:p>
    <w:p w14:paraId="2F1683B0" w14:textId="7DEDA2D2" w:rsidR="001F238C" w:rsidRDefault="001F238C" w:rsidP="001F238C">
      <w:pPr>
        <w:pStyle w:val="Lijstalinea"/>
        <w:numPr>
          <w:ilvl w:val="0"/>
          <w:numId w:val="38"/>
        </w:numPr>
        <w:spacing w:before="0" w:after="160" w:line="259" w:lineRule="auto"/>
      </w:pPr>
      <w:r>
        <w:t>TABEL 6A: Naam distributienetbeheerder – ELEKTRICITEIT – Tarieflijst transmissie</w:t>
      </w:r>
      <w:r w:rsidR="001D67EB">
        <w:t>kosten</w:t>
      </w:r>
      <w:r>
        <w:t xml:space="preserve"> voor </w:t>
      </w:r>
      <w:r w:rsidR="00D9077E">
        <w:t>[</w:t>
      </w:r>
      <w:r>
        <w:t>20</w:t>
      </w:r>
      <w:r w:rsidR="003C6903">
        <w:t>XX</w:t>
      </w:r>
      <w:r w:rsidR="00D9077E">
        <w:t>]</w:t>
      </w:r>
      <w:r w:rsidR="00D9077E" w:rsidRPr="00D9077E">
        <w:rPr>
          <w:rStyle w:val="Voetnootmarkering"/>
        </w:rPr>
        <w:t xml:space="preserve"> </w:t>
      </w:r>
      <w:r w:rsidR="00D9077E">
        <w:rPr>
          <w:rStyle w:val="Voetnootmarkering"/>
        </w:rPr>
        <w:footnoteReference w:id="29"/>
      </w:r>
    </w:p>
    <w:p w14:paraId="0DC6D62D" w14:textId="208C4FDF" w:rsidR="001F238C" w:rsidRDefault="001F238C" w:rsidP="001F238C">
      <w:pPr>
        <w:pStyle w:val="Lijstalinea"/>
        <w:numPr>
          <w:ilvl w:val="0"/>
          <w:numId w:val="38"/>
        </w:numPr>
        <w:spacing w:before="0" w:after="160" w:line="259" w:lineRule="auto"/>
      </w:pPr>
      <w:r>
        <w:t>TABEL 6B: Aansluiting transmissienettarieven Elia en de door de DNB doorgerekende transmissie</w:t>
      </w:r>
      <w:r w:rsidR="001D67EB">
        <w:t>kosten</w:t>
      </w:r>
      <w:r>
        <w:t xml:space="preserve"> voor </w:t>
      </w:r>
      <w:r w:rsidR="00D9077E">
        <w:t>[</w:t>
      </w:r>
      <w:r>
        <w:t>20</w:t>
      </w:r>
      <w:r w:rsidR="005D14FA">
        <w:t>XX</w:t>
      </w:r>
      <w:r w:rsidR="00D9077E">
        <w:t>]</w:t>
      </w:r>
      <w:r w:rsidR="00D9077E" w:rsidRPr="00D9077E">
        <w:rPr>
          <w:rStyle w:val="Voetnootmarkering"/>
        </w:rPr>
        <w:t xml:space="preserve"> </w:t>
      </w:r>
      <w:r w:rsidR="00D9077E">
        <w:rPr>
          <w:rStyle w:val="Voetnootmarkering"/>
        </w:rPr>
        <w:footnoteReference w:id="30"/>
      </w:r>
    </w:p>
    <w:p w14:paraId="20132AA8" w14:textId="77777777" w:rsidR="001F238C" w:rsidRDefault="001F238C" w:rsidP="001F238C">
      <w:pPr>
        <w:pStyle w:val="Lijstalinea"/>
        <w:numPr>
          <w:ilvl w:val="0"/>
          <w:numId w:val="38"/>
        </w:numPr>
        <w:spacing w:before="0" w:after="160" w:line="259" w:lineRule="auto"/>
      </w:pPr>
      <w:r>
        <w:t>TABEL 6C: Bepaling tarieven voor het ‘beheer en de ontwikkeling van de netwerkinfrastructuur’</w:t>
      </w:r>
    </w:p>
    <w:p w14:paraId="1A582C40" w14:textId="41E0E1F9" w:rsidR="001F238C" w:rsidRDefault="001F238C" w:rsidP="001F238C">
      <w:pPr>
        <w:pStyle w:val="Lijstalinea"/>
        <w:numPr>
          <w:ilvl w:val="0"/>
          <w:numId w:val="38"/>
        </w:numPr>
        <w:spacing w:before="0" w:after="160" w:line="259" w:lineRule="auto"/>
      </w:pPr>
      <w:r>
        <w:t xml:space="preserve">TABEL 7: Naam distributienetbeheerder – ELEKTRICITEIT – Tarieflijst </w:t>
      </w:r>
      <w:r w:rsidR="009F709A">
        <w:t xml:space="preserve">periodieke </w:t>
      </w:r>
      <w:r>
        <w:t xml:space="preserve">distributienettarieven </w:t>
      </w:r>
      <w:r w:rsidR="00D9077E">
        <w:t>[</w:t>
      </w:r>
      <w:r>
        <w:t>20</w:t>
      </w:r>
      <w:r w:rsidR="005D14FA">
        <w:t>XX</w:t>
      </w:r>
      <w:r w:rsidR="00D9077E">
        <w:t>]</w:t>
      </w:r>
      <w:r w:rsidR="00D9077E" w:rsidRPr="00D9077E">
        <w:rPr>
          <w:rStyle w:val="Voetnootmarkering"/>
        </w:rPr>
        <w:t xml:space="preserve"> </w:t>
      </w:r>
      <w:r w:rsidR="00D9077E">
        <w:rPr>
          <w:rStyle w:val="Voetnootmarkering"/>
        </w:rPr>
        <w:footnoteReference w:id="31"/>
      </w:r>
      <w:r>
        <w:t xml:space="preserve"> – Injectie</w:t>
      </w:r>
    </w:p>
    <w:p w14:paraId="43A65616" w14:textId="377BE239" w:rsidR="001F238C" w:rsidRDefault="001F238C" w:rsidP="001F238C">
      <w:pPr>
        <w:pStyle w:val="Lijstalinea"/>
        <w:numPr>
          <w:ilvl w:val="0"/>
          <w:numId w:val="38"/>
        </w:numPr>
        <w:spacing w:before="0" w:after="160" w:line="259" w:lineRule="auto"/>
      </w:pPr>
      <w:r>
        <w:t xml:space="preserve">TABEL 8: Reconciliatie van het gebudgetteerde inkomen voor de gereguleerde activiteit ‘elektriciteit’ met de geraamde omzet voor de periodieke </w:t>
      </w:r>
      <w:r w:rsidR="00B86D88">
        <w:t>distributienet</w:t>
      </w:r>
      <w:r>
        <w:t>tarieven (injectie)</w:t>
      </w:r>
    </w:p>
    <w:p w14:paraId="5F4164BB" w14:textId="77777777" w:rsidR="001F238C" w:rsidRDefault="001F238C" w:rsidP="001F238C">
      <w:pPr>
        <w:pStyle w:val="Lijstalinea"/>
        <w:numPr>
          <w:ilvl w:val="0"/>
          <w:numId w:val="38"/>
        </w:numPr>
        <w:spacing w:before="0" w:after="160" w:line="259" w:lineRule="auto"/>
      </w:pPr>
      <w:r>
        <w:t>TABEL 9: Budget per tariefcomponenten voor gereguleerde activiteit ‘aardgas’</w:t>
      </w:r>
    </w:p>
    <w:p w14:paraId="6AC2327F" w14:textId="77777777" w:rsidR="001F238C" w:rsidRDefault="001F238C" w:rsidP="001F238C">
      <w:pPr>
        <w:pStyle w:val="Lijstalinea"/>
        <w:numPr>
          <w:ilvl w:val="0"/>
          <w:numId w:val="38"/>
        </w:numPr>
        <w:spacing w:before="0" w:after="160" w:line="259" w:lineRule="auto"/>
      </w:pPr>
      <w:r>
        <w:t>TABEL 10: Budget per energierichting en klantengroep voor gereguleerde activiteit ‘aardgas’</w:t>
      </w:r>
    </w:p>
    <w:p w14:paraId="371826CD" w14:textId="6B49DDA1" w:rsidR="001F238C" w:rsidRDefault="001F238C" w:rsidP="001F238C">
      <w:pPr>
        <w:pStyle w:val="Lijstalinea"/>
        <w:numPr>
          <w:ilvl w:val="0"/>
          <w:numId w:val="38"/>
        </w:numPr>
        <w:spacing w:before="0" w:after="160" w:line="259" w:lineRule="auto"/>
      </w:pPr>
      <w:r>
        <w:t xml:space="preserve">TABEL 11A: Naam distributienetbeheerder – AARDGAS – Tarieflijst periodieke distributienettarieven </w:t>
      </w:r>
      <w:r w:rsidR="00D9077E">
        <w:t>[</w:t>
      </w:r>
      <w:r>
        <w:t>20</w:t>
      </w:r>
      <w:r w:rsidR="005D14FA">
        <w:t>XX</w:t>
      </w:r>
      <w:r w:rsidR="00D9077E">
        <w:t>]</w:t>
      </w:r>
      <w:r w:rsidR="00D9077E" w:rsidRPr="00D9077E">
        <w:rPr>
          <w:rStyle w:val="Voetnootmarkering"/>
        </w:rPr>
        <w:t xml:space="preserve"> </w:t>
      </w:r>
      <w:r w:rsidR="00D9077E">
        <w:rPr>
          <w:rStyle w:val="Voetnootmarkering"/>
        </w:rPr>
        <w:footnoteReference w:id="32"/>
      </w:r>
      <w:r>
        <w:t xml:space="preserve"> – Afname</w:t>
      </w:r>
    </w:p>
    <w:p w14:paraId="34955932" w14:textId="0BC850F8" w:rsidR="001F238C" w:rsidRDefault="001F238C" w:rsidP="001F238C">
      <w:pPr>
        <w:pStyle w:val="Lijstalinea"/>
        <w:numPr>
          <w:ilvl w:val="0"/>
          <w:numId w:val="38"/>
        </w:numPr>
        <w:spacing w:before="0" w:after="160" w:line="259" w:lineRule="auto"/>
      </w:pPr>
      <w:r>
        <w:lastRenderedPageBreak/>
        <w:t xml:space="preserve">TABEL 11B: Naam distributienetbeheerder – AARDGAS – Tarieflijst periodieke distributienettarieven </w:t>
      </w:r>
      <w:r w:rsidR="00D9077E">
        <w:t>[</w:t>
      </w:r>
      <w:r>
        <w:t>20</w:t>
      </w:r>
      <w:r w:rsidR="005D14FA">
        <w:t>XX</w:t>
      </w:r>
      <w:r w:rsidR="00D9077E">
        <w:t>]</w:t>
      </w:r>
      <w:r w:rsidR="00D9077E" w:rsidRPr="00D9077E">
        <w:rPr>
          <w:rStyle w:val="Voetnootmarkering"/>
        </w:rPr>
        <w:t xml:space="preserve"> </w:t>
      </w:r>
      <w:r w:rsidR="00D9077E">
        <w:rPr>
          <w:rStyle w:val="Voetnootmarkering"/>
        </w:rPr>
        <w:footnoteReference w:id="33"/>
      </w:r>
      <w:r>
        <w:t xml:space="preserve"> – Injectie</w:t>
      </w:r>
    </w:p>
    <w:p w14:paraId="608B9B05" w14:textId="77777777" w:rsidR="001F238C" w:rsidRDefault="001F238C" w:rsidP="001F238C">
      <w:pPr>
        <w:pStyle w:val="Lijstalinea"/>
        <w:numPr>
          <w:ilvl w:val="0"/>
          <w:numId w:val="38"/>
        </w:numPr>
        <w:spacing w:before="0" w:after="160" w:line="259" w:lineRule="auto"/>
      </w:pPr>
      <w:r>
        <w:t>TABEL 12: Rekenvolumes en reconciliatie van budget voor gereguleerde activiteit ‘aardgas’</w:t>
      </w:r>
    </w:p>
    <w:p w14:paraId="66C6F012" w14:textId="77777777" w:rsidR="001F238C" w:rsidRDefault="001F238C" w:rsidP="001F238C">
      <w:r>
        <w:t>Het Excel-bestand is voorzien van een aantal automatisch berekende waarden teneinde de verwerking van het rapporteringsmodel, zowel voor de distributienetbeheerder als voor de VREG, efficiënt te laten verlopen. Deze waarden werden door de VREG beveiligd.</w:t>
      </w:r>
    </w:p>
    <w:p w14:paraId="78F4D9E6" w14:textId="77777777" w:rsidR="001F238C" w:rsidRDefault="001F238C" w:rsidP="001F238C">
      <w:r>
        <w:t>Het rapporteringsmodel dient door de distributienetbeheerder in één afgedrukt exemplaar te worden opgeleverd, alsook onder elektronische vorm (Excel-formaat). In de elektronische vorm zijn geen verwijzingen naar externe bestanden (koppelingen) toegelaten.</w:t>
      </w:r>
    </w:p>
    <w:p w14:paraId="645833F4" w14:textId="7BD5D98B" w:rsidR="001F238C" w:rsidRDefault="001F238C" w:rsidP="001F238C">
      <w:r>
        <w:t xml:space="preserve">De wijze waarop het rapporteringsmodel dient te worden ingevuld, is beschreven in paragraaf </w:t>
      </w:r>
      <w:r w:rsidR="00BB5F03">
        <w:fldChar w:fldCharType="begin"/>
      </w:r>
      <w:r w:rsidR="00BB5F03">
        <w:instrText xml:space="preserve"> REF _Ref45801141 \r \h </w:instrText>
      </w:r>
      <w:r w:rsidR="00BB5F03">
        <w:fldChar w:fldCharType="separate"/>
      </w:r>
      <w:r w:rsidR="00964FA9">
        <w:t>2.1.1</w:t>
      </w:r>
      <w:r w:rsidR="00BB5F03">
        <w:fldChar w:fldCharType="end"/>
      </w:r>
      <w:r>
        <w:t xml:space="preserve"> van deze instructie.</w:t>
      </w:r>
    </w:p>
    <w:p w14:paraId="26CE0AF5" w14:textId="77777777" w:rsidR="001F238C" w:rsidRDefault="001F238C" w:rsidP="001F238C">
      <w:pPr>
        <w:pStyle w:val="Kop3"/>
      </w:pPr>
      <w:bookmarkStart w:id="162" w:name="_Toc42926183"/>
      <w:bookmarkStart w:id="163" w:name="_Ref45801141"/>
      <w:bookmarkStart w:id="164" w:name="_Toc81512502"/>
      <w:r>
        <w:t>Algemene invulinstructies</w:t>
      </w:r>
      <w:bookmarkEnd w:id="162"/>
      <w:bookmarkEnd w:id="163"/>
      <w:bookmarkEnd w:id="164"/>
    </w:p>
    <w:p w14:paraId="49872162" w14:textId="77777777" w:rsidR="001F238C" w:rsidRDefault="001F238C" w:rsidP="001F238C">
      <w:r>
        <w:t>De opmaak van de werkbladen en de in het model aangebrachte formules en verwijzingen mogen niet worden verwijderd of gewijzigd. Alleen de geel gekleurde cellen kunnen door de distributienetbeheerder worden ingevuld. De witte, paarse en gearceerde cellen mogen niet worden ingevuld of gewijzigd. Om die reden werden alle niet-geel gemarkeerde cellen beveiligd.</w:t>
      </w:r>
    </w:p>
    <w:p w14:paraId="60189846" w14:textId="77777777" w:rsidR="001F238C" w:rsidRDefault="001F238C" w:rsidP="001F238C">
      <w:r w:rsidRPr="00554F4E">
        <w:rPr>
          <w:noProof/>
        </w:rPr>
        <w:drawing>
          <wp:inline distT="0" distB="0" distL="0" distR="0" wp14:anchorId="31D439D2" wp14:editId="35BB0AA7">
            <wp:extent cx="5760720" cy="1158240"/>
            <wp:effectExtent l="0" t="0" r="0" b="381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1158240"/>
                    </a:xfrm>
                    <a:prstGeom prst="rect">
                      <a:avLst/>
                    </a:prstGeom>
                    <a:noFill/>
                    <a:ln>
                      <a:noFill/>
                    </a:ln>
                  </pic:spPr>
                </pic:pic>
              </a:graphicData>
            </a:graphic>
          </wp:inline>
        </w:drawing>
      </w:r>
    </w:p>
    <w:p w14:paraId="2A968FF2" w14:textId="77777777" w:rsidR="001F238C" w:rsidRDefault="001F238C" w:rsidP="001F238C">
      <w:r>
        <w:t>Het toevoegen van opmerkingen bij de gerapporteerde gegevens is uitsluitend toegestaan onder de vorm van een afzonderlijke, verklarende nota die aan het rapporteringsmodel wordt toegevoegd. Indien de verklarende nota verwijzingen naar gerapporteerde waarden bevat, verzoekt de VREG om duidelijk aan te geven naar welke cellen wordt gerefereerd.</w:t>
      </w:r>
    </w:p>
    <w:p w14:paraId="6D1CFA92" w14:textId="77777777" w:rsidR="001F238C" w:rsidRDefault="001F238C" w:rsidP="001F238C">
      <w:r>
        <w:t>In de volgende paragrafen worden de invulinstructies verder gedetailleerd en dit voor elke tabel afzonderlijk. Op die manier tracht de VREG het referentiekader op een zo volledig mogelijke manier te omschrijven.</w:t>
      </w:r>
    </w:p>
    <w:p w14:paraId="3A99C1EC" w14:textId="29752324" w:rsidR="001F238C" w:rsidRDefault="001F238C" w:rsidP="001F238C">
      <w:r>
        <w:t>Indien u nadere vragen heeft over de wijze waarop dit model dient te worden ingevuld, kunt u contact opnemen met de volgende contactpersonen:</w:t>
      </w:r>
      <w:r w:rsidR="008E4253">
        <w:br/>
      </w:r>
    </w:p>
    <w:p w14:paraId="37B15B18" w14:textId="0DD1D52D" w:rsidR="001F238C" w:rsidRDefault="001F238C" w:rsidP="001F238C">
      <w:pPr>
        <w:pStyle w:val="Lijstalinea"/>
        <w:numPr>
          <w:ilvl w:val="0"/>
          <w:numId w:val="31"/>
        </w:numPr>
        <w:spacing w:before="0" w:after="160" w:line="259" w:lineRule="auto"/>
      </w:pPr>
      <w:r>
        <w:t>Bert Stockman</w:t>
      </w:r>
      <w:r>
        <w:tab/>
      </w:r>
      <w:hyperlink r:id="rId22" w:history="1">
        <w:r w:rsidRPr="004A4B5A">
          <w:rPr>
            <w:rStyle w:val="Hyperlink"/>
          </w:rPr>
          <w:t>bert.stockman@vreg.be</w:t>
        </w:r>
      </w:hyperlink>
    </w:p>
    <w:p w14:paraId="2A0071D3" w14:textId="77777777" w:rsidR="001F238C" w:rsidRDefault="001F238C" w:rsidP="001F238C">
      <w:pPr>
        <w:pStyle w:val="Lijstalinea"/>
        <w:numPr>
          <w:ilvl w:val="0"/>
          <w:numId w:val="31"/>
        </w:numPr>
        <w:spacing w:before="0" w:after="160" w:line="259" w:lineRule="auto"/>
      </w:pPr>
      <w:r>
        <w:t>Jonas De Smit</w:t>
      </w:r>
      <w:r>
        <w:tab/>
      </w:r>
      <w:r>
        <w:tab/>
      </w:r>
      <w:hyperlink r:id="rId23" w:history="1">
        <w:r w:rsidRPr="004A4B5A">
          <w:rPr>
            <w:rStyle w:val="Hyperlink"/>
          </w:rPr>
          <w:t>jonas.desmit@vreg.be</w:t>
        </w:r>
      </w:hyperlink>
    </w:p>
    <w:p w14:paraId="2ECEFC1D" w14:textId="0DE20FAC" w:rsidR="001F238C" w:rsidRPr="008E4253" w:rsidRDefault="001F238C" w:rsidP="001F238C">
      <w:pPr>
        <w:pStyle w:val="Lijstalinea"/>
        <w:numPr>
          <w:ilvl w:val="0"/>
          <w:numId w:val="31"/>
        </w:numPr>
        <w:spacing w:before="0" w:after="160" w:line="259" w:lineRule="auto"/>
        <w:rPr>
          <w:lang w:val="en-US"/>
        </w:rPr>
      </w:pPr>
      <w:r w:rsidRPr="008E4253">
        <w:rPr>
          <w:lang w:val="en-US"/>
        </w:rPr>
        <w:t>Marc Michiels</w:t>
      </w:r>
      <w:r w:rsidRPr="008E4253">
        <w:rPr>
          <w:lang w:val="en-US"/>
        </w:rPr>
        <w:tab/>
      </w:r>
      <w:r w:rsidRPr="008E4253">
        <w:rPr>
          <w:lang w:val="en-US"/>
        </w:rPr>
        <w:tab/>
      </w:r>
      <w:hyperlink r:id="rId24" w:history="1">
        <w:r w:rsidRPr="008E4253">
          <w:rPr>
            <w:rStyle w:val="Hyperlink"/>
            <w:lang w:val="en-US"/>
          </w:rPr>
          <w:t>marc.michiels@vreg.be</w:t>
        </w:r>
      </w:hyperlink>
      <w:r w:rsidR="008E4253">
        <w:rPr>
          <w:rStyle w:val="Hyperlink"/>
          <w:lang w:val="en-US"/>
        </w:rPr>
        <w:br/>
      </w:r>
    </w:p>
    <w:p w14:paraId="55AAB0E3" w14:textId="77777777" w:rsidR="001F238C" w:rsidRDefault="001F238C" w:rsidP="001F238C">
      <w:pPr>
        <w:pStyle w:val="Kop4"/>
      </w:pPr>
      <w:bookmarkStart w:id="165" w:name="_Toc42926184"/>
      <w:bookmarkStart w:id="166" w:name="_Toc81512503"/>
      <w:r>
        <w:lastRenderedPageBreak/>
        <w:t>TITELBLAD</w:t>
      </w:r>
      <w:bookmarkEnd w:id="165"/>
      <w:bookmarkEnd w:id="166"/>
    </w:p>
    <w:p w14:paraId="1050D1D4" w14:textId="77777777" w:rsidR="001F238C" w:rsidRDefault="001F238C" w:rsidP="001F238C">
      <w:r>
        <w:t>In het titelblad dient de distributienetbeheerder de volgende velden in te vullen:</w:t>
      </w:r>
    </w:p>
    <w:p w14:paraId="078E71EF" w14:textId="77777777" w:rsidR="001F238C" w:rsidRDefault="001F238C" w:rsidP="001F238C">
      <w:pPr>
        <w:pStyle w:val="Lijstalinea"/>
        <w:numPr>
          <w:ilvl w:val="0"/>
          <w:numId w:val="30"/>
        </w:numPr>
        <w:spacing w:before="0" w:after="160" w:line="259" w:lineRule="auto"/>
      </w:pPr>
      <w:r>
        <w:t>Naam van de distributienetbeheerder,</w:t>
      </w:r>
    </w:p>
    <w:p w14:paraId="7EB58EF9" w14:textId="77777777" w:rsidR="001F238C" w:rsidRDefault="001F238C" w:rsidP="001F238C">
      <w:pPr>
        <w:pStyle w:val="Lijstalinea"/>
        <w:numPr>
          <w:ilvl w:val="0"/>
          <w:numId w:val="30"/>
        </w:numPr>
        <w:spacing w:before="0" w:after="160" w:line="259" w:lineRule="auto"/>
      </w:pPr>
      <w:r>
        <w:t>Ondernemingsnummer,</w:t>
      </w:r>
    </w:p>
    <w:p w14:paraId="163AECA8" w14:textId="77777777" w:rsidR="001F238C" w:rsidRDefault="001F238C" w:rsidP="001F238C">
      <w:pPr>
        <w:pStyle w:val="Lijstalinea"/>
        <w:numPr>
          <w:ilvl w:val="0"/>
          <w:numId w:val="30"/>
        </w:numPr>
        <w:spacing w:before="0" w:after="160" w:line="259" w:lineRule="auto"/>
      </w:pPr>
      <w:r>
        <w:t>Jaar waarop het tariefvoorstel betrekking heeft.</w:t>
      </w:r>
    </w:p>
    <w:p w14:paraId="6D95A8CB" w14:textId="77777777" w:rsidR="001F238C" w:rsidRDefault="001F238C" w:rsidP="001F238C">
      <w:r>
        <w:t>In de volgende tabellen van het rapporteringsmodel zijn de vergelijkbare velden gelinkt aan deze velden in het titelblad. De ingevulde waarden worden daar automatisch overgenomen.</w:t>
      </w:r>
    </w:p>
    <w:p w14:paraId="48F23F2A" w14:textId="7A112E11" w:rsidR="001F238C" w:rsidRDefault="001F238C" w:rsidP="001F238C">
      <w:r>
        <w:t>Verder omvat het titelblad een herhaling van de algemene invulinstructies en een overzicht van de verschillende tabellen die in het rapporteringsmodel zijn opgenomen.</w:t>
      </w:r>
    </w:p>
    <w:p w14:paraId="106DFB23" w14:textId="1ED6E7BA" w:rsidR="001F238C" w:rsidRDefault="001F238C" w:rsidP="001F238C">
      <w:pPr>
        <w:pStyle w:val="Kop4"/>
      </w:pPr>
      <w:bookmarkStart w:id="167" w:name="_Toc42926185"/>
      <w:bookmarkStart w:id="168" w:name="_Toc81512504"/>
      <w:r>
        <w:t xml:space="preserve">TABEL 1: Overzicht door de VREG toegelaten inkomen voor gereguleerde activiteiten ‘elektriciteit’ en ‘gas’ voor boekjaar </w:t>
      </w:r>
      <w:r w:rsidR="00D9077E">
        <w:t>[</w:t>
      </w:r>
      <w:r>
        <w:t>20</w:t>
      </w:r>
      <w:r w:rsidR="003C6903">
        <w:t>XX</w:t>
      </w:r>
      <w:r w:rsidR="00D9077E">
        <w:t>]</w:t>
      </w:r>
      <w:r w:rsidR="003C6903">
        <w:rPr>
          <w:rStyle w:val="Voetnootmarkering"/>
        </w:rPr>
        <w:footnoteReference w:id="34"/>
      </w:r>
      <w:bookmarkEnd w:id="167"/>
      <w:bookmarkEnd w:id="168"/>
    </w:p>
    <w:p w14:paraId="66482F20" w14:textId="77777777" w:rsidR="001F238C" w:rsidRDefault="001F238C" w:rsidP="001F238C">
      <w:pPr>
        <w:pStyle w:val="Geenafstand"/>
      </w:pPr>
    </w:p>
    <w:p w14:paraId="7A44CE6A" w14:textId="0A4F92B4" w:rsidR="001F238C" w:rsidRDefault="001F238C" w:rsidP="001F238C">
      <w:pPr>
        <w:pStyle w:val="Geenafstand"/>
      </w:pPr>
      <w:r w:rsidRPr="00231744">
        <w:t xml:space="preserve">In deze tabel dient de distributienetbeheerder het door de VREG toegelaten inkomen uit periodieke distributienettarieven voor de gereguleerde activiteiten ‘elektriciteit’ en ‘gas’ m.b.t. boekjaar </w:t>
      </w:r>
      <w:r w:rsidR="00D9077E">
        <w:t>[</w:t>
      </w:r>
      <w:r w:rsidRPr="00231744">
        <w:t>20</w:t>
      </w:r>
      <w:r w:rsidR="003C6903">
        <w:t>XX</w:t>
      </w:r>
      <w:r w:rsidR="00D9077E">
        <w:t>]</w:t>
      </w:r>
      <w:r w:rsidR="00D9077E">
        <w:rPr>
          <w:rStyle w:val="Voetnootmarkering"/>
        </w:rPr>
        <w:footnoteReference w:id="35"/>
      </w:r>
      <w:r w:rsidRPr="00231744">
        <w:t xml:space="preserve"> op te geven, uitgesplitst over het toegelaten inkomen voor de exogene kosten en het toegelaten inkomen voor de endogene kosten. De distributienetbeheerder kan vervolgens per gereguleerde activiteit het respectievelijk toegelaten inkomen verdelen over de verschillende tariefcomponenten (cfr paragraaf </w:t>
      </w:r>
      <w:r>
        <w:fldChar w:fldCharType="begin"/>
      </w:r>
      <w:r>
        <w:instrText xml:space="preserve"> REF _Ref42867431 \n \h </w:instrText>
      </w:r>
      <w:r>
        <w:fldChar w:fldCharType="separate"/>
      </w:r>
      <w:r w:rsidR="00964FA9">
        <w:t>2.1.1.3</w:t>
      </w:r>
      <w:r>
        <w:fldChar w:fldCharType="end"/>
      </w:r>
      <w:r w:rsidRPr="00231744">
        <w:t xml:space="preserve"> en paragraaf </w:t>
      </w:r>
      <w:r>
        <w:fldChar w:fldCharType="begin"/>
      </w:r>
      <w:r>
        <w:instrText xml:space="preserve"> REF _Ref42867473 \n \h </w:instrText>
      </w:r>
      <w:r>
        <w:fldChar w:fldCharType="separate"/>
      </w:r>
      <w:r w:rsidR="00964FA9">
        <w:t>2.1.1.12</w:t>
      </w:r>
      <w:r>
        <w:fldChar w:fldCharType="end"/>
      </w:r>
      <w:r w:rsidRPr="00231744">
        <w:t xml:space="preserve">) en klantengroepen (cfr paragraaf </w:t>
      </w:r>
      <w:r>
        <w:fldChar w:fldCharType="begin"/>
      </w:r>
      <w:r>
        <w:instrText xml:space="preserve"> REF _Ref42867496 \n \h </w:instrText>
      </w:r>
      <w:r>
        <w:fldChar w:fldCharType="separate"/>
      </w:r>
      <w:r w:rsidR="00964FA9">
        <w:t>2.1.1.4</w:t>
      </w:r>
      <w:r>
        <w:fldChar w:fldCharType="end"/>
      </w:r>
      <w:r w:rsidRPr="00231744">
        <w:t xml:space="preserve"> en paragraaf </w:t>
      </w:r>
      <w:r>
        <w:fldChar w:fldCharType="begin"/>
      </w:r>
      <w:r>
        <w:instrText xml:space="preserve"> REF _Ref42867509 \n \h </w:instrText>
      </w:r>
      <w:r>
        <w:fldChar w:fldCharType="separate"/>
      </w:r>
      <w:r w:rsidR="00964FA9">
        <w:t>2.1.1.13</w:t>
      </w:r>
      <w:r>
        <w:fldChar w:fldCharType="end"/>
      </w:r>
      <w:r w:rsidRPr="00231744">
        <w:t xml:space="preserve">) om uiteindelijk een periodiek distributienettarief per tariefcomponent en per klantengroep te bepalen (cfr paragraaf </w:t>
      </w:r>
      <w:r>
        <w:fldChar w:fldCharType="begin"/>
      </w:r>
      <w:r>
        <w:instrText xml:space="preserve"> REF _Ref42867527 \n \h </w:instrText>
      </w:r>
      <w:r>
        <w:fldChar w:fldCharType="separate"/>
      </w:r>
      <w:r w:rsidR="00964FA9">
        <w:t>2.1.1.5</w:t>
      </w:r>
      <w:r>
        <w:fldChar w:fldCharType="end"/>
      </w:r>
      <w:r w:rsidRPr="00231744">
        <w:t xml:space="preserve">, paragraaf </w:t>
      </w:r>
      <w:r>
        <w:fldChar w:fldCharType="begin"/>
      </w:r>
      <w:r>
        <w:instrText xml:space="preserve"> REF _Ref42867560 \n \h </w:instrText>
      </w:r>
      <w:r>
        <w:fldChar w:fldCharType="separate"/>
      </w:r>
      <w:r w:rsidR="00964FA9">
        <w:t>2.1.1.7</w:t>
      </w:r>
      <w:r>
        <w:fldChar w:fldCharType="end"/>
      </w:r>
      <w:r>
        <w:t xml:space="preserve">, paragraaf </w:t>
      </w:r>
      <w:r>
        <w:fldChar w:fldCharType="begin"/>
      </w:r>
      <w:r>
        <w:instrText xml:space="preserve"> REF _Ref42867576 \n \h </w:instrText>
      </w:r>
      <w:r>
        <w:fldChar w:fldCharType="separate"/>
      </w:r>
      <w:r w:rsidR="00964FA9">
        <w:t>2.1.1.10</w:t>
      </w:r>
      <w:r>
        <w:fldChar w:fldCharType="end"/>
      </w:r>
      <w:r>
        <w:t>,</w:t>
      </w:r>
      <w:r w:rsidRPr="00231744">
        <w:t xml:space="preserve"> paragraaf</w:t>
      </w:r>
      <w:r>
        <w:t xml:space="preserve"> </w:t>
      </w:r>
      <w:r>
        <w:fldChar w:fldCharType="begin"/>
      </w:r>
      <w:r>
        <w:instrText xml:space="preserve"> REF _Ref42867591 \n \h </w:instrText>
      </w:r>
      <w:r>
        <w:fldChar w:fldCharType="separate"/>
      </w:r>
      <w:r w:rsidR="00964FA9">
        <w:t>2.1.1.14</w:t>
      </w:r>
      <w:r>
        <w:fldChar w:fldCharType="end"/>
      </w:r>
      <w:r>
        <w:t xml:space="preserve"> en paragraaf </w:t>
      </w:r>
      <w:r>
        <w:fldChar w:fldCharType="begin"/>
      </w:r>
      <w:r>
        <w:instrText xml:space="preserve"> REF _Ref42867594 \n \h </w:instrText>
      </w:r>
      <w:r>
        <w:fldChar w:fldCharType="separate"/>
      </w:r>
      <w:r w:rsidR="00964FA9">
        <w:t>2.1.1.15</w:t>
      </w:r>
      <w:r>
        <w:fldChar w:fldCharType="end"/>
      </w:r>
      <w:r w:rsidRPr="00231744">
        <w:t>). Hierbij is de distributienetbeheerder in de mogelijkheid om bij de verdeling over de tariefcomponenten en klantengroepen een budget op te nemen dat globaal lager is dan zijn door de VREG toegelaten inkomen</w:t>
      </w:r>
      <w:r>
        <w:rPr>
          <w:rStyle w:val="Voetnootmarkering"/>
        </w:rPr>
        <w:footnoteReference w:id="36"/>
      </w:r>
      <w:r w:rsidRPr="00231744">
        <w:t>.</w:t>
      </w:r>
    </w:p>
    <w:p w14:paraId="3CAFB903" w14:textId="77777777" w:rsidR="001F238C" w:rsidRPr="00231744" w:rsidRDefault="001F238C" w:rsidP="001F238C">
      <w:pPr>
        <w:pStyle w:val="Geenafstand"/>
      </w:pPr>
    </w:p>
    <w:p w14:paraId="3C596F59" w14:textId="77777777" w:rsidR="001F238C" w:rsidRDefault="001F238C" w:rsidP="001F238C">
      <w:pPr>
        <w:pStyle w:val="Kop4"/>
      </w:pPr>
      <w:bookmarkStart w:id="169" w:name="_Ref42867431"/>
      <w:bookmarkStart w:id="170" w:name="_Toc42926186"/>
      <w:bookmarkStart w:id="171" w:name="_Toc81512505"/>
      <w:r>
        <w:t>TABEL 2: Opdeling gebudgetteerd inkomen voor gereguleerde activiteit ‘elektriciteit’ volgens tariefcomponenten</w:t>
      </w:r>
      <w:bookmarkEnd w:id="169"/>
      <w:bookmarkEnd w:id="170"/>
      <w:bookmarkEnd w:id="171"/>
    </w:p>
    <w:p w14:paraId="4E117934" w14:textId="77777777" w:rsidR="001F238C" w:rsidRDefault="001F238C" w:rsidP="001F238C">
      <w:pPr>
        <w:pStyle w:val="Geenafstand"/>
      </w:pPr>
    </w:p>
    <w:p w14:paraId="7EAB02F6" w14:textId="58F4E75D" w:rsidR="001F238C" w:rsidRPr="00231744" w:rsidRDefault="001F238C" w:rsidP="001F238C">
      <w:pPr>
        <w:pStyle w:val="Geenafstand"/>
      </w:pPr>
      <w:r w:rsidRPr="00360D72">
        <w:t xml:space="preserve">In analogie met de tariefstructuur die in paragraaf </w:t>
      </w:r>
      <w:r>
        <w:t>10.2.1</w:t>
      </w:r>
      <w:r w:rsidRPr="00360D72">
        <w:t xml:space="preserve"> van de hoofdtekst van de tariefmethodologie beschreven wordt, kan het toegelaten inkomen uit periodieke distributienettarieven in 20</w:t>
      </w:r>
      <w:r>
        <w:t>21</w:t>
      </w:r>
      <w:r w:rsidR="00002216">
        <w:t xml:space="preserve"> [en 2022H1]</w:t>
      </w:r>
      <w:r w:rsidR="00002216">
        <w:rPr>
          <w:rStyle w:val="Voetnootmarkering"/>
        </w:rPr>
        <w:footnoteReference w:id="37"/>
      </w:r>
      <w:r w:rsidRPr="00360D72">
        <w:t xml:space="preserve"> voor de gereguleerde activiteit ‘elektriciteit’ verdeeld worden over de verschillende tariefcomponenten. Hierbij dient de distributienetbeheerder zowel het toegelaten inkomen voor de exogene kosten als het toegelaten inkomen voor de endogene kosten te verdelen over de verschillende tariefcomponenten waarbij </w:t>
      </w:r>
      <w:r w:rsidR="00DE7BC8">
        <w:t>de distributienetbeheerder ervoor dient te zorgen dat het budget voor exogene kosten overeenstemt met het door de VREG toegelaten inkomen voor exogene kosten, terwijl het budget voor endogene kosten het door de VREG toegelaten inkomen voor endogene kosten niet mag overschrijden</w:t>
      </w:r>
      <w:r w:rsidRPr="00360D72">
        <w:t>. Hiernaast wordt in deze tabel ook per tariefcomponent het relatief aandeel van het exogeen inkomen en het endogeen inkomen in het totaal gebudgetteerd inkomen bepaald.</w:t>
      </w:r>
    </w:p>
    <w:p w14:paraId="019D807F" w14:textId="77777777" w:rsidR="001F238C" w:rsidRDefault="001F238C" w:rsidP="001F238C">
      <w:pPr>
        <w:pStyle w:val="Kop4"/>
      </w:pPr>
      <w:bookmarkStart w:id="172" w:name="_Ref42867496"/>
      <w:bookmarkStart w:id="173" w:name="_Toc42926187"/>
      <w:bookmarkStart w:id="174" w:name="_Toc81512506"/>
      <w:r>
        <w:lastRenderedPageBreak/>
        <w:t>TABEL 3: Opdeling gebudgetteerd inkomen voor gereguleerde activiteit ‘elektriciteit’ volgens energierichting, spanningsniveau en klantengroep</w:t>
      </w:r>
      <w:bookmarkEnd w:id="172"/>
      <w:bookmarkEnd w:id="173"/>
      <w:bookmarkEnd w:id="174"/>
    </w:p>
    <w:p w14:paraId="1257359F" w14:textId="77777777" w:rsidR="001F238C" w:rsidRDefault="001F238C" w:rsidP="001F238C">
      <w:pPr>
        <w:pStyle w:val="Geenafstand"/>
      </w:pPr>
    </w:p>
    <w:p w14:paraId="36B0D20E" w14:textId="5374960D" w:rsidR="001F238C" w:rsidRDefault="001F238C" w:rsidP="001F238C">
      <w:pPr>
        <w:pStyle w:val="Geenafstand"/>
      </w:pPr>
      <w:r>
        <w:t>Deze tabel geeft een overzicht van het gebudgetteerd inkomen uit periodieke distributienettarieven in 2021</w:t>
      </w:r>
      <w:r w:rsidR="00002216">
        <w:t xml:space="preserve"> [en 2022H1]</w:t>
      </w:r>
      <w:r w:rsidR="00746B89" w:rsidRPr="00746B89">
        <w:rPr>
          <w:rStyle w:val="Voetnootmarkering"/>
        </w:rPr>
        <w:t xml:space="preserve"> </w:t>
      </w:r>
      <w:r w:rsidR="00746B89">
        <w:rPr>
          <w:rStyle w:val="Voetnootmarkering"/>
        </w:rPr>
        <w:footnoteReference w:id="38"/>
      </w:r>
      <w:r>
        <w:t xml:space="preserve"> voor de gereguleerde activiteit ‘elektriciteit’ opgesplitst per klantengroep en per tariefcomponent in de tariefstructuur. Dit gebudgetteerd inkomen wordt per klantengroep verder opgesplitst in ‘injectie’ en ‘afname’ waarbij ook een verdere opsplitsing tussen het gebudgetteerd inkomen voor de exogene kosten en het gebudgetteerd inkomen voor de endogene kosten wordt gemaakt. </w:t>
      </w:r>
    </w:p>
    <w:p w14:paraId="38773865" w14:textId="77777777" w:rsidR="001F238C" w:rsidRDefault="001F238C" w:rsidP="001F238C">
      <w:pPr>
        <w:pStyle w:val="Geenafstand"/>
      </w:pPr>
    </w:p>
    <w:p w14:paraId="0DEFE057" w14:textId="77777777" w:rsidR="00D102E4" w:rsidRDefault="001F238C" w:rsidP="001F238C">
      <w:pPr>
        <w:pStyle w:val="Geenafstand"/>
      </w:pPr>
      <w:r>
        <w:t>Voor de opdeling van het gebudgetteerd inkomen over de tariefcomponenten en de klantengroepen dient de distributienetbeheerder de bepalingen in paragraaf 10.3 van de hoofdtekst van de tariefmethodologie te respecteren.</w:t>
      </w:r>
      <w:r w:rsidR="00081DD5" w:rsidRPr="00081DD5">
        <w:t xml:space="preserve"> </w:t>
      </w:r>
    </w:p>
    <w:p w14:paraId="72701ACB" w14:textId="77777777" w:rsidR="00D102E4" w:rsidRDefault="00D102E4" w:rsidP="001F238C">
      <w:pPr>
        <w:pStyle w:val="Geenafstand"/>
      </w:pPr>
    </w:p>
    <w:p w14:paraId="50BB39A1" w14:textId="144BCBA0" w:rsidR="001F238C" w:rsidRDefault="00081DD5" w:rsidP="001F238C">
      <w:pPr>
        <w:pStyle w:val="Geenafstand"/>
      </w:pPr>
      <w:r>
        <w:t xml:space="preserve">Inzake de op te leveren informatie m.b.t. de </w:t>
      </w:r>
      <w:r w:rsidR="00D102E4">
        <w:t>toewijzing van de kosten aan klantengroepen</w:t>
      </w:r>
      <w:r>
        <w:t xml:space="preserve">, verwijst de </w:t>
      </w:r>
      <w:r w:rsidRPr="00D102E4">
        <w:t xml:space="preserve">VREG naar punt </w:t>
      </w:r>
      <w:r w:rsidR="00D102E4" w:rsidRPr="00D102E4">
        <w:t>1</w:t>
      </w:r>
      <w:r w:rsidRPr="00D102E4">
        <w:t xml:space="preserve"> in</w:t>
      </w:r>
      <w:r w:rsidR="00D102E4" w:rsidRPr="00D102E4">
        <w:t xml:space="preserve"> paragraaf 1.</w:t>
      </w:r>
      <w:r w:rsidR="00D102E4">
        <w:t>1 van</w:t>
      </w:r>
      <w:r>
        <w:t xml:space="preserve"> de bijlage 8 van de tariefmethodologie</w:t>
      </w:r>
      <w:r w:rsidR="00D24A8C">
        <w:t>.</w:t>
      </w:r>
    </w:p>
    <w:p w14:paraId="399EC582" w14:textId="77777777" w:rsidR="001F238C" w:rsidRDefault="001F238C" w:rsidP="001F238C">
      <w:pPr>
        <w:pStyle w:val="Geenafstand"/>
      </w:pPr>
    </w:p>
    <w:p w14:paraId="1B0BD4E9" w14:textId="7A67836F" w:rsidR="001F238C" w:rsidRDefault="001F238C" w:rsidP="001F238C">
      <w:pPr>
        <w:pStyle w:val="Geenafstand"/>
      </w:pPr>
      <w:r>
        <w:t>Met betrekking tot de klantengroep ‘Prosumenten met terugdraaiende teller’ dient de distributienetbeheerder het in ‘tabel 2’ gebudgetteerd inkomen inzake exogene en endogene kosten m.b.t. de tariefcomponent ‘Aanvullend capaciteitstarief voor prosumenten met terugdraaiende teller’ in deze tabel verder te verdelen over de overige tariefcomponenten. Dit betekent dat de distributienetbeheerder aldus het in ‘tabel 2’ gebudgetteerd inkomen niet integraal mag toewijzen aan de tariefcomponent ‘Aanvullend capaciteitstarief voor prosumenten met terugdraaiende teller’ in ‘tabel 3’, maar wel aan elk van de overige tariefcomponenten, conform de toepasselijke verdeelsleutels. Deze methodiek zal er echter wel voor zorgen dat de controle met ‘tabel 2’ (deze controle kan worden teruggevonden in de laatste twee kolommen van ‘tabel 3’ (BD en BE)) voor elk van de tariefcomponenten zal verschillen van 0 EUR. Het verschil tussen beide mag hierbij louter betrekking hebben op het gebudgetteerd inkomen m.b.t. de klantengroep ‘Prosumenten met terugdraaiende teller’, op eventuele afrondingsverschillen na. In dat geval zal het totaal verschil tussen beide tabellen (zie cel BD</w:t>
      </w:r>
      <w:r w:rsidR="00584291">
        <w:t>51</w:t>
      </w:r>
      <w:r>
        <w:t xml:space="preserve"> en cel BE</w:t>
      </w:r>
      <w:r w:rsidR="00584291">
        <w:t>51</w:t>
      </w:r>
      <w:r>
        <w:t>) gelijk zijn aan 0 EUR, op eventuele afrondingsverschillen na.</w:t>
      </w:r>
    </w:p>
    <w:p w14:paraId="2FF3A977" w14:textId="77777777" w:rsidR="001F238C" w:rsidRDefault="001F238C" w:rsidP="001F238C">
      <w:pPr>
        <w:pStyle w:val="Geenafstand"/>
      </w:pPr>
    </w:p>
    <w:p w14:paraId="31B90443" w14:textId="77777777" w:rsidR="001F238C" w:rsidRDefault="001F238C" w:rsidP="001F238C">
      <w:pPr>
        <w:pStyle w:val="Geenafstand"/>
      </w:pPr>
      <w:r>
        <w:t>Hiernaast wordt in deze tabel ook per tariefcomponent het relatief aandeel van het exogeen en het endogeen inkomen in het totaal inkomen m.b.t. ‘injectie’ en ‘afname’ bepaald. Onderaan de tabel worden ook volgende percentages bepaald:</w:t>
      </w:r>
    </w:p>
    <w:p w14:paraId="21E54380" w14:textId="77777777" w:rsidR="001F238C" w:rsidRDefault="001F238C" w:rsidP="001F238C">
      <w:pPr>
        <w:pStyle w:val="Geenafstand"/>
      </w:pPr>
      <w:r>
        <w:t>-</w:t>
      </w:r>
      <w:r>
        <w:tab/>
        <w:t>Procentuele inkomensverdeling tussen exogeen en endogeen per klantengroep;</w:t>
      </w:r>
    </w:p>
    <w:p w14:paraId="735B5213" w14:textId="77777777" w:rsidR="001F238C" w:rsidRDefault="001F238C" w:rsidP="001F238C">
      <w:pPr>
        <w:pStyle w:val="Geenafstand"/>
      </w:pPr>
      <w:r>
        <w:t>-</w:t>
      </w:r>
      <w:r>
        <w:tab/>
        <w:t>Procentuele inkomensverdeling tussen afname en injectie per klantengroep;</w:t>
      </w:r>
    </w:p>
    <w:p w14:paraId="1168952C" w14:textId="77777777" w:rsidR="001F238C" w:rsidRDefault="001F238C" w:rsidP="001F238C">
      <w:pPr>
        <w:pStyle w:val="Geenafstand"/>
      </w:pPr>
      <w:r>
        <w:t>-</w:t>
      </w:r>
      <w:r>
        <w:tab/>
        <w:t>Relatief gewicht van elke klantengroep binnen het totaal gebudgetteerd inkomen.</w:t>
      </w:r>
    </w:p>
    <w:p w14:paraId="2D8D3C30" w14:textId="26D7085B" w:rsidR="000F442C" w:rsidRDefault="000F442C" w:rsidP="001F238C">
      <w:pPr>
        <w:pStyle w:val="Geenafstand"/>
      </w:pPr>
    </w:p>
    <w:p w14:paraId="28BAA74E" w14:textId="02958E07" w:rsidR="001F238C" w:rsidRPr="00360D72" w:rsidRDefault="001F238C" w:rsidP="001F238C">
      <w:pPr>
        <w:pStyle w:val="Geenafstand"/>
      </w:pPr>
      <w:r>
        <w:t>Zoals reeds eerder aangegeven, word</w:t>
      </w:r>
      <w:r w:rsidR="0072717F">
        <w:t>t</w:t>
      </w:r>
      <w:r>
        <w:t xml:space="preserve"> in de laatste twee kolommen van deze tabel per tariefcomponent een aansluiting gemaakt met het gebudgetteerd inkomen per tariefcomponent in ‘tabel 2’.</w:t>
      </w:r>
    </w:p>
    <w:p w14:paraId="1BB12A50" w14:textId="29BBC94D" w:rsidR="001F238C" w:rsidRDefault="001F238C" w:rsidP="001F238C">
      <w:pPr>
        <w:pStyle w:val="Kop4"/>
      </w:pPr>
      <w:bookmarkStart w:id="175" w:name="_Ref42867527"/>
      <w:bookmarkStart w:id="176" w:name="_Toc42926188"/>
      <w:bookmarkStart w:id="177" w:name="_Toc81512507"/>
      <w:r>
        <w:t xml:space="preserve">TABEL 4: Naam distributienetbeheerder – ELEKTRICITEIT – Tarieflijst </w:t>
      </w:r>
      <w:r w:rsidR="008A78A6">
        <w:t xml:space="preserve">periodieke </w:t>
      </w:r>
      <w:r>
        <w:t xml:space="preserve">distributienettarieven </w:t>
      </w:r>
      <w:r w:rsidR="00D9077E">
        <w:t>[</w:t>
      </w:r>
      <w:r>
        <w:t>20</w:t>
      </w:r>
      <w:r w:rsidR="00D9077E">
        <w:t>XX</w:t>
      </w:r>
      <w:r w:rsidR="003008C7">
        <w:t>]</w:t>
      </w:r>
      <w:r w:rsidR="00D9077E" w:rsidRPr="00D9077E">
        <w:rPr>
          <w:rStyle w:val="Voetnootmarkering"/>
        </w:rPr>
        <w:t xml:space="preserve"> </w:t>
      </w:r>
      <w:r w:rsidR="00D9077E">
        <w:rPr>
          <w:rStyle w:val="Voetnootmarkering"/>
        </w:rPr>
        <w:footnoteReference w:id="39"/>
      </w:r>
      <w:r>
        <w:t xml:space="preserve"> – Afname</w:t>
      </w:r>
      <w:bookmarkEnd w:id="175"/>
      <w:bookmarkEnd w:id="176"/>
      <w:bookmarkEnd w:id="177"/>
    </w:p>
    <w:p w14:paraId="76B103C5" w14:textId="77777777" w:rsidR="001F238C" w:rsidRDefault="001F238C" w:rsidP="001F238C">
      <w:pPr>
        <w:pStyle w:val="Geenafstand"/>
      </w:pPr>
    </w:p>
    <w:p w14:paraId="7FEA8C0E" w14:textId="097C955B" w:rsidR="001F238C" w:rsidRDefault="001F238C" w:rsidP="001F238C">
      <w:pPr>
        <w:pStyle w:val="Geenafstand"/>
      </w:pPr>
      <w:r>
        <w:t xml:space="preserve">In deze tabel wordt de tariefmatrix m.b.t. de tariefstructuur voor elektriciteit (afname) opgenomen. Hierbij dient de distributienetbeheerder de specifieke tariefcodes, ‘type of </w:t>
      </w:r>
      <w:r>
        <w:lastRenderedPageBreak/>
        <w:t xml:space="preserve">connection’, veldnamen, BTW-% en globalisatiecodes op te geven. Uiteraard dient de distributienetbeheerder het tarief per tariefcomponent en per klantengroep op te geven na toepassing van de verdeelsleutels op het gebudgetteerde inkomen per tariefcomponent en per klantengroep en na toepassing van de rekenvolumes. Met betrekking tot de toe te passen verdeelsleutels verwijst de VREG naar de bepalingen in paragraaf 10.3 van de hoofdtekst van de tariefmethodologie. Inzake de toe te passen rekenvolumes </w:t>
      </w:r>
      <w:r w:rsidR="00E02D55">
        <w:t>wordt verwezen</w:t>
      </w:r>
      <w:r>
        <w:t xml:space="preserve"> naar paragraaf 10.4 van de hoofdtekst van de tariefmethodologie.</w:t>
      </w:r>
    </w:p>
    <w:p w14:paraId="640C0013" w14:textId="77777777" w:rsidR="001F238C" w:rsidRDefault="001F238C" w:rsidP="001F238C">
      <w:pPr>
        <w:pStyle w:val="Geenafstand"/>
      </w:pPr>
    </w:p>
    <w:p w14:paraId="3324361A" w14:textId="71D55384" w:rsidR="001F238C" w:rsidRDefault="001F238C" w:rsidP="001F238C">
      <w:pPr>
        <w:pStyle w:val="Geenafstand"/>
      </w:pPr>
      <w:r>
        <w:t xml:space="preserve">De tarieven worden afgerond </w:t>
      </w:r>
      <w:r w:rsidR="00B16982">
        <w:t>op 7 decimalen</w:t>
      </w:r>
      <w:r>
        <w:t xml:space="preserve">, met uitzondering van het ‘tarief </w:t>
      </w:r>
      <w:r w:rsidR="00E02D55">
        <w:t>databeheer</w:t>
      </w:r>
      <w:r>
        <w:t xml:space="preserve">’ en het ‘aanvullend capaciteitstarief voor prosumenten met terugdraaiende teller’ dewelke worden afgerond </w:t>
      </w:r>
      <w:r w:rsidR="00E02D55">
        <w:t>op 2 decimalen</w:t>
      </w:r>
      <w:r>
        <w:t>.</w:t>
      </w:r>
    </w:p>
    <w:p w14:paraId="1FF1DF6C" w14:textId="2AA33333" w:rsidR="0025523B" w:rsidRPr="00BA360B" w:rsidRDefault="0025523B" w:rsidP="001F238C">
      <w:pPr>
        <w:pStyle w:val="Geenafstand"/>
      </w:pPr>
      <w:r>
        <w:t>[</w:t>
      </w:r>
      <w:r w:rsidR="00316E63">
        <w:t>Gelet dat</w:t>
      </w:r>
      <w:r w:rsidR="00EB40E7">
        <w:t xml:space="preserve"> met het uitstel van invoering van de nieuwe elektriciteitstariefstructuur</w:t>
      </w:r>
      <w:r w:rsidR="00316E63">
        <w:t xml:space="preserve"> de bijlage 7A ook na de publicatie van het</w:t>
      </w:r>
      <w:r>
        <w:t xml:space="preserve"> arrest van het Grondwettelijk Hof van 14 januari 2021 (arrest nr. 5/2021)</w:t>
      </w:r>
      <w:r>
        <w:rPr>
          <w:rStyle w:val="Voetnootmarkering"/>
        </w:rPr>
        <w:footnoteReference w:id="40"/>
      </w:r>
      <w:r w:rsidR="00316E63">
        <w:t xml:space="preserve"> toepassing vindt, dient de distributienetbeheerder </w:t>
      </w:r>
      <w:r w:rsidR="003008C7">
        <w:t>voor 2022H1 de klantengroepen ‘Prosumenten met terugdraaiende teller - Trans LS met piekmeting’, ‘Prosumenten met terugdraaiende teller - Trans LS zonder piekmeting’ en ‘Prosumenten met terugdraaiende teller - LS met piekmeting’ evenals alle verwijzing</w:t>
      </w:r>
      <w:r w:rsidR="00EB40E7">
        <w:t>en</w:t>
      </w:r>
      <w:r w:rsidR="003008C7">
        <w:t xml:space="preserve"> naar deze klantengroepen uit de tariefmatrix te schrappen.]</w:t>
      </w:r>
      <w:r w:rsidR="003008C7" w:rsidRPr="003008C7">
        <w:rPr>
          <w:rStyle w:val="Voetnootmarkering"/>
        </w:rPr>
        <w:t xml:space="preserve"> </w:t>
      </w:r>
      <w:r w:rsidR="003008C7">
        <w:rPr>
          <w:rStyle w:val="Voetnootmarkering"/>
        </w:rPr>
        <w:footnoteReference w:id="41"/>
      </w:r>
    </w:p>
    <w:p w14:paraId="0F3C5D23" w14:textId="5A764275" w:rsidR="001F238C" w:rsidRDefault="001F238C" w:rsidP="001F238C">
      <w:pPr>
        <w:pStyle w:val="Kop4"/>
      </w:pPr>
      <w:bookmarkStart w:id="178" w:name="_Toc42926189"/>
      <w:bookmarkStart w:id="179" w:name="_Toc81512508"/>
      <w:r>
        <w:t xml:space="preserve">TABEL 5: Reconciliatie van het gebudgetteerd inkomen voor de gereguleerde activiteit ‘elektriciteit’ met de geraamde omzet voor de periodieke </w:t>
      </w:r>
      <w:r w:rsidR="008A78A6">
        <w:t>distributienet</w:t>
      </w:r>
      <w:r>
        <w:t>tarieven (afname)</w:t>
      </w:r>
      <w:bookmarkEnd w:id="178"/>
      <w:bookmarkEnd w:id="179"/>
    </w:p>
    <w:p w14:paraId="19CDCB74" w14:textId="77777777" w:rsidR="001F238C" w:rsidRDefault="001F238C" w:rsidP="001F238C">
      <w:pPr>
        <w:pStyle w:val="Geenafstand"/>
      </w:pPr>
    </w:p>
    <w:p w14:paraId="0702DC6A" w14:textId="318655D3" w:rsidR="001F238C" w:rsidRDefault="001F238C" w:rsidP="001F238C">
      <w:pPr>
        <w:pStyle w:val="Geenafstand"/>
      </w:pPr>
      <w:r>
        <w:t xml:space="preserve">‘Tabel 5’ omvat een reconciliatie tussen de verwachte omzet (berekend a.d.h.v. de vermenigvuldiging van de periodieke elektriciteitsdistributienettarieven voor afname met de </w:t>
      </w:r>
      <w:r w:rsidR="004D1EA0">
        <w:t>rekenvolumes)</w:t>
      </w:r>
      <w:r>
        <w:t xml:space="preserve"> en het gebudgetteerde inkomen voor de periodieke afnametarieven m.b.t. de gereguleerde activiteit ‘elektriciteit’. Per tariefcomponent en per klantengroep wordt de verwachte omzet berekend dat via de tarieven wordt verkregen. De verwachte omzet per klantengroep dient vervolgens overeen te komen met (of is lager dan) het gebudgetteerde inkomen per klantengroep (excl. het inkomen in verband met het gebruik van het transmissienet) voor de gereguleerde activiteit ‘elektriciteit’ (afname) dat in ‘tabel 3’ van het rapporteringsmodel kan teruggevonden worden, op eventuele afrondingsverschillen na.  </w:t>
      </w:r>
    </w:p>
    <w:p w14:paraId="13CE75A0" w14:textId="77777777" w:rsidR="001F238C" w:rsidRDefault="001F238C" w:rsidP="001F238C">
      <w:pPr>
        <w:pStyle w:val="Geenafstand"/>
      </w:pPr>
    </w:p>
    <w:p w14:paraId="695D964A" w14:textId="7F0A61E3" w:rsidR="003008C7" w:rsidRPr="00BA360B" w:rsidRDefault="001F238C" w:rsidP="003008C7">
      <w:pPr>
        <w:pStyle w:val="Geenafstand"/>
      </w:pPr>
      <w:r>
        <w:t xml:space="preserve">Inzake de op te leveren informatie m.b.t. de toepassing van het maximumtarief, verwijst de VREG </w:t>
      </w:r>
      <w:r w:rsidRPr="00D24A8C">
        <w:t>naar punt 2 in</w:t>
      </w:r>
      <w:r w:rsidR="00D24A8C" w:rsidRPr="00D24A8C">
        <w:t xml:space="preserve"> paragraaf</w:t>
      </w:r>
      <w:r w:rsidR="00D24A8C">
        <w:t xml:space="preserve"> 1.1 van</w:t>
      </w:r>
      <w:r>
        <w:t xml:space="preserve"> de bijlage 8 van de tariefmethodologie.</w:t>
      </w:r>
      <w:r w:rsidR="00BE19A1">
        <w:br/>
      </w:r>
      <w:r w:rsidR="00BE19A1">
        <w:br/>
      </w:r>
      <w:r w:rsidR="003008C7">
        <w:t xml:space="preserve">[Gelet dat </w:t>
      </w:r>
      <w:r w:rsidR="00834D8C">
        <w:t xml:space="preserve">met het uitstel van invoering van de nieuwe elektriciteitstariefstructuur </w:t>
      </w:r>
      <w:r w:rsidR="003008C7">
        <w:t>de bijlage 7A ook na de publicatie van het arrest van het Grondwettelijk Hof van 14 januari 2021 (arrest nr. 5/2021)</w:t>
      </w:r>
      <w:r w:rsidR="003008C7">
        <w:rPr>
          <w:rStyle w:val="Voetnootmarkering"/>
        </w:rPr>
        <w:footnoteReference w:id="42"/>
      </w:r>
      <w:r w:rsidR="003008C7">
        <w:t xml:space="preserve"> toepassing vindt, dient de distributienetbeheerder voor 2022H1 de cellen met betrekking tot de klantengroepen ‘Prosumenten met terugdraaiende teller - Trans LS met piekmeting’, ‘Prosumenten met terugdraaiende teller - Trans LS zonder piekmeting’ en ‘Prosumenten met terugdraaiende teller - LS met piekmeting’ </w:t>
      </w:r>
      <w:r w:rsidR="00460037">
        <w:t>blanco te laten</w:t>
      </w:r>
      <w:r w:rsidR="003008C7">
        <w:t>.]</w:t>
      </w:r>
      <w:r w:rsidR="003008C7" w:rsidRPr="003008C7">
        <w:rPr>
          <w:rStyle w:val="Voetnootmarkering"/>
        </w:rPr>
        <w:t xml:space="preserve"> </w:t>
      </w:r>
      <w:r w:rsidR="003008C7">
        <w:rPr>
          <w:rStyle w:val="Voetnootmarkering"/>
        </w:rPr>
        <w:footnoteReference w:id="43"/>
      </w:r>
    </w:p>
    <w:p w14:paraId="2C9167C6" w14:textId="465B7A8F" w:rsidR="001F238C" w:rsidRPr="00BA360B" w:rsidRDefault="001F238C" w:rsidP="001F238C">
      <w:pPr>
        <w:pStyle w:val="Geenafstand"/>
      </w:pPr>
    </w:p>
    <w:p w14:paraId="6146F410" w14:textId="12055A30" w:rsidR="001F238C" w:rsidRDefault="001F238C" w:rsidP="001F238C">
      <w:pPr>
        <w:pStyle w:val="Kop4"/>
      </w:pPr>
      <w:bookmarkStart w:id="180" w:name="_Ref42867560"/>
      <w:bookmarkStart w:id="181" w:name="_Toc42926190"/>
      <w:bookmarkStart w:id="182" w:name="_Toc81512509"/>
      <w:r>
        <w:t>TABEL 6A: Naam distributienetbeheerder – ELEKTRICITEIT – Tarieflijst transmissie</w:t>
      </w:r>
      <w:r w:rsidR="00B403C6">
        <w:t>kosten</w:t>
      </w:r>
      <w:r>
        <w:t xml:space="preserve"> </w:t>
      </w:r>
      <w:r w:rsidR="003008C7">
        <w:t>[</w:t>
      </w:r>
      <w:r>
        <w:t>20</w:t>
      </w:r>
      <w:r w:rsidR="003008C7">
        <w:t>XX</w:t>
      </w:r>
      <w:bookmarkEnd w:id="180"/>
      <w:bookmarkEnd w:id="181"/>
      <w:r w:rsidR="003008C7">
        <w:t>]</w:t>
      </w:r>
      <w:r w:rsidR="003008C7" w:rsidRPr="003008C7">
        <w:rPr>
          <w:rStyle w:val="Voetnootmarkering"/>
        </w:rPr>
        <w:t xml:space="preserve"> </w:t>
      </w:r>
      <w:r w:rsidR="003008C7">
        <w:rPr>
          <w:rStyle w:val="Voetnootmarkering"/>
        </w:rPr>
        <w:footnoteReference w:id="44"/>
      </w:r>
      <w:bookmarkEnd w:id="182"/>
    </w:p>
    <w:p w14:paraId="7A0E018B" w14:textId="77777777" w:rsidR="001F238C" w:rsidRDefault="001F238C" w:rsidP="001F238C">
      <w:pPr>
        <w:pStyle w:val="Geenafstand"/>
      </w:pPr>
    </w:p>
    <w:p w14:paraId="065E3BBE" w14:textId="0C269E65" w:rsidR="001F238C" w:rsidRDefault="001F238C" w:rsidP="001F238C">
      <w:pPr>
        <w:pStyle w:val="Geenafstand"/>
      </w:pPr>
      <w:r>
        <w:t>In deze tabel wordt de tariefmatrix m.b.t. de tariefstructuur voor de t</w:t>
      </w:r>
      <w:r w:rsidR="00493F1B">
        <w:t xml:space="preserve">ransmissiekosten </w:t>
      </w:r>
      <w:r>
        <w:t xml:space="preserve">opgenomen. Hierbij dient de distributienetbeheerder de specifieke tariefcodes, ‘type of connection’, veldnamen, BTW-% en globalisatiecodes op te geven. Vervolgens dient uiteraard het tarief per tariefcomponent en per klantengroep voor boekjaar </w:t>
      </w:r>
      <w:r w:rsidR="00E278B1">
        <w:t>[</w:t>
      </w:r>
      <w:r>
        <w:t>20</w:t>
      </w:r>
      <w:r w:rsidR="00E278B1">
        <w:t>XX]</w:t>
      </w:r>
      <w:r w:rsidR="00E278B1" w:rsidRPr="00E278B1">
        <w:rPr>
          <w:rStyle w:val="Voetnootmarkering"/>
        </w:rPr>
        <w:t xml:space="preserve"> </w:t>
      </w:r>
      <w:r w:rsidR="00E278B1">
        <w:rPr>
          <w:rStyle w:val="Voetnootmarkering"/>
        </w:rPr>
        <w:footnoteReference w:id="45"/>
      </w:r>
      <w:r>
        <w:t xml:space="preserve"> door de distributienetbeheerder worden opgegeven.</w:t>
      </w:r>
    </w:p>
    <w:p w14:paraId="6826A071" w14:textId="77777777" w:rsidR="001F238C" w:rsidRDefault="001F238C" w:rsidP="001F238C">
      <w:pPr>
        <w:pStyle w:val="Geenafstand"/>
      </w:pPr>
    </w:p>
    <w:p w14:paraId="0F997129" w14:textId="57DB73E6" w:rsidR="001F238C" w:rsidRDefault="001F238C" w:rsidP="001F238C">
      <w:pPr>
        <w:pStyle w:val="Geenafstand"/>
      </w:pPr>
      <w:r>
        <w:t xml:space="preserve">De tarieven worden afgerond </w:t>
      </w:r>
      <w:r w:rsidR="00493F1B">
        <w:t>op 7 decimalen</w:t>
      </w:r>
      <w:r>
        <w:t>.</w:t>
      </w:r>
    </w:p>
    <w:p w14:paraId="18FA2AFB" w14:textId="504F8C4A" w:rsidR="003008C7" w:rsidRDefault="003008C7" w:rsidP="001F238C">
      <w:pPr>
        <w:pStyle w:val="Geenafstand"/>
      </w:pPr>
    </w:p>
    <w:p w14:paraId="0385874F" w14:textId="3FD21535" w:rsidR="003008C7" w:rsidRPr="00BA360B" w:rsidRDefault="003008C7" w:rsidP="003008C7">
      <w:pPr>
        <w:pStyle w:val="Geenafstand"/>
      </w:pPr>
      <w:r>
        <w:t xml:space="preserve">[Gelet dat </w:t>
      </w:r>
      <w:r w:rsidR="00834D8C">
        <w:t xml:space="preserve">met het uitstel van invoering van de nieuwe elektriciteitstariefstructuur </w:t>
      </w:r>
      <w:r>
        <w:t>de bijlage 7A ook na de publicatie van het arrest van het Grondwettelijk Hof van 14 januari 2021 (arrest nr. 5/2021)</w:t>
      </w:r>
      <w:r>
        <w:rPr>
          <w:rStyle w:val="Voetnootmarkering"/>
        </w:rPr>
        <w:footnoteReference w:id="46"/>
      </w:r>
      <w:r>
        <w:t xml:space="preserve"> toepassing vindt, dient de distributienetbeheerder voor 2022H1 de klantengroepen ‘Prosumenten met terugdraaiende teller - met piekmeting’ uit de tariefmatrix te schrappen.]</w:t>
      </w:r>
      <w:r w:rsidRPr="003008C7">
        <w:rPr>
          <w:rStyle w:val="Voetnootmarkering"/>
        </w:rPr>
        <w:t xml:space="preserve"> </w:t>
      </w:r>
      <w:r>
        <w:rPr>
          <w:rStyle w:val="Voetnootmarkering"/>
        </w:rPr>
        <w:footnoteReference w:id="47"/>
      </w:r>
    </w:p>
    <w:p w14:paraId="16C5DA10" w14:textId="77777777" w:rsidR="003008C7" w:rsidRPr="00BA360B" w:rsidRDefault="003008C7" w:rsidP="001F238C">
      <w:pPr>
        <w:pStyle w:val="Geenafstand"/>
      </w:pPr>
    </w:p>
    <w:p w14:paraId="0C96F27C" w14:textId="40974143" w:rsidR="001F238C" w:rsidRDefault="001F238C" w:rsidP="001F238C">
      <w:pPr>
        <w:pStyle w:val="Kop4"/>
      </w:pPr>
      <w:bookmarkStart w:id="183" w:name="_Toc42926191"/>
      <w:bookmarkStart w:id="184" w:name="_Toc81512510"/>
      <w:r>
        <w:t>TABEL 6B: Aansluiting transmissienettarieven Elia en de door de DNB doorgerekende transmissie</w:t>
      </w:r>
      <w:r w:rsidR="002A1AC5">
        <w:t>kosten</w:t>
      </w:r>
      <w:r>
        <w:t xml:space="preserve"> voor </w:t>
      </w:r>
      <w:r w:rsidR="00460037">
        <w:t>[</w:t>
      </w:r>
      <w:r>
        <w:t>20</w:t>
      </w:r>
      <w:r w:rsidR="00460037">
        <w:t>XX]</w:t>
      </w:r>
      <w:r w:rsidR="00460037" w:rsidRPr="00460037">
        <w:rPr>
          <w:rStyle w:val="Voetnootmarkering"/>
        </w:rPr>
        <w:t xml:space="preserve"> </w:t>
      </w:r>
      <w:r w:rsidR="00460037">
        <w:rPr>
          <w:rStyle w:val="Voetnootmarkering"/>
        </w:rPr>
        <w:footnoteReference w:id="48"/>
      </w:r>
      <w:bookmarkEnd w:id="183"/>
      <w:bookmarkEnd w:id="184"/>
    </w:p>
    <w:p w14:paraId="15E1488E" w14:textId="77777777" w:rsidR="001F238C" w:rsidRDefault="001F238C" w:rsidP="001F238C">
      <w:pPr>
        <w:pStyle w:val="Geenafstand"/>
      </w:pPr>
    </w:p>
    <w:p w14:paraId="7EA92A54" w14:textId="49A48525" w:rsidR="001F238C" w:rsidRDefault="001F238C" w:rsidP="001F238C">
      <w:pPr>
        <w:pStyle w:val="Geenafstand"/>
      </w:pPr>
      <w:r>
        <w:t xml:space="preserve">In deze tabel wordt per klantengroep een aansluiting gemaakt tussen de door de transmissienetbeheerder aangerekende tarieven en de </w:t>
      </w:r>
      <w:r w:rsidR="00DD5F32">
        <w:t>door de distributienetbeheerder doorgerekende transmissiekosten aan</w:t>
      </w:r>
      <w:r>
        <w:t xml:space="preserve"> de netgebruikers op het distributienet.</w:t>
      </w:r>
    </w:p>
    <w:p w14:paraId="3AC9C1F1" w14:textId="77777777" w:rsidR="001F238C" w:rsidRDefault="001F238C" w:rsidP="001F238C">
      <w:pPr>
        <w:pStyle w:val="Geenafstand"/>
      </w:pPr>
    </w:p>
    <w:p w14:paraId="692203E7" w14:textId="77777777" w:rsidR="001F238C" w:rsidRDefault="001F238C" w:rsidP="001F238C">
      <w:pPr>
        <w:pStyle w:val="Geenafstand"/>
      </w:pPr>
      <w:r>
        <w:t>De distributienetbeheerder dient in een afzonderlijk verklarende nota volgende elementen per klantengroep toe te lichten:</w:t>
      </w:r>
    </w:p>
    <w:p w14:paraId="58FCAE73" w14:textId="77777777" w:rsidR="001F238C" w:rsidRDefault="001F238C" w:rsidP="001F238C">
      <w:pPr>
        <w:pStyle w:val="Geenafstand"/>
      </w:pPr>
      <w:r>
        <w:t>-</w:t>
      </w:r>
      <w:r>
        <w:tab/>
        <w:t>Toegepaste netverliespercentages;</w:t>
      </w:r>
    </w:p>
    <w:p w14:paraId="70BD6371" w14:textId="77777777" w:rsidR="001F238C" w:rsidRDefault="001F238C" w:rsidP="001F238C">
      <w:pPr>
        <w:pStyle w:val="Geenafstand"/>
      </w:pPr>
      <w:r>
        <w:t>-</w:t>
      </w:r>
      <w:r>
        <w:tab/>
        <w:t>Toegepaste injectiecoëfficiënten</w:t>
      </w:r>
      <w:r>
        <w:rPr>
          <w:rStyle w:val="Voetnootmarkering"/>
        </w:rPr>
        <w:footnoteReference w:id="49"/>
      </w:r>
      <w:r>
        <w:t>.</w:t>
      </w:r>
    </w:p>
    <w:p w14:paraId="2C9CD4F2" w14:textId="77777777" w:rsidR="001F238C" w:rsidRDefault="001F238C" w:rsidP="001F238C">
      <w:pPr>
        <w:pStyle w:val="Geenafstand"/>
      </w:pPr>
    </w:p>
    <w:p w14:paraId="40F8C62B" w14:textId="35B03024" w:rsidR="001F238C" w:rsidRDefault="001F238C" w:rsidP="001F238C">
      <w:pPr>
        <w:pStyle w:val="Geenafstand"/>
      </w:pPr>
      <w:r>
        <w:t xml:space="preserve">Alle afwijkingen/correcties ten opzichte van de door de transmissienetbeheerder toegepaste tarieven dienen eveneens in een afzonderlijke nota te worden verklaard. Inzake het ‘tarief voor het beheer en de ontwikkeling van de netwerkinfrastructuur’ (zowel m.b.t. het tarief voor piekgemeten klanten als niet-piekgemeten klanten) dat in deze tabel in rekening wordt genomen, verwijst de VREG naar de detailberekening in ‘tabel 6C’ van het rapporteringsmodel (cfr paragraaf </w:t>
      </w:r>
      <w:r>
        <w:fldChar w:fldCharType="begin"/>
      </w:r>
      <w:r>
        <w:instrText xml:space="preserve"> REF _Ref42868391 \n \h </w:instrText>
      </w:r>
      <w:r>
        <w:fldChar w:fldCharType="separate"/>
      </w:r>
      <w:r w:rsidR="00964FA9">
        <w:t>2.1.1.9</w:t>
      </w:r>
      <w:r>
        <w:fldChar w:fldCharType="end"/>
      </w:r>
      <w:r>
        <w:t>).</w:t>
      </w:r>
    </w:p>
    <w:p w14:paraId="4333B237" w14:textId="3148B95B" w:rsidR="00E278B1" w:rsidRDefault="00E278B1" w:rsidP="001F238C">
      <w:pPr>
        <w:pStyle w:val="Geenafstand"/>
      </w:pPr>
    </w:p>
    <w:p w14:paraId="08F6F873" w14:textId="27265304" w:rsidR="00E278B1" w:rsidRPr="00BA360B" w:rsidRDefault="00E278B1" w:rsidP="00E278B1">
      <w:pPr>
        <w:pStyle w:val="Geenafstand"/>
      </w:pPr>
      <w:r>
        <w:t xml:space="preserve">[Gelet dat </w:t>
      </w:r>
      <w:r w:rsidR="00993A86">
        <w:t xml:space="preserve">met het uitstel van invoering van de nieuwe elektriciteitstariefstructuur </w:t>
      </w:r>
      <w:r>
        <w:t>de bijlage 7A ook na de publicatie van het arrest van het Grondwettelijk Hof van 14 januari 2021 (arrest nr. 5/2021)</w:t>
      </w:r>
      <w:r>
        <w:rPr>
          <w:rStyle w:val="Voetnootmarkering"/>
        </w:rPr>
        <w:footnoteReference w:id="50"/>
      </w:r>
      <w:r>
        <w:t xml:space="preserve"> toepassing vindt, dient de distributienetbeheerder voor 2022H1 de cellen met betrekking tot de klantengroepen ‘Prosumenten met terugdraaiende teller – Trans LS’ </w:t>
      </w:r>
      <w:r w:rsidR="00460037">
        <w:t>blanco te laten</w:t>
      </w:r>
      <w:r>
        <w:t>.]</w:t>
      </w:r>
      <w:r w:rsidRPr="003008C7">
        <w:rPr>
          <w:rStyle w:val="Voetnootmarkering"/>
        </w:rPr>
        <w:t xml:space="preserve"> </w:t>
      </w:r>
      <w:r>
        <w:rPr>
          <w:rStyle w:val="Voetnootmarkering"/>
        </w:rPr>
        <w:footnoteReference w:id="51"/>
      </w:r>
    </w:p>
    <w:p w14:paraId="4DFB9593" w14:textId="77777777" w:rsidR="00E278B1" w:rsidRPr="00BA360B" w:rsidRDefault="00E278B1" w:rsidP="001F238C">
      <w:pPr>
        <w:pStyle w:val="Geenafstand"/>
      </w:pPr>
    </w:p>
    <w:p w14:paraId="22D72408" w14:textId="77777777" w:rsidR="001F238C" w:rsidRDefault="001F238C" w:rsidP="001F238C">
      <w:pPr>
        <w:pStyle w:val="Kop4"/>
      </w:pPr>
      <w:bookmarkStart w:id="185" w:name="_Ref42868391"/>
      <w:bookmarkStart w:id="186" w:name="_Toc42926192"/>
      <w:bookmarkStart w:id="187" w:name="_Toc81512511"/>
      <w:r>
        <w:t>TABEL 6C: Bepaling tarieven voor het ‘beheer en de ontwikkeling van de netwerkinfrastructuur’</w:t>
      </w:r>
      <w:bookmarkEnd w:id="185"/>
      <w:bookmarkEnd w:id="186"/>
      <w:bookmarkEnd w:id="187"/>
    </w:p>
    <w:p w14:paraId="328E1A87" w14:textId="77777777" w:rsidR="001F238C" w:rsidRDefault="001F238C" w:rsidP="001F238C">
      <w:pPr>
        <w:pStyle w:val="Geenafstand"/>
      </w:pPr>
    </w:p>
    <w:p w14:paraId="109C7BCC" w14:textId="77777777" w:rsidR="001F238C" w:rsidRDefault="001F238C" w:rsidP="001F238C">
      <w:pPr>
        <w:pStyle w:val="Geenafstand"/>
      </w:pPr>
      <w:r>
        <w:t>In deze tabel wordt aan de hand van een detailberekening het ‘tarief voor het beheer en de ontwikkeling van de netwerkinfrastructuur’ bepaald en dit zowel voor de piekgemeten klanten (EUR/kW) als voor de niet-piekgemeten klanten (EUR/kWh) voor elk van de klantengroepen.</w:t>
      </w:r>
    </w:p>
    <w:p w14:paraId="5E45F0E9" w14:textId="77777777" w:rsidR="001F238C" w:rsidRDefault="001F238C" w:rsidP="001F238C">
      <w:pPr>
        <w:pStyle w:val="Geenafstand"/>
      </w:pPr>
    </w:p>
    <w:p w14:paraId="3C381680" w14:textId="35BAE2BA" w:rsidR="001F238C" w:rsidRDefault="001F238C" w:rsidP="001F238C">
      <w:pPr>
        <w:pStyle w:val="Geenafstand"/>
      </w:pPr>
      <w:r>
        <w:t>Vooreerst dient de distributienetbeheerder het door Elia aan he</w:t>
      </w:r>
      <w:r w:rsidR="0092178A">
        <w:t>m</w:t>
      </w:r>
      <w:r>
        <w:t xml:space="preserve"> gecommuniceerde budget m.b.t. volgende tariefcomponenten te rapporteren:</w:t>
      </w:r>
    </w:p>
    <w:p w14:paraId="4EC41001" w14:textId="77777777" w:rsidR="001F238C" w:rsidRDefault="001F238C" w:rsidP="001F238C">
      <w:pPr>
        <w:pStyle w:val="Geenafstand"/>
      </w:pPr>
      <w:r>
        <w:t>-</w:t>
      </w:r>
      <w:r>
        <w:tab/>
        <w:t>‘Tarief voor beheer en ontwikkeling van de netwerkinfrastructuur’;</w:t>
      </w:r>
    </w:p>
    <w:p w14:paraId="52A6D898" w14:textId="65A74B51" w:rsidR="001F238C" w:rsidRDefault="001F238C" w:rsidP="001F238C">
      <w:pPr>
        <w:pStyle w:val="Geenafstand"/>
      </w:pPr>
      <w:r>
        <w:t>-</w:t>
      </w:r>
      <w:r>
        <w:tab/>
        <w:t xml:space="preserve">‘Tarief aanvullende afname </w:t>
      </w:r>
      <w:r w:rsidR="001A30C5">
        <w:t xml:space="preserve">of injectie </w:t>
      </w:r>
      <w:r>
        <w:t>reactieve energie’;</w:t>
      </w:r>
    </w:p>
    <w:p w14:paraId="65D01E13" w14:textId="77777777" w:rsidR="001F238C" w:rsidRDefault="001F238C" w:rsidP="001F238C">
      <w:pPr>
        <w:pStyle w:val="Geenafstand"/>
      </w:pPr>
      <w:r>
        <w:t>-</w:t>
      </w:r>
      <w:r>
        <w:tab/>
        <w:t>‘Injectietarief voor vermogensreserve en blackstart’, en;</w:t>
      </w:r>
    </w:p>
    <w:p w14:paraId="7C1EBD74" w14:textId="77777777" w:rsidR="001F238C" w:rsidRDefault="001F238C" w:rsidP="001F238C">
      <w:pPr>
        <w:pStyle w:val="Geenafstand"/>
      </w:pPr>
      <w:r>
        <w:t>-</w:t>
      </w:r>
      <w:r>
        <w:tab/>
        <w:t>‘Aansluitingstarieven’.</w:t>
      </w:r>
    </w:p>
    <w:p w14:paraId="42570353" w14:textId="77777777" w:rsidR="001F238C" w:rsidRDefault="001F238C" w:rsidP="001F238C">
      <w:pPr>
        <w:pStyle w:val="Geenafstand"/>
      </w:pPr>
    </w:p>
    <w:p w14:paraId="1F276E7B" w14:textId="050316E7" w:rsidR="001F238C" w:rsidRDefault="001F238C" w:rsidP="001F238C">
      <w:pPr>
        <w:pStyle w:val="Geenafstand"/>
      </w:pPr>
      <w:r>
        <w:t>De gewestgrensoverschrijdende distributienetbeheerders</w:t>
      </w:r>
      <w:r w:rsidR="00EB0A21">
        <w:t>, voor zover nog van toepassing,</w:t>
      </w:r>
      <w:r>
        <w:t xml:space="preserve"> dienen hierbij ook het aandeel van het Vlaamse Gewest in het door Elia aan hen gecommuniceerde budget te bepalen en onderbouwen. </w:t>
      </w:r>
    </w:p>
    <w:p w14:paraId="46C62AAB" w14:textId="77777777" w:rsidR="001F238C" w:rsidRDefault="001F238C" w:rsidP="001F238C">
      <w:pPr>
        <w:pStyle w:val="Geenafstand"/>
      </w:pPr>
    </w:p>
    <w:p w14:paraId="2A9CAEE1" w14:textId="0B5155AA" w:rsidR="001E38B3" w:rsidRDefault="001F238C" w:rsidP="001F238C">
      <w:pPr>
        <w:pStyle w:val="Geenafstand"/>
      </w:pPr>
      <w:r>
        <w:t xml:space="preserve">Vervolgens dient de distributienetbeheerder eveneens </w:t>
      </w:r>
      <w:r w:rsidR="00D82674">
        <w:t>het door de VREG</w:t>
      </w:r>
      <w:r>
        <w:t xml:space="preserve"> voor boekjaar </w:t>
      </w:r>
      <w:r w:rsidR="00460037">
        <w:t>[</w:t>
      </w:r>
      <w:r>
        <w:t>20</w:t>
      </w:r>
      <w:r w:rsidR="00460037">
        <w:t>XX]</w:t>
      </w:r>
      <w:r w:rsidR="00460037" w:rsidRPr="00460037">
        <w:rPr>
          <w:rStyle w:val="Voetnootmarkering"/>
        </w:rPr>
        <w:t xml:space="preserve"> </w:t>
      </w:r>
      <w:r w:rsidR="00460037">
        <w:rPr>
          <w:rStyle w:val="Voetnootmarkering"/>
        </w:rPr>
        <w:footnoteReference w:id="52"/>
      </w:r>
      <w:r>
        <w:t xml:space="preserve"> </w:t>
      </w:r>
      <w:r w:rsidR="00D82674">
        <w:t xml:space="preserve">toegelaten inkomen </w:t>
      </w:r>
      <w:r w:rsidR="001E38B3">
        <w:t>inzake exogene kosten m.b.t. transmissie te rapporteren:</w:t>
      </w:r>
    </w:p>
    <w:p w14:paraId="51F433F8" w14:textId="5C2E7EC4" w:rsidR="001E38B3" w:rsidRDefault="002370AD" w:rsidP="001E38B3">
      <w:pPr>
        <w:pStyle w:val="Geenafstand"/>
        <w:numPr>
          <w:ilvl w:val="0"/>
          <w:numId w:val="25"/>
        </w:numPr>
      </w:pPr>
      <w:r>
        <w:t>Kosten inzake doorvoer m.b.t. tarief voor beheer en ontw</w:t>
      </w:r>
      <w:r w:rsidR="00943355">
        <w:t xml:space="preserve">ikkeling </w:t>
      </w:r>
      <w:r w:rsidR="00C5001F">
        <w:t>n</w:t>
      </w:r>
      <w:r>
        <w:t>etwerkinfrastructuur</w:t>
      </w:r>
    </w:p>
    <w:p w14:paraId="3B5FAEA0" w14:textId="79FB65C1" w:rsidR="001F238C" w:rsidRDefault="00943355" w:rsidP="001E38B3">
      <w:pPr>
        <w:pStyle w:val="Geenafstand"/>
        <w:numPr>
          <w:ilvl w:val="0"/>
          <w:numId w:val="25"/>
        </w:numPr>
      </w:pPr>
      <w:r>
        <w:t xml:space="preserve">Afbouw van </w:t>
      </w:r>
      <w:r w:rsidR="001F238C">
        <w:t xml:space="preserve">het regulatoir saldo inzake exogene kosten m.b.t. transmissie </w:t>
      </w:r>
    </w:p>
    <w:p w14:paraId="3C7B985F" w14:textId="43217E2C" w:rsidR="00D715DC" w:rsidRDefault="00D715DC" w:rsidP="001E38B3">
      <w:pPr>
        <w:pStyle w:val="Geenafstand"/>
        <w:numPr>
          <w:ilvl w:val="0"/>
          <w:numId w:val="25"/>
        </w:numPr>
      </w:pPr>
      <w:r>
        <w:t>Kapitaalkostvergoeding van het regulatoir saldo inzake exogene kosten m.b.t. transmissie</w:t>
      </w:r>
    </w:p>
    <w:p w14:paraId="60BAF50F" w14:textId="77777777" w:rsidR="001F238C" w:rsidRDefault="001F238C" w:rsidP="001F238C">
      <w:pPr>
        <w:pStyle w:val="Geenafstand"/>
      </w:pPr>
    </w:p>
    <w:p w14:paraId="7F581E7B" w14:textId="5295A099" w:rsidR="001F238C" w:rsidRDefault="001F238C" w:rsidP="001F238C">
      <w:pPr>
        <w:pStyle w:val="Geenafstand"/>
      </w:pPr>
      <w:r>
        <w:t xml:space="preserve">Het geheel van vorige bedragen vormt de basis ter bepaling van </w:t>
      </w:r>
      <w:r w:rsidR="00806580">
        <w:t xml:space="preserve">de tarieven </w:t>
      </w:r>
      <w:r>
        <w:t xml:space="preserve">voor het beheer en de ontwikkeling van de netwerkinfrastructuur. </w:t>
      </w:r>
    </w:p>
    <w:p w14:paraId="7296534F" w14:textId="77777777" w:rsidR="001F238C" w:rsidRDefault="001F238C" w:rsidP="001F238C">
      <w:pPr>
        <w:pStyle w:val="Geenafstand"/>
      </w:pPr>
    </w:p>
    <w:p w14:paraId="0C06FD02" w14:textId="3ABFB7CA" w:rsidR="001F238C" w:rsidRDefault="001F238C" w:rsidP="001F238C">
      <w:pPr>
        <w:pStyle w:val="Geenafstand"/>
      </w:pPr>
      <w:r>
        <w:t>In een volgende stap wordt het tarief voor de vermogen</w:t>
      </w:r>
      <w:r w:rsidR="00FB4310">
        <w:t>s</w:t>
      </w:r>
      <w:r>
        <w:t>term voor de piekgemeten klanten bepaald (tariefdrager kW) en dit op basis van hun kW-rekenvolume. Dit rekenvolume dient overeen te stemmen met de voorgeschreven rekenvolumes zoals beschreven in paragraaf 10.4 van de hoofdtekst van de tariefmethodologie. Verder wordt de door de distributienetbeheerder gerapporteerde afvlakkingscoëfficiënt in de vermogensterm geïncorporeerd. Vervolgens kan voor de piekgemeten klanten o.b.v. de detailberekening van de distributienetbeheerder, die hij afzonderlijk rapporteert</w:t>
      </w:r>
      <w:r w:rsidR="00F71174">
        <w:t xml:space="preserve"> </w:t>
      </w:r>
      <w:r w:rsidR="00906146">
        <w:t xml:space="preserve">(cfr </w:t>
      </w:r>
      <w:r w:rsidR="006A7731">
        <w:t>infra</w:t>
      </w:r>
      <w:r w:rsidR="00906146">
        <w:t>)</w:t>
      </w:r>
      <w:r>
        <w:t>, worden bepaald welk gedeelte van het budget bij deze klanten kan gerecupereerd worden. In deze detailberekening houdt de distributienetbeheerder rekening met volgende elementen:</w:t>
      </w:r>
    </w:p>
    <w:p w14:paraId="0324DA38" w14:textId="77777777" w:rsidR="001F238C" w:rsidRDefault="001F238C" w:rsidP="001F238C">
      <w:pPr>
        <w:pStyle w:val="Geenafstand"/>
      </w:pPr>
      <w:r>
        <w:t>-</w:t>
      </w:r>
      <w:r>
        <w:tab/>
        <w:t>kW-rekenvolume per piekgemeten klant;</w:t>
      </w:r>
    </w:p>
    <w:p w14:paraId="37D45B6E" w14:textId="569345C4" w:rsidR="001F238C" w:rsidRDefault="001F238C" w:rsidP="001F238C">
      <w:pPr>
        <w:pStyle w:val="Geenafstand"/>
      </w:pPr>
      <w:r>
        <w:t>-</w:t>
      </w:r>
      <w:r>
        <w:tab/>
        <w:t>de vermogen</w:t>
      </w:r>
      <w:r w:rsidR="00906146">
        <w:t>s</w:t>
      </w:r>
      <w:r>
        <w:t>term (inclusief de afvlakkingscoëfficiënt) van de distributienetbeheerder;</w:t>
      </w:r>
    </w:p>
    <w:p w14:paraId="68C45092" w14:textId="77777777" w:rsidR="001F238C" w:rsidRDefault="001F238C" w:rsidP="001F238C">
      <w:pPr>
        <w:pStyle w:val="Geenafstand"/>
      </w:pPr>
      <w:r>
        <w:t>-</w:t>
      </w:r>
      <w:r>
        <w:tab/>
        <w:t>de gelijktijdigheidscoëfficiënt voor elke klantengroep;</w:t>
      </w:r>
    </w:p>
    <w:p w14:paraId="4E53D811" w14:textId="77777777" w:rsidR="001F238C" w:rsidRDefault="001F238C" w:rsidP="001F238C">
      <w:pPr>
        <w:pStyle w:val="Geenafstand"/>
      </w:pPr>
      <w:r>
        <w:t>-</w:t>
      </w:r>
      <w:r>
        <w:tab/>
        <w:t>de toepassing van het maximumtarief.</w:t>
      </w:r>
    </w:p>
    <w:p w14:paraId="0194D4A7" w14:textId="77777777" w:rsidR="001F238C" w:rsidRDefault="001F238C" w:rsidP="001F238C">
      <w:pPr>
        <w:pStyle w:val="Geenafstand"/>
      </w:pPr>
    </w:p>
    <w:p w14:paraId="45AEC14A" w14:textId="696286E5" w:rsidR="001F238C" w:rsidRDefault="001F238C" w:rsidP="001F238C">
      <w:pPr>
        <w:pStyle w:val="Geenafstand"/>
      </w:pPr>
      <w:r>
        <w:t xml:space="preserve">Het resterende saldo van het budget zal gerecupereerd worden bij de niet-piekgemeten klanten, op basis van de tariefdrager kWh. Voor de niet-piekgemeten klanten dient een onderscheid worden gemaakt tussen de niet-piekgemeten klanten </w:t>
      </w:r>
      <w:r w:rsidR="00391875">
        <w:t>met een maximumtarief</w:t>
      </w:r>
      <w:r>
        <w:t xml:space="preserve"> en de niet-piekgemeten laagspanningsklanten (waarvoor geen maximumtarief van toepassing is). Vooreerst wordt hierbij het kWh-tarief bepaald o.b.v. het totaal kWh-rekenvolume voor alle niet-piekgemeten klanten en het resterende saldo van het budget dat nog moet gerecupereerd worden. Dit rekenvolume dient overeen te stemmen met de voorgeschreven rekenvolumes zoals beschreven in paragraaf 10.4 van de hoofdtekst van de tariefmethodologie. Hierbij dienen ook de </w:t>
      </w:r>
      <w:r>
        <w:lastRenderedPageBreak/>
        <w:t xml:space="preserve">gecompenseerde (niet-gemeten) afgenomen kWh van de klantengroep ‘prosumenten met terugdraaiende teller’ in rekening worden gebracht. </w:t>
      </w:r>
    </w:p>
    <w:p w14:paraId="5C3A1DAE" w14:textId="77777777" w:rsidR="001F238C" w:rsidRDefault="001F238C" w:rsidP="001F238C">
      <w:pPr>
        <w:pStyle w:val="Geenafstand"/>
      </w:pPr>
    </w:p>
    <w:p w14:paraId="3C9193CC" w14:textId="2B99F020" w:rsidR="001F238C" w:rsidRDefault="001F238C" w:rsidP="001F238C">
      <w:pPr>
        <w:pStyle w:val="Geenafstand"/>
      </w:pPr>
      <w:r>
        <w:t xml:space="preserve">Vervolgens wordt bepaald welk gedeelte van het budget kan gerecupereerd worden bij de niet-piekgemeten klanten </w:t>
      </w:r>
      <w:r w:rsidR="0077457B">
        <w:t>met maximumtarief</w:t>
      </w:r>
      <w:r>
        <w:t xml:space="preserve">. </w:t>
      </w:r>
    </w:p>
    <w:p w14:paraId="37DFCF0E" w14:textId="77777777" w:rsidR="001F238C" w:rsidRDefault="001F238C" w:rsidP="001F238C">
      <w:pPr>
        <w:pStyle w:val="Geenafstand"/>
      </w:pPr>
    </w:p>
    <w:p w14:paraId="20170CAD" w14:textId="77777777" w:rsidR="001F238C" w:rsidRDefault="001F238C" w:rsidP="001F238C">
      <w:pPr>
        <w:pStyle w:val="Geenafstand"/>
      </w:pPr>
      <w:r>
        <w:t xml:space="preserve">Het resterende saldo van het budget dient ter bepaling van het kWh-tarief voor de niet-piekgemeten laagspanningsklanten. </w:t>
      </w:r>
    </w:p>
    <w:p w14:paraId="2F4E125B" w14:textId="77777777" w:rsidR="001F238C" w:rsidRDefault="001F238C" w:rsidP="001F238C">
      <w:pPr>
        <w:pStyle w:val="Geenafstand"/>
      </w:pPr>
    </w:p>
    <w:p w14:paraId="6122E7CD" w14:textId="4A1159D9" w:rsidR="001F238C" w:rsidRDefault="00ED0072" w:rsidP="001F238C">
      <w:pPr>
        <w:pStyle w:val="Geenafstand"/>
      </w:pPr>
      <w:r>
        <w:t>Te</w:t>
      </w:r>
      <w:r w:rsidR="001F238C">
        <w:t>r</w:t>
      </w:r>
      <w:r>
        <w:t xml:space="preserve"> bepaling van de betreffende tar</w:t>
      </w:r>
      <w:r w:rsidR="00044E7A">
        <w:t>i</w:t>
      </w:r>
      <w:r>
        <w:t>even</w:t>
      </w:r>
      <w:r w:rsidR="001F238C">
        <w:t xml:space="preserve"> dient de distributienetbeheerder volgende bijkomende informatie bij zijn tariefvoorstel op te leveren:</w:t>
      </w:r>
    </w:p>
    <w:p w14:paraId="13238CE6" w14:textId="1CEDDF66" w:rsidR="001F238C" w:rsidRDefault="001F238C" w:rsidP="001F238C">
      <w:pPr>
        <w:pStyle w:val="Geenafstand"/>
      </w:pPr>
      <w:r>
        <w:t>-</w:t>
      </w:r>
      <w:r>
        <w:tab/>
        <w:t>Communicatie door Elia aan de distributienetbeheerder m.b.t. het budget voor het betreffende jaar inzake het ‘tarief voor beheer en ontwikkeling netwerkinfrastructuur’, ‘tarief aanvullende afname</w:t>
      </w:r>
      <w:r w:rsidR="00264936">
        <w:t xml:space="preserve"> of injectie</w:t>
      </w:r>
      <w:r>
        <w:t xml:space="preserve"> reactieve energie’, ‘injectietarief voor vermogensreserve en blackstart’ en de ‘aansluitingstarieven’ ; </w:t>
      </w:r>
    </w:p>
    <w:p w14:paraId="55E11CD5" w14:textId="77777777" w:rsidR="001F238C" w:rsidRPr="008B579C" w:rsidRDefault="001F238C" w:rsidP="001F238C">
      <w:pPr>
        <w:pStyle w:val="Geenafstand"/>
      </w:pPr>
      <w:r w:rsidRPr="008B579C">
        <w:t>-</w:t>
      </w:r>
      <w:r w:rsidRPr="008B579C">
        <w:tab/>
        <w:t>Verantwoording van de gehanteerde afvlakkingscoëfficiënt;</w:t>
      </w:r>
    </w:p>
    <w:p w14:paraId="381C09F2" w14:textId="0BB97EEB" w:rsidR="001F238C" w:rsidRDefault="001F238C" w:rsidP="001F238C">
      <w:pPr>
        <w:pStyle w:val="Geenafstand"/>
      </w:pPr>
      <w:r w:rsidRPr="008B579C">
        <w:t>-</w:t>
      </w:r>
      <w:r w:rsidRPr="008B579C">
        <w:tab/>
        <w:t xml:space="preserve">Inzake de op te leveren informatie m.b.t. de toepassing van het maximumtarief, verwijst de VREG naar punt 2 in </w:t>
      </w:r>
      <w:r w:rsidR="008B579C" w:rsidRPr="008B579C">
        <w:t>paragraaf</w:t>
      </w:r>
      <w:r w:rsidR="008B579C">
        <w:t xml:space="preserve"> 1.1 van </w:t>
      </w:r>
      <w:r>
        <w:t>de bijlage 8 van de tariefmethodologie.</w:t>
      </w:r>
    </w:p>
    <w:p w14:paraId="26B65857" w14:textId="77777777" w:rsidR="001F238C" w:rsidRDefault="001F238C" w:rsidP="001F238C">
      <w:pPr>
        <w:pStyle w:val="Geenafstand"/>
      </w:pPr>
    </w:p>
    <w:p w14:paraId="74B4149B" w14:textId="47837E31" w:rsidR="001F238C" w:rsidRDefault="001F238C" w:rsidP="001F238C">
      <w:pPr>
        <w:pStyle w:val="Geenafstand"/>
      </w:pPr>
      <w:r>
        <w:t>De distributienetbeheerders dienen bovendien positieve waarden te rapporteren voor kosten (indien debetsaldo) en opbrengsten (indien creditsaldo), en omgekeerd.</w:t>
      </w:r>
    </w:p>
    <w:p w14:paraId="1A8CFDF0" w14:textId="2DF69563" w:rsidR="00AF4F36" w:rsidRDefault="00AF4F36" w:rsidP="001F238C">
      <w:pPr>
        <w:pStyle w:val="Geenafstand"/>
      </w:pPr>
    </w:p>
    <w:p w14:paraId="2EBF9BFA" w14:textId="438476AD" w:rsidR="00AF4F36" w:rsidRPr="00BA360B" w:rsidRDefault="00AF4F36" w:rsidP="00AF4F36">
      <w:pPr>
        <w:pStyle w:val="Geenafstand"/>
      </w:pPr>
      <w:r>
        <w:t xml:space="preserve">[Gelet dat </w:t>
      </w:r>
      <w:r w:rsidR="00993A86">
        <w:t xml:space="preserve">met het uitstel van invoering van de nieuwe elektriciteitstariefstructuur </w:t>
      </w:r>
      <w:r>
        <w:t>de bijlage 7A ook na de publicatie van het arrest van het Grondwettelijk Hof van 14 januari 2021 (arrest nr. 5/2021)</w:t>
      </w:r>
      <w:r>
        <w:rPr>
          <w:rStyle w:val="Voetnootmarkering"/>
        </w:rPr>
        <w:footnoteReference w:id="53"/>
      </w:r>
      <w:r>
        <w:t xml:space="preserve"> toepassing vindt, dient de distributienetbeheerder voor 2022H1 de cellen met betrekking tot de klantengroepen ‘Prosumenten met terugdraaiende teller - Trans LS met piekmeting’, ‘Prosumenten met terugdraaiende teller - Trans LS zonder piekmeting’ en ‘Prosumenten met terugdraaiende teller - LS met piekmeting’ </w:t>
      </w:r>
      <w:r w:rsidR="00460037">
        <w:t>blanco te laten</w:t>
      </w:r>
      <w:r>
        <w:t>.]</w:t>
      </w:r>
      <w:r w:rsidRPr="003008C7">
        <w:rPr>
          <w:rStyle w:val="Voetnootmarkering"/>
        </w:rPr>
        <w:t xml:space="preserve"> </w:t>
      </w:r>
      <w:r>
        <w:rPr>
          <w:rStyle w:val="Voetnootmarkering"/>
        </w:rPr>
        <w:footnoteReference w:id="54"/>
      </w:r>
    </w:p>
    <w:p w14:paraId="67CDCF74" w14:textId="77777777" w:rsidR="00AF4F36" w:rsidRPr="00BA360B" w:rsidRDefault="00AF4F36" w:rsidP="001F238C">
      <w:pPr>
        <w:pStyle w:val="Geenafstand"/>
      </w:pPr>
    </w:p>
    <w:p w14:paraId="3B876530" w14:textId="4A500DDC" w:rsidR="001F238C" w:rsidRDefault="001F238C" w:rsidP="001F238C">
      <w:pPr>
        <w:pStyle w:val="Kop4"/>
      </w:pPr>
      <w:bookmarkStart w:id="188" w:name="_Ref42867576"/>
      <w:bookmarkStart w:id="189" w:name="_Toc42926193"/>
      <w:bookmarkStart w:id="190" w:name="_Toc81512512"/>
      <w:r>
        <w:t xml:space="preserve">TABEL 7: Naam distributienetbeheerder – ELEKTRICITEIT – Tarieflijst </w:t>
      </w:r>
      <w:r w:rsidR="008B579C">
        <w:t xml:space="preserve">periodieke </w:t>
      </w:r>
      <w:r>
        <w:t xml:space="preserve">distributienettarieven </w:t>
      </w:r>
      <w:r w:rsidR="00460037">
        <w:t>[</w:t>
      </w:r>
      <w:r>
        <w:t>20</w:t>
      </w:r>
      <w:r w:rsidR="00460037">
        <w:t>XX]</w:t>
      </w:r>
      <w:r w:rsidR="00460037" w:rsidRPr="00460037">
        <w:rPr>
          <w:rStyle w:val="Voetnootmarkering"/>
        </w:rPr>
        <w:t xml:space="preserve"> </w:t>
      </w:r>
      <w:r w:rsidR="00460037">
        <w:rPr>
          <w:rStyle w:val="Voetnootmarkering"/>
        </w:rPr>
        <w:footnoteReference w:id="55"/>
      </w:r>
      <w:r>
        <w:t xml:space="preserve"> – Injectie</w:t>
      </w:r>
      <w:bookmarkEnd w:id="188"/>
      <w:bookmarkEnd w:id="189"/>
      <w:bookmarkEnd w:id="190"/>
    </w:p>
    <w:p w14:paraId="5441A50C" w14:textId="77777777" w:rsidR="001F238C" w:rsidRDefault="001F238C" w:rsidP="001F238C">
      <w:pPr>
        <w:pStyle w:val="Geenafstand"/>
      </w:pPr>
    </w:p>
    <w:p w14:paraId="7565A98E" w14:textId="0CE35818" w:rsidR="001F238C" w:rsidRDefault="001F238C" w:rsidP="001F238C">
      <w:pPr>
        <w:pStyle w:val="Geenafstand"/>
      </w:pPr>
      <w:r>
        <w:t xml:space="preserve">In deze tabel wordt de tariefmatrix m.b.t. de tariefstructuur voor elektriciteit (injectie) opgenomen. Hierbij dient de distributienetbeheerder de tariefcodes, ‘type of connection’, veldnamen, BTW-% en globalisatiecodes op te geven. Vervolgens dient uiteraard het tarief per tariefcomponent en per klantengroep worden opgegeven door de distributienetbeheerder en dit enerzijds na toepassing van de verdeelsleutels op het gebudgetteerde inkomen per tariefcomponent en per klantengroep en anderzijds na toepassing van de rekenvolumes. Met betrekking tot de toe te passen verdeelsleutels verwijst de VREG naar de bepalingen in paragraaf 10.3 van de hoofdtekst van de tariefmethodologie. Inzake de toe te passen rekenvolumes </w:t>
      </w:r>
      <w:r w:rsidR="006B390A">
        <w:t>wordt</w:t>
      </w:r>
      <w:r>
        <w:t xml:space="preserve"> naar paragraaf 10.4 van de hoofdtekst van de tariefmethodologie</w:t>
      </w:r>
      <w:r w:rsidR="006B390A">
        <w:t xml:space="preserve"> verwezen</w:t>
      </w:r>
      <w:r>
        <w:t xml:space="preserve">. </w:t>
      </w:r>
    </w:p>
    <w:p w14:paraId="58269183" w14:textId="77777777" w:rsidR="001F238C" w:rsidRDefault="001F238C" w:rsidP="001F238C">
      <w:pPr>
        <w:pStyle w:val="Geenafstand"/>
      </w:pPr>
    </w:p>
    <w:p w14:paraId="2A5DA925" w14:textId="2B65F176" w:rsidR="001F238C" w:rsidRPr="00BA360B" w:rsidRDefault="001F238C" w:rsidP="001F238C">
      <w:pPr>
        <w:pStyle w:val="Geenafstand"/>
      </w:pPr>
      <w:r>
        <w:t xml:space="preserve">De tarieven worden afgerond </w:t>
      </w:r>
      <w:r w:rsidR="007F2FFC">
        <w:t>op 7 decimalen</w:t>
      </w:r>
      <w:r>
        <w:t xml:space="preserve">, met uitzondering van het ‘tarief </w:t>
      </w:r>
      <w:r w:rsidR="007F2FFC">
        <w:t>databeheer</w:t>
      </w:r>
      <w:r>
        <w:t>’ d</w:t>
      </w:r>
      <w:r w:rsidR="005F2B71">
        <w:t>at</w:t>
      </w:r>
      <w:r>
        <w:t xml:space="preserve"> wordt afgerond </w:t>
      </w:r>
      <w:r w:rsidR="007F2FFC">
        <w:t>op 2 decimalen</w:t>
      </w:r>
      <w:r>
        <w:t>.</w:t>
      </w:r>
    </w:p>
    <w:p w14:paraId="662ECBA1" w14:textId="2BE83B63" w:rsidR="001F238C" w:rsidRDefault="001F238C" w:rsidP="001F238C">
      <w:pPr>
        <w:pStyle w:val="Kop4"/>
      </w:pPr>
      <w:bookmarkStart w:id="191" w:name="_Toc42926194"/>
      <w:bookmarkStart w:id="192" w:name="_Toc81512513"/>
      <w:r>
        <w:lastRenderedPageBreak/>
        <w:t xml:space="preserve">TABEL 8: Reconciliatie van het gebudgetteerde inkomen voor de gereguleerde activiteit ‘elektriciteit’ met de geraamde omzet voor de periodieke </w:t>
      </w:r>
      <w:r w:rsidR="00CF1A38">
        <w:t>distributienet</w:t>
      </w:r>
      <w:r>
        <w:t>tarieven (injectie)</w:t>
      </w:r>
      <w:bookmarkEnd w:id="191"/>
      <w:bookmarkEnd w:id="192"/>
    </w:p>
    <w:p w14:paraId="2C46BB80" w14:textId="69A47778" w:rsidR="001F238C" w:rsidRDefault="001F238C" w:rsidP="001F238C">
      <w:r w:rsidRPr="007E4CBD">
        <w:t>In ‘tabel 8’ wordt een reconciliatie gemaakt tussen de verwachte omzet (berekend a.d.h.v. de vermenigvuldiging van de periodieke elektriciteitsdistributienettarieven voor injectie met de rekenvolumes) en het gebudgetteerde inkomen voor de periodieke injectietarieven m.b.t. de gereguleerde activiteit ‘elektriciteit’. Per tariefcomponent en per klantengroep wordt de verwachte omzet berekend dat via de tarieven wordt verkregen. De verwachte omzet per klantengroep dient vervolgens overeen te komen met (of is lager dan) het gebudgetteerde inkomen voor de gereguleerde activiteit ‘elektriciteit’ (injectie) dat in ‘tabel 3’ van het rapporteringsmodel kan teruggevonden worden, op eventuele afrondingsverschillen na. Verder wordt ook nagegaan dat de verwachte omzet uit zowel de afname- als injectietarieven m.b.t. de gereguleerde activiteit ‘elektriciteit’ overeen komt</w:t>
      </w:r>
      <w:r w:rsidR="00821CF1">
        <w:t xml:space="preserve"> met</w:t>
      </w:r>
      <w:r w:rsidRPr="007E4CBD">
        <w:t xml:space="preserve"> (of is lager dan) het gebudgetteerde inkomen m.b.t. afname en injectie voor de gereguleerde activiteit ‘elektriciteit’ (excl. het inkomen in verband met het gebruik van het transmissienet), op eventuele afrondingsverschillen na.</w:t>
      </w:r>
    </w:p>
    <w:p w14:paraId="37D512A8" w14:textId="77777777" w:rsidR="001F238C" w:rsidRDefault="001F238C" w:rsidP="001F238C">
      <w:pPr>
        <w:pStyle w:val="Kop4"/>
      </w:pPr>
      <w:bookmarkStart w:id="193" w:name="_Ref42867473"/>
      <w:bookmarkStart w:id="194" w:name="_Toc42926195"/>
      <w:bookmarkStart w:id="195" w:name="_Toc81512514"/>
      <w:r>
        <w:t>TABEL 9: Budget per tariefcomponenten voor gereguleerde activiteit ‘aardgas’</w:t>
      </w:r>
      <w:bookmarkEnd w:id="193"/>
      <w:bookmarkEnd w:id="194"/>
      <w:bookmarkEnd w:id="195"/>
    </w:p>
    <w:p w14:paraId="04399020" w14:textId="6910F7DC" w:rsidR="001F238C" w:rsidRDefault="00A025E2" w:rsidP="001F238C">
      <w:r>
        <w:t>Deze tabel</w:t>
      </w:r>
      <w:r w:rsidR="001F238C">
        <w:t xml:space="preserve"> geeft een algemeen overzicht van het budget van de distributienetbeheerder uit de periodieke distributienettarieven voor de gereguleerde activiteit ‘aardgas’. Daarbij wordt een onderscheid gemaakt </w:t>
      </w:r>
      <w:r w:rsidR="00C31CA4">
        <w:t>naargelang</w:t>
      </w:r>
      <w:r w:rsidR="001E3110">
        <w:t xml:space="preserve"> de energierichting (afname en injectie)</w:t>
      </w:r>
      <w:r w:rsidR="00950AEF">
        <w:t xml:space="preserve"> en de verschillende tariefcomponenten</w:t>
      </w:r>
      <w:r w:rsidR="001E3110">
        <w:t xml:space="preserve">. Voor elke energierichting </w:t>
      </w:r>
      <w:r w:rsidR="00950AEF">
        <w:t>en elke tariefcomponent wordt vervolgens het</w:t>
      </w:r>
      <w:r w:rsidR="001F238C">
        <w:t xml:space="preserve"> budget voor exogene kosten en endogene kosten </w:t>
      </w:r>
      <w:r w:rsidR="00950AEF">
        <w:t>bepaald</w:t>
      </w:r>
      <w:r w:rsidR="001F238C">
        <w:t>.</w:t>
      </w:r>
    </w:p>
    <w:p w14:paraId="2F5ACDFA" w14:textId="17AE4F14" w:rsidR="001F238C" w:rsidRDefault="00950AEF" w:rsidP="001F238C">
      <w:r>
        <w:t xml:space="preserve">Deze tabel </w:t>
      </w:r>
      <w:r w:rsidR="001F238C">
        <w:t>wordt automatisch ingevuld op basis van de rapportering in ‘</w:t>
      </w:r>
      <w:r w:rsidR="004B7F7D">
        <w:t>t</w:t>
      </w:r>
      <w:r w:rsidR="001F238C">
        <w:t>abel 10’.</w:t>
      </w:r>
    </w:p>
    <w:p w14:paraId="1F4D25EE" w14:textId="0CCC65EF" w:rsidR="001F238C" w:rsidRPr="007E4CBD" w:rsidRDefault="001F238C" w:rsidP="001F238C">
      <w:r>
        <w:t>De distributienetbeheerder dient ervoor te zorgen dat het budget voor exogene kosten overeenstemt met het door de VREG toegelaten inkomen voor exogene kosten, terwijl het budget voor endogene kosten het door de VREG toegelaten inkomen voor endogene kosten niet mag overschrijden.</w:t>
      </w:r>
    </w:p>
    <w:p w14:paraId="6DB4E410" w14:textId="77777777" w:rsidR="001F238C" w:rsidRDefault="001F238C" w:rsidP="001F238C">
      <w:pPr>
        <w:pStyle w:val="Kop4"/>
      </w:pPr>
      <w:bookmarkStart w:id="196" w:name="_Ref42867509"/>
      <w:bookmarkStart w:id="197" w:name="_Toc42926196"/>
      <w:bookmarkStart w:id="198" w:name="_Toc81512515"/>
      <w:r>
        <w:t>TABEL 10: Budget per energierichting en klantengroep voor gereguleerde activiteit ‘aardgas’</w:t>
      </w:r>
      <w:bookmarkEnd w:id="196"/>
      <w:bookmarkEnd w:id="197"/>
      <w:bookmarkEnd w:id="198"/>
    </w:p>
    <w:p w14:paraId="4F9E3A64" w14:textId="597D4CE8" w:rsidR="001F238C" w:rsidRDefault="001F238C" w:rsidP="001F238C">
      <w:r>
        <w:t>In dit werkblad rapporteert de distributienetbeheerder het budget dat hij aan iedere tariefcomponent en klantengroep toewijst conform paragraaf 12.</w:t>
      </w:r>
      <w:r w:rsidR="0045607A">
        <w:t>2</w:t>
      </w:r>
      <w:r>
        <w:t xml:space="preserve"> van de hoofdtekst van de tariefmethodologie. Daarbij wordt een onderscheid gemaakt tussen het budget voor exogene kosten en voor endogene kosten.</w:t>
      </w:r>
    </w:p>
    <w:p w14:paraId="2E411F78" w14:textId="2326E398" w:rsidR="001F238C" w:rsidRDefault="001F238C" w:rsidP="001F238C">
      <w:pPr>
        <w:pStyle w:val="Kop4"/>
      </w:pPr>
      <w:bookmarkStart w:id="199" w:name="_Ref42867591"/>
      <w:bookmarkStart w:id="200" w:name="_Toc42926197"/>
      <w:bookmarkStart w:id="201" w:name="_Toc81512516"/>
      <w:r>
        <w:t xml:space="preserve">TABEL 11A: Naam distributienetbeheerder – AARDGAS – Tarieflijst periodieke distributienettarieven </w:t>
      </w:r>
      <w:r w:rsidR="00460037">
        <w:t>[</w:t>
      </w:r>
      <w:r>
        <w:t>20</w:t>
      </w:r>
      <w:r w:rsidR="00460037">
        <w:t>XX]</w:t>
      </w:r>
      <w:r w:rsidR="00460037" w:rsidRPr="00460037">
        <w:rPr>
          <w:rStyle w:val="Voetnootmarkering"/>
        </w:rPr>
        <w:t xml:space="preserve"> </w:t>
      </w:r>
      <w:r w:rsidR="00460037">
        <w:rPr>
          <w:rStyle w:val="Voetnootmarkering"/>
        </w:rPr>
        <w:footnoteReference w:id="56"/>
      </w:r>
      <w:r>
        <w:t xml:space="preserve"> – Afname</w:t>
      </w:r>
      <w:bookmarkEnd w:id="199"/>
      <w:bookmarkEnd w:id="200"/>
      <w:bookmarkEnd w:id="201"/>
    </w:p>
    <w:p w14:paraId="13610EB2" w14:textId="6559F264" w:rsidR="001F238C" w:rsidRDefault="001F238C" w:rsidP="001F238C">
      <w:r>
        <w:t xml:space="preserve">In deze tabel wordt de tariefmatrix m.b.t. de tariefstructuur voor gas (afname) opgenomen. Hierbij dient het tarief per tariefcomponent en per klantengroep worden opgegeven door de distributienetbeheerder en dit enerzijds na toepassing van de verdeelsleutels op het gebudgetteerde inkomen per tariefcomponent en per klantengroep en anderzijds na toepassing van de rekenvolumes. Met betrekking tot de toe te passen verdeelsleutels verwijst de VREG naar </w:t>
      </w:r>
      <w:r>
        <w:lastRenderedPageBreak/>
        <w:t xml:space="preserve">de bepalingen in paragraaf 12.2 van de hoofdtekst van de tariefmethodologie. Inzake de toe te passen rekenvolumes </w:t>
      </w:r>
      <w:r w:rsidR="006D77EA">
        <w:t xml:space="preserve">wordt </w:t>
      </w:r>
      <w:r>
        <w:t>naar paragraaf 12.3 van de hoofdtekst van de tariefmethodologie</w:t>
      </w:r>
      <w:r w:rsidR="006D77EA">
        <w:t xml:space="preserve"> verwezen</w:t>
      </w:r>
      <w:r>
        <w:t xml:space="preserve">. </w:t>
      </w:r>
    </w:p>
    <w:p w14:paraId="2229E93E" w14:textId="6C3F1148" w:rsidR="001F238C" w:rsidRPr="007E4CBD" w:rsidRDefault="001F238C" w:rsidP="001F238C">
      <w:r>
        <w:t xml:space="preserve">De tarieven worden afgerond </w:t>
      </w:r>
      <w:r w:rsidR="006D77EA">
        <w:t>op 7 decimalen</w:t>
      </w:r>
      <w:r>
        <w:t xml:space="preserve">, met uitzondering van de vaste term in het ‘basistarief voor overbrenging met het net’ en het ‘tarief </w:t>
      </w:r>
      <w:r w:rsidR="006D77EA">
        <w:t>databeheer</w:t>
      </w:r>
      <w:r>
        <w:t xml:space="preserve">’ dewelke worden afgerond </w:t>
      </w:r>
      <w:r w:rsidR="006D77EA">
        <w:t>op 2 decimalen</w:t>
      </w:r>
      <w:r>
        <w:t>.</w:t>
      </w:r>
    </w:p>
    <w:p w14:paraId="3CE5B369" w14:textId="47AF8117" w:rsidR="001F238C" w:rsidRDefault="001F238C" w:rsidP="001F238C">
      <w:pPr>
        <w:pStyle w:val="Kop4"/>
      </w:pPr>
      <w:bookmarkStart w:id="202" w:name="_Ref42867594"/>
      <w:bookmarkStart w:id="203" w:name="_Toc42926198"/>
      <w:bookmarkStart w:id="204" w:name="_Toc81512517"/>
      <w:r>
        <w:t xml:space="preserve">TABEL 11B: Naam distributienetbeheerder – AARDGAS – Tarieflijst periodieke distributienettarieven </w:t>
      </w:r>
      <w:r w:rsidR="00460037">
        <w:t>[</w:t>
      </w:r>
      <w:r>
        <w:t>20</w:t>
      </w:r>
      <w:r w:rsidR="00460037">
        <w:t>XX]</w:t>
      </w:r>
      <w:r w:rsidR="00460037" w:rsidRPr="00460037">
        <w:rPr>
          <w:rStyle w:val="Voetnootmarkering"/>
        </w:rPr>
        <w:t xml:space="preserve"> </w:t>
      </w:r>
      <w:r w:rsidR="00460037">
        <w:rPr>
          <w:rStyle w:val="Voetnootmarkering"/>
        </w:rPr>
        <w:footnoteReference w:id="57"/>
      </w:r>
      <w:r>
        <w:t xml:space="preserve"> – Injectie</w:t>
      </w:r>
      <w:bookmarkEnd w:id="202"/>
      <w:bookmarkEnd w:id="203"/>
      <w:bookmarkEnd w:id="204"/>
    </w:p>
    <w:p w14:paraId="53208C59" w14:textId="77777777" w:rsidR="001F238C" w:rsidRDefault="001F238C" w:rsidP="001F238C">
      <w:r>
        <w:t>In deze tabel wordt de tariefmatrix m.b.t. de tariefstructuur voor gas (injectie) opgenomen. Hierbij dient het tarief per tariefcomponent worden opgegeven door de distributienetbeheerder.</w:t>
      </w:r>
    </w:p>
    <w:p w14:paraId="22B51DEE" w14:textId="77572A41" w:rsidR="001F238C" w:rsidRDefault="001F238C" w:rsidP="001F238C">
      <w:r>
        <w:t xml:space="preserve">De tarieven worden afgerond </w:t>
      </w:r>
      <w:r w:rsidR="00DE5383">
        <w:t>op 7 decimalen</w:t>
      </w:r>
      <w:r>
        <w:t xml:space="preserve">, met uitzondering van het ‘tarief </w:t>
      </w:r>
      <w:r w:rsidR="00DE5383">
        <w:t>databeheer</w:t>
      </w:r>
      <w:r>
        <w:t>’ d</w:t>
      </w:r>
      <w:r w:rsidR="00FC6545">
        <w:t>at</w:t>
      </w:r>
      <w:r>
        <w:t xml:space="preserve"> word</w:t>
      </w:r>
      <w:r w:rsidR="00DE5383">
        <w:t>t</w:t>
      </w:r>
      <w:r>
        <w:t xml:space="preserve"> afgerond </w:t>
      </w:r>
      <w:r w:rsidR="00DE5383">
        <w:t>op 2 decimalen</w:t>
      </w:r>
      <w:r>
        <w:t>.</w:t>
      </w:r>
    </w:p>
    <w:p w14:paraId="47FB9F82" w14:textId="77777777" w:rsidR="001F238C" w:rsidRDefault="001F238C" w:rsidP="001F238C">
      <w:pPr>
        <w:pStyle w:val="Kop4"/>
      </w:pPr>
      <w:bookmarkStart w:id="205" w:name="_Toc42926199"/>
      <w:bookmarkStart w:id="206" w:name="_Toc81512518"/>
      <w:r>
        <w:t>TABEL 12: Rekenvolumes en reconciliatie van budget voor gereguleerde activiteit ‘aardgas’</w:t>
      </w:r>
      <w:bookmarkEnd w:id="205"/>
      <w:bookmarkEnd w:id="206"/>
    </w:p>
    <w:p w14:paraId="1B231885" w14:textId="3C0C252E" w:rsidR="001F238C" w:rsidRDefault="00AC06E2" w:rsidP="001F238C">
      <w:r>
        <w:t xml:space="preserve">Deze tabel </w:t>
      </w:r>
      <w:r w:rsidR="001F238C">
        <w:t>heeft betrekking op de gereguleerde activiteit ‘aardgas’ en bestaat uit twee tabellen:</w:t>
      </w:r>
    </w:p>
    <w:p w14:paraId="2C705513" w14:textId="77777777" w:rsidR="001F238C" w:rsidRDefault="001F238C" w:rsidP="001F238C">
      <w:pPr>
        <w:pStyle w:val="Lijstalinea"/>
        <w:numPr>
          <w:ilvl w:val="0"/>
          <w:numId w:val="39"/>
        </w:numPr>
      </w:pPr>
      <w:r w:rsidRPr="00481900">
        <w:t xml:space="preserve">In </w:t>
      </w:r>
      <w:r>
        <w:t>de eerste tabel</w:t>
      </w:r>
      <w:r w:rsidRPr="00481900">
        <w:t xml:space="preserve"> rapporteert de distributienetbeheerder voor het betreffende jaar de rekenvolumes per tariefdrager en per klantengroep (conform paragraaf </w:t>
      </w:r>
      <w:r>
        <w:t>12.3</w:t>
      </w:r>
      <w:r w:rsidRPr="00481900">
        <w:t xml:space="preserve"> van de hoofdtekst van de tariefmethodologie).</w:t>
      </w:r>
    </w:p>
    <w:p w14:paraId="6C7C7A90" w14:textId="47AF28DD" w:rsidR="001F238C" w:rsidRDefault="001F238C" w:rsidP="001F238C">
      <w:pPr>
        <w:pStyle w:val="Lijstalinea"/>
        <w:numPr>
          <w:ilvl w:val="0"/>
          <w:numId w:val="39"/>
        </w:numPr>
      </w:pPr>
      <w:r w:rsidRPr="00562831">
        <w:t xml:space="preserve">De tweede tabel omvat een reconciliatie van de gebudgetteerde kosten per tariefcomponent en per klantengroep. De waarden worden automatisch berekend op basis van de periodieke distributienettarieven uit </w:t>
      </w:r>
      <w:r w:rsidR="00E422E7">
        <w:t>‘t</w:t>
      </w:r>
      <w:r>
        <w:t>abel 11A</w:t>
      </w:r>
      <w:r w:rsidR="00E422E7">
        <w:t>’</w:t>
      </w:r>
      <w:r>
        <w:t xml:space="preserve"> en </w:t>
      </w:r>
      <w:r w:rsidR="00E422E7">
        <w:t>‘tabel 11B’</w:t>
      </w:r>
      <w:r w:rsidRPr="00562831">
        <w:t xml:space="preserve"> en de overeenkomstige rekenvolumes uit </w:t>
      </w:r>
      <w:r>
        <w:t>de eerste tabel</w:t>
      </w:r>
      <w:r w:rsidRPr="00562831">
        <w:t xml:space="preserve">. </w:t>
      </w:r>
      <w:r w:rsidR="00E422E7">
        <w:t>Vervolgens wordt nagegaan</w:t>
      </w:r>
      <w:r w:rsidRPr="00562831">
        <w:t xml:space="preserve"> dat het </w:t>
      </w:r>
      <w:r w:rsidR="006C113C">
        <w:t>budget per tariefcomponent enerzijds en per energierichting anderzijds</w:t>
      </w:r>
      <w:r w:rsidRPr="00562831">
        <w:t xml:space="preserve"> gelijk is aan het </w:t>
      </w:r>
      <w:r w:rsidR="006C113C">
        <w:t>toegewezen budget in ‘tabel 10’, op eventuele afrondingsverschillen na</w:t>
      </w:r>
      <w:r w:rsidRPr="00562831">
        <w:t>.</w:t>
      </w:r>
    </w:p>
    <w:p w14:paraId="7E76DD25" w14:textId="77777777" w:rsidR="001F238C" w:rsidRPr="007E4CBD" w:rsidRDefault="001F238C" w:rsidP="001F238C"/>
    <w:p w14:paraId="310ED7F1" w14:textId="5F946D07" w:rsidR="001F238C" w:rsidRDefault="001F238C" w:rsidP="001F238C">
      <w:pPr>
        <w:pStyle w:val="Kop2"/>
      </w:pPr>
      <w:bookmarkStart w:id="207" w:name="_Toc42926200"/>
      <w:bookmarkStart w:id="208" w:name="_Toc81512519"/>
      <w:r>
        <w:t>Invulinstructie Bijlage 7B: Tariefvoorstel periodieke distributienettarieven 2022</w:t>
      </w:r>
      <w:r w:rsidR="006D71A6">
        <w:t>[H2]</w:t>
      </w:r>
      <w:r w:rsidR="006D71A6">
        <w:rPr>
          <w:rStyle w:val="Voetnootmarkering"/>
        </w:rPr>
        <w:footnoteReference w:id="58"/>
      </w:r>
      <w:r>
        <w:t>-2024</w:t>
      </w:r>
      <w:bookmarkEnd w:id="207"/>
      <w:bookmarkEnd w:id="208"/>
    </w:p>
    <w:p w14:paraId="217F0A00" w14:textId="77777777" w:rsidR="001F238C" w:rsidRDefault="001F238C" w:rsidP="001F238C">
      <w:r w:rsidRPr="00635FA3">
        <w:t>Dit rapporteringsmodel heeft als doel om de distributienetbeheerder op gestandaardiseerde wijze aan de VREG te laten rapporteren over het tariefvoorstel dat de distributienetbeheerder op basis van het door de VREG toegelaten inkomen voor de gereguleerde activiteiten 'Elektriciteit' en 'Aardgas' opmaakte.</w:t>
      </w:r>
    </w:p>
    <w:p w14:paraId="21AF667D" w14:textId="77777777" w:rsidR="001F238C" w:rsidRDefault="001F238C" w:rsidP="001F238C">
      <w:r w:rsidRPr="00635FA3">
        <w:t>Dit rapporteringsmodel omvat enkele tabellen en bijkomend aan te leveren informatie die de vertaling van het toegelaten inkomen naar de periodieke distributienettarieven stapsgewijs en op een overzichtelijk manier weergeven.</w:t>
      </w:r>
    </w:p>
    <w:p w14:paraId="60FB7DA2" w14:textId="77777777" w:rsidR="001F238C" w:rsidRDefault="001F238C" w:rsidP="001F238C">
      <w:r>
        <w:lastRenderedPageBreak/>
        <w:t>Het rapporteringsmodel bestaat meer bepaald uit een Excel-bestand met de volgende werkbladen:</w:t>
      </w:r>
    </w:p>
    <w:p w14:paraId="2B0FA0D8" w14:textId="77777777" w:rsidR="001F238C" w:rsidRDefault="001F238C" w:rsidP="001F238C">
      <w:pPr>
        <w:pStyle w:val="Lijstalinea"/>
        <w:numPr>
          <w:ilvl w:val="0"/>
          <w:numId w:val="38"/>
        </w:numPr>
        <w:spacing w:before="0" w:after="160" w:line="259" w:lineRule="auto"/>
      </w:pPr>
      <w:r>
        <w:t>TITELBLAD</w:t>
      </w:r>
    </w:p>
    <w:p w14:paraId="119A5504" w14:textId="77777777" w:rsidR="001F238C" w:rsidRDefault="001F238C" w:rsidP="001F238C">
      <w:pPr>
        <w:pStyle w:val="Lijstalinea"/>
        <w:numPr>
          <w:ilvl w:val="0"/>
          <w:numId w:val="38"/>
        </w:numPr>
        <w:spacing w:before="0" w:after="160" w:line="259" w:lineRule="auto"/>
      </w:pPr>
      <w:r>
        <w:t>ASSUMPTIES</w:t>
      </w:r>
    </w:p>
    <w:p w14:paraId="68BC260F" w14:textId="77777777" w:rsidR="001F238C" w:rsidRDefault="001F238C" w:rsidP="001F238C">
      <w:pPr>
        <w:pStyle w:val="Lijstalinea"/>
        <w:numPr>
          <w:ilvl w:val="0"/>
          <w:numId w:val="38"/>
        </w:numPr>
        <w:spacing w:before="0" w:after="160" w:line="259" w:lineRule="auto"/>
      </w:pPr>
      <w:r>
        <w:t>VERDEELSLEUTELS</w:t>
      </w:r>
    </w:p>
    <w:p w14:paraId="150D02B7" w14:textId="77777777" w:rsidR="001F238C" w:rsidRDefault="001F238C" w:rsidP="001F238C">
      <w:pPr>
        <w:pStyle w:val="Lijstalinea"/>
        <w:numPr>
          <w:ilvl w:val="0"/>
          <w:numId w:val="38"/>
        </w:numPr>
        <w:spacing w:before="0" w:after="160" w:line="259" w:lineRule="auto"/>
      </w:pPr>
      <w:r>
        <w:t>REKENVOLUMES</w:t>
      </w:r>
    </w:p>
    <w:p w14:paraId="2F2DE439" w14:textId="77777777" w:rsidR="001F238C" w:rsidRDefault="001F238C" w:rsidP="001F238C">
      <w:pPr>
        <w:pStyle w:val="Lijstalinea"/>
        <w:numPr>
          <w:ilvl w:val="0"/>
          <w:numId w:val="38"/>
        </w:numPr>
        <w:spacing w:before="0" w:after="160" w:line="259" w:lineRule="auto"/>
      </w:pPr>
      <w:r>
        <w:t>MAXIMUM</w:t>
      </w:r>
    </w:p>
    <w:p w14:paraId="0E992BF6" w14:textId="77777777" w:rsidR="001F238C" w:rsidRDefault="001F238C" w:rsidP="001F238C">
      <w:pPr>
        <w:pStyle w:val="Lijstalinea"/>
        <w:numPr>
          <w:ilvl w:val="0"/>
          <w:numId w:val="38"/>
        </w:numPr>
        <w:spacing w:before="0" w:after="160" w:line="259" w:lineRule="auto"/>
      </w:pPr>
      <w:r>
        <w:t>MAX Afname TRHS</w:t>
      </w:r>
    </w:p>
    <w:p w14:paraId="25383A43" w14:textId="77777777" w:rsidR="001F238C" w:rsidRDefault="001F238C" w:rsidP="001F238C">
      <w:pPr>
        <w:pStyle w:val="Lijstalinea"/>
        <w:numPr>
          <w:ilvl w:val="0"/>
          <w:numId w:val="38"/>
        </w:numPr>
        <w:spacing w:before="0" w:after="160" w:line="259" w:lineRule="auto"/>
      </w:pPr>
      <w:r>
        <w:t>MAX Afname MS</w:t>
      </w:r>
    </w:p>
    <w:p w14:paraId="791FD129" w14:textId="77777777" w:rsidR="001F238C" w:rsidRDefault="001F238C" w:rsidP="001F238C">
      <w:pPr>
        <w:pStyle w:val="Lijstalinea"/>
        <w:numPr>
          <w:ilvl w:val="0"/>
          <w:numId w:val="38"/>
        </w:numPr>
        <w:spacing w:before="0" w:after="160" w:line="259" w:lineRule="auto"/>
      </w:pPr>
      <w:r>
        <w:t>MAX Afname TRLS</w:t>
      </w:r>
    </w:p>
    <w:p w14:paraId="54A81445" w14:textId="77777777" w:rsidR="001F238C" w:rsidRDefault="001F238C" w:rsidP="001F238C">
      <w:pPr>
        <w:pStyle w:val="Lijstalinea"/>
        <w:numPr>
          <w:ilvl w:val="0"/>
          <w:numId w:val="38"/>
        </w:numPr>
        <w:spacing w:before="0" w:after="160" w:line="259" w:lineRule="auto"/>
      </w:pPr>
      <w:r>
        <w:t>MAX Afname LS</w:t>
      </w:r>
    </w:p>
    <w:p w14:paraId="4F1E7701" w14:textId="77777777" w:rsidR="001F238C" w:rsidRDefault="001F238C" w:rsidP="001F238C">
      <w:pPr>
        <w:pStyle w:val="Lijstalinea"/>
        <w:numPr>
          <w:ilvl w:val="0"/>
          <w:numId w:val="38"/>
        </w:numPr>
        <w:spacing w:before="0" w:after="160" w:line="259" w:lineRule="auto"/>
      </w:pPr>
      <w:r>
        <w:t>MAX Afname Injectie</w:t>
      </w:r>
    </w:p>
    <w:p w14:paraId="5EC83655" w14:textId="77777777" w:rsidR="001F238C" w:rsidRDefault="001F238C" w:rsidP="001F238C">
      <w:pPr>
        <w:pStyle w:val="Lijstalinea"/>
        <w:numPr>
          <w:ilvl w:val="0"/>
          <w:numId w:val="38"/>
        </w:numPr>
        <w:spacing w:before="0" w:after="160" w:line="259" w:lineRule="auto"/>
      </w:pPr>
      <w:r>
        <w:t>TABEL 1   Budget per tariefcomponent voor gereguleerde activiteit ‘elektriciteit’</w:t>
      </w:r>
    </w:p>
    <w:p w14:paraId="41D933F8" w14:textId="77777777" w:rsidR="001F238C" w:rsidRDefault="001F238C" w:rsidP="001F238C">
      <w:pPr>
        <w:pStyle w:val="Lijstalinea"/>
        <w:numPr>
          <w:ilvl w:val="0"/>
          <w:numId w:val="38"/>
        </w:numPr>
        <w:spacing w:before="0" w:after="160" w:line="259" w:lineRule="auto"/>
      </w:pPr>
      <w:r>
        <w:t xml:space="preserve">TABEL 2   Budget per energierichting, spanningsniveau </w:t>
      </w:r>
      <w:r w:rsidRPr="00005E43">
        <w:t>en klantengroep</w:t>
      </w:r>
      <w:r>
        <w:t xml:space="preserve"> voor gereguleerde</w:t>
      </w:r>
      <w:r>
        <w:br/>
        <w:t xml:space="preserve">                  activiteit ‘elektriciteit’</w:t>
      </w:r>
    </w:p>
    <w:p w14:paraId="44AB89CF" w14:textId="77777777" w:rsidR="001F238C" w:rsidRDefault="001F238C" w:rsidP="001F238C">
      <w:pPr>
        <w:pStyle w:val="Lijstalinea"/>
        <w:numPr>
          <w:ilvl w:val="0"/>
          <w:numId w:val="38"/>
        </w:numPr>
        <w:spacing w:before="0" w:after="160" w:line="259" w:lineRule="auto"/>
      </w:pPr>
      <w:r>
        <w:t>TABEL 3   Tarieven vóór de toepassing van de maximumtarieven</w:t>
      </w:r>
    </w:p>
    <w:p w14:paraId="03D2A671" w14:textId="77777777" w:rsidR="001F238C" w:rsidRDefault="001F238C" w:rsidP="001F238C">
      <w:pPr>
        <w:pStyle w:val="Lijstalinea"/>
        <w:numPr>
          <w:ilvl w:val="0"/>
          <w:numId w:val="38"/>
        </w:numPr>
        <w:spacing w:before="0" w:after="160" w:line="259" w:lineRule="auto"/>
      </w:pPr>
      <w:r>
        <w:t>TABEL 4   Tarieven na de toepassing van de maximumtarieven</w:t>
      </w:r>
    </w:p>
    <w:p w14:paraId="4347E12B" w14:textId="77777777" w:rsidR="001F238C" w:rsidRDefault="001F238C" w:rsidP="001F238C">
      <w:pPr>
        <w:pStyle w:val="Lijstalinea"/>
        <w:numPr>
          <w:ilvl w:val="0"/>
          <w:numId w:val="38"/>
        </w:numPr>
        <w:spacing w:before="0" w:after="160" w:line="259" w:lineRule="auto"/>
      </w:pPr>
      <w:r>
        <w:t>TABEL 5: Budget per tariefcomponenten voor gereguleerde activiteit ‘aardgas’</w:t>
      </w:r>
    </w:p>
    <w:p w14:paraId="3795F73A" w14:textId="77777777" w:rsidR="001F238C" w:rsidRDefault="001F238C" w:rsidP="001F238C">
      <w:pPr>
        <w:pStyle w:val="Lijstalinea"/>
        <w:numPr>
          <w:ilvl w:val="0"/>
          <w:numId w:val="38"/>
        </w:numPr>
        <w:spacing w:before="0" w:after="160" w:line="259" w:lineRule="auto"/>
      </w:pPr>
      <w:r>
        <w:t>TABEL 6: Budget per energierichting en klantengroep voor gereguleerde activiteit ‘aardgas’</w:t>
      </w:r>
    </w:p>
    <w:p w14:paraId="0F3A464A" w14:textId="77777777" w:rsidR="001F238C" w:rsidRDefault="001F238C" w:rsidP="001F238C">
      <w:pPr>
        <w:pStyle w:val="Lijstalinea"/>
        <w:numPr>
          <w:ilvl w:val="0"/>
          <w:numId w:val="38"/>
        </w:numPr>
        <w:spacing w:before="0" w:after="160" w:line="259" w:lineRule="auto"/>
      </w:pPr>
      <w:r>
        <w:t>TABEL 7: Periodieke distributienettarieven voor gereguleerde activiteit ‘aardgas’</w:t>
      </w:r>
    </w:p>
    <w:p w14:paraId="49A72CAB" w14:textId="10B4EE78" w:rsidR="001F238C" w:rsidRDefault="001F238C" w:rsidP="001F238C">
      <w:pPr>
        <w:pStyle w:val="Lijstalinea"/>
        <w:numPr>
          <w:ilvl w:val="0"/>
          <w:numId w:val="38"/>
        </w:numPr>
        <w:spacing w:before="0" w:after="160" w:line="259" w:lineRule="auto"/>
      </w:pPr>
      <w:r>
        <w:t>TABEL 8: Rekenvolumes en reconciliatie van budget voor gereguleerde activiteit ‘aardgas’</w:t>
      </w:r>
    </w:p>
    <w:p w14:paraId="082D1962" w14:textId="71DF64DA" w:rsidR="00307941" w:rsidRDefault="00307941" w:rsidP="001F238C">
      <w:pPr>
        <w:pStyle w:val="Lijstalinea"/>
        <w:numPr>
          <w:ilvl w:val="0"/>
          <w:numId w:val="38"/>
        </w:numPr>
        <w:spacing w:before="0" w:after="160" w:line="259" w:lineRule="auto"/>
      </w:pPr>
      <w:r>
        <w:t>T</w:t>
      </w:r>
      <w:r w:rsidR="005F5E5C">
        <w:t>ARIEFLIJSTEN</w:t>
      </w:r>
    </w:p>
    <w:p w14:paraId="222CF61C" w14:textId="04AFA0A0" w:rsidR="005F5E5C" w:rsidRDefault="005F5E5C" w:rsidP="005F5E5C">
      <w:pPr>
        <w:pStyle w:val="Lijstalinea"/>
        <w:numPr>
          <w:ilvl w:val="1"/>
          <w:numId w:val="38"/>
        </w:numPr>
        <w:spacing w:before="0" w:after="160" w:line="259" w:lineRule="auto"/>
      </w:pPr>
      <w:r>
        <w:t>ELEK Afname</w:t>
      </w:r>
    </w:p>
    <w:p w14:paraId="60B1B9F8" w14:textId="5B9881BA" w:rsidR="005F5E5C" w:rsidRDefault="005F5E5C" w:rsidP="005F5E5C">
      <w:pPr>
        <w:pStyle w:val="Lijstalinea"/>
        <w:numPr>
          <w:ilvl w:val="1"/>
          <w:numId w:val="38"/>
        </w:numPr>
        <w:spacing w:before="0" w:after="160" w:line="259" w:lineRule="auto"/>
      </w:pPr>
      <w:r>
        <w:t>ELEK Afname Trans HS</w:t>
      </w:r>
    </w:p>
    <w:p w14:paraId="04B5AC4B" w14:textId="13086665" w:rsidR="005F5E5C" w:rsidRDefault="005F5E5C" w:rsidP="005F5E5C">
      <w:pPr>
        <w:pStyle w:val="Lijstalinea"/>
        <w:numPr>
          <w:ilvl w:val="1"/>
          <w:numId w:val="38"/>
        </w:numPr>
        <w:spacing w:before="0" w:after="160" w:line="259" w:lineRule="auto"/>
      </w:pPr>
      <w:r>
        <w:t>ELEK Afname &gt;26-36 kV</w:t>
      </w:r>
    </w:p>
    <w:p w14:paraId="444CD9FA" w14:textId="6EBEBF00" w:rsidR="005F5E5C" w:rsidRDefault="005F5E5C" w:rsidP="005F5E5C">
      <w:pPr>
        <w:pStyle w:val="Lijstalinea"/>
        <w:numPr>
          <w:ilvl w:val="1"/>
          <w:numId w:val="38"/>
        </w:numPr>
        <w:spacing w:before="0" w:after="160" w:line="259" w:lineRule="auto"/>
      </w:pPr>
      <w:r>
        <w:t xml:space="preserve">ELEK Afname </w:t>
      </w:r>
      <w:r w:rsidR="00DE33F9">
        <w:t>26-1 kV</w:t>
      </w:r>
    </w:p>
    <w:p w14:paraId="26B24D53" w14:textId="2E4E1AC6" w:rsidR="00DE33F9" w:rsidRDefault="00DE33F9" w:rsidP="005F5E5C">
      <w:pPr>
        <w:pStyle w:val="Lijstalinea"/>
        <w:numPr>
          <w:ilvl w:val="1"/>
          <w:numId w:val="38"/>
        </w:numPr>
        <w:spacing w:before="0" w:after="160" w:line="259" w:lineRule="auto"/>
      </w:pPr>
      <w:r>
        <w:t>ELEK Afname Trans LS</w:t>
      </w:r>
    </w:p>
    <w:p w14:paraId="0565EE2F" w14:textId="73D3D006" w:rsidR="00DE33F9" w:rsidRDefault="00DE33F9" w:rsidP="005F5E5C">
      <w:pPr>
        <w:pStyle w:val="Lijstalinea"/>
        <w:numPr>
          <w:ilvl w:val="1"/>
          <w:numId w:val="38"/>
        </w:numPr>
        <w:spacing w:before="0" w:after="160" w:line="259" w:lineRule="auto"/>
      </w:pPr>
      <w:r>
        <w:t>ELEK Afname LS</w:t>
      </w:r>
    </w:p>
    <w:p w14:paraId="1FE05A96" w14:textId="015227B2" w:rsidR="00DE33F9" w:rsidRDefault="00DE33F9" w:rsidP="005F5E5C">
      <w:pPr>
        <w:pStyle w:val="Lijstalinea"/>
        <w:numPr>
          <w:ilvl w:val="1"/>
          <w:numId w:val="38"/>
        </w:numPr>
        <w:spacing w:before="0" w:after="160" w:line="259" w:lineRule="auto"/>
      </w:pPr>
      <w:r>
        <w:t xml:space="preserve">ELEK Afname </w:t>
      </w:r>
      <w:r w:rsidR="00813697">
        <w:t>Doorvoer</w:t>
      </w:r>
    </w:p>
    <w:p w14:paraId="47C9896B" w14:textId="5B7556EA" w:rsidR="00813697" w:rsidRDefault="00813697" w:rsidP="005F5E5C">
      <w:pPr>
        <w:pStyle w:val="Lijstalinea"/>
        <w:numPr>
          <w:ilvl w:val="1"/>
          <w:numId w:val="38"/>
        </w:numPr>
        <w:spacing w:before="0" w:after="160" w:line="259" w:lineRule="auto"/>
      </w:pPr>
      <w:r>
        <w:t>ELEK Injectie</w:t>
      </w:r>
    </w:p>
    <w:p w14:paraId="3F94422C" w14:textId="028B542C" w:rsidR="00813697" w:rsidRDefault="00813697" w:rsidP="005F5E5C">
      <w:pPr>
        <w:pStyle w:val="Lijstalinea"/>
        <w:numPr>
          <w:ilvl w:val="1"/>
          <w:numId w:val="38"/>
        </w:numPr>
        <w:spacing w:before="0" w:after="160" w:line="259" w:lineRule="auto"/>
      </w:pPr>
      <w:r>
        <w:t>GAS Afname</w:t>
      </w:r>
    </w:p>
    <w:p w14:paraId="3628BADB" w14:textId="3290F354" w:rsidR="00813697" w:rsidRDefault="00813697" w:rsidP="00813697">
      <w:pPr>
        <w:pStyle w:val="Lijstalinea"/>
        <w:numPr>
          <w:ilvl w:val="1"/>
          <w:numId w:val="38"/>
        </w:numPr>
        <w:spacing w:before="0" w:after="160" w:line="259" w:lineRule="auto"/>
      </w:pPr>
      <w:r>
        <w:t>GAS Injectie</w:t>
      </w:r>
    </w:p>
    <w:p w14:paraId="2D698745" w14:textId="77777777" w:rsidR="001F238C" w:rsidRDefault="001F238C" w:rsidP="001F238C">
      <w:r>
        <w:t>Het Excel-bestand is voorzien van een aantal automatisch berekende waarden teneinde de verwerking van het rapporteringsmodel, zowel voor de distributienetbeheerder als voor de VREG, efficiënt te laten verlopen. Deze waarden werden door de VREG beveiligd.</w:t>
      </w:r>
    </w:p>
    <w:p w14:paraId="4477322A" w14:textId="77777777" w:rsidR="001F238C" w:rsidRDefault="001F238C" w:rsidP="001F238C">
      <w:r>
        <w:t>Het rapporteringsmodel dient door de distributienetbeheerder in één afgedrukt exemplaar te worden opgeleverd, alsook onder elektronische vorm (Excel-formaat). In de elektronische vorm zijn geen verwijzingen naar externe bestanden (koppelingen) toegelaten.</w:t>
      </w:r>
    </w:p>
    <w:p w14:paraId="2BCC55C4" w14:textId="15BFAA38" w:rsidR="001F238C" w:rsidRDefault="001F238C" w:rsidP="001F238C">
      <w:r>
        <w:t xml:space="preserve">De wijze waarop het rapporteringsmodel dient te worden ingevuld, is beschreven in paragraaf </w:t>
      </w:r>
      <w:r>
        <w:rPr>
          <w:highlight w:val="yellow"/>
        </w:rPr>
        <w:fldChar w:fldCharType="begin"/>
      </w:r>
      <w:r>
        <w:instrText xml:space="preserve"> REF _Ref42010580 \n \h </w:instrText>
      </w:r>
      <w:r>
        <w:rPr>
          <w:highlight w:val="yellow"/>
        </w:rPr>
      </w:r>
      <w:r>
        <w:rPr>
          <w:highlight w:val="yellow"/>
        </w:rPr>
        <w:fldChar w:fldCharType="separate"/>
      </w:r>
      <w:r w:rsidR="00964FA9">
        <w:t>2.2.1</w:t>
      </w:r>
      <w:r>
        <w:rPr>
          <w:highlight w:val="yellow"/>
        </w:rPr>
        <w:fldChar w:fldCharType="end"/>
      </w:r>
      <w:r>
        <w:t xml:space="preserve"> van deze instructie.</w:t>
      </w:r>
      <w:r w:rsidR="00BE19A1">
        <w:br/>
      </w:r>
      <w:r w:rsidR="00BE19A1">
        <w:br/>
      </w:r>
    </w:p>
    <w:p w14:paraId="5903183E" w14:textId="77777777" w:rsidR="001F238C" w:rsidRDefault="001F238C" w:rsidP="001F238C">
      <w:pPr>
        <w:pStyle w:val="Kop3"/>
      </w:pPr>
      <w:bookmarkStart w:id="209" w:name="_Ref42010580"/>
      <w:bookmarkStart w:id="210" w:name="_Toc42926201"/>
      <w:bookmarkStart w:id="211" w:name="_Toc81512520"/>
      <w:r>
        <w:t>Algemene invulinstructies</w:t>
      </w:r>
      <w:bookmarkEnd w:id="209"/>
      <w:bookmarkEnd w:id="210"/>
      <w:bookmarkEnd w:id="211"/>
    </w:p>
    <w:p w14:paraId="66C5ECC5" w14:textId="77777777" w:rsidR="001F238C" w:rsidRDefault="001F238C" w:rsidP="001F238C">
      <w:r>
        <w:lastRenderedPageBreak/>
        <w:t>De opmaak van de werkbladen en de in het model aangebrachte formules en verwijzingen mogen niet worden verwijderd of gewijzigd. Alleen de geel gekleurde cellen kunnen door de distributienetbeheerder worden ingevuld. De witte, paarse en gearceerde cellen mogen niet worden ingevuld of gewijzigd. Om die reden werden alle niet-geel gemarkeerde cellen beveiligd.</w:t>
      </w:r>
    </w:p>
    <w:p w14:paraId="52193122" w14:textId="77777777" w:rsidR="001F238C" w:rsidRDefault="001F238C" w:rsidP="001F238C">
      <w:r w:rsidRPr="00554F4E">
        <w:rPr>
          <w:noProof/>
        </w:rPr>
        <w:drawing>
          <wp:inline distT="0" distB="0" distL="0" distR="0" wp14:anchorId="63946894" wp14:editId="4F7CF3A5">
            <wp:extent cx="5760720" cy="1158240"/>
            <wp:effectExtent l="0" t="0" r="0" b="381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1158240"/>
                    </a:xfrm>
                    <a:prstGeom prst="rect">
                      <a:avLst/>
                    </a:prstGeom>
                    <a:noFill/>
                    <a:ln>
                      <a:noFill/>
                    </a:ln>
                  </pic:spPr>
                </pic:pic>
              </a:graphicData>
            </a:graphic>
          </wp:inline>
        </w:drawing>
      </w:r>
    </w:p>
    <w:p w14:paraId="2B7ED0F3" w14:textId="77777777" w:rsidR="001F238C" w:rsidRDefault="001F238C" w:rsidP="001F238C">
      <w:r>
        <w:t>Het toevoegen van opmerkingen bij de gerapporteerde gegevens is uitsluitend toegestaan onder de vorm van een afzonderlijke, verklarende nota die aan het rapporteringsmodel wordt toegevoegd. Indien de verklarende nota verwijzingen naar gerapporteerde waarden bevat, verzoekt de VREG om duidelijk aan te geven naar welke cellen wordt gerefereerd.</w:t>
      </w:r>
    </w:p>
    <w:p w14:paraId="3B22CDD3" w14:textId="77777777" w:rsidR="001F238C" w:rsidRDefault="001F238C" w:rsidP="001F238C">
      <w:r>
        <w:t>In de volgende paragrafen worden de invulinstructies verder gedetailleerd en dit voor elke tabel afzonderlijk. Op die manier tracht de VREG het referentiekader op een zo volledig mogelijke manier te omschrijven.</w:t>
      </w:r>
    </w:p>
    <w:p w14:paraId="413EDF6F" w14:textId="77777777" w:rsidR="001F238C" w:rsidRDefault="001F238C" w:rsidP="001F238C">
      <w:r>
        <w:t>Indien u nadere vragen heeft over de wijze waarop dit model dient te worden ingevuld, kunt u contact opnemen met de volgende contactpersonen:</w:t>
      </w:r>
    </w:p>
    <w:p w14:paraId="240E7F9D" w14:textId="77777777" w:rsidR="001F238C" w:rsidRDefault="001F238C" w:rsidP="001F238C"/>
    <w:p w14:paraId="5B427F27" w14:textId="58076616" w:rsidR="001F238C" w:rsidRDefault="001F238C" w:rsidP="001F238C">
      <w:pPr>
        <w:pStyle w:val="Lijstalinea"/>
        <w:numPr>
          <w:ilvl w:val="0"/>
          <w:numId w:val="31"/>
        </w:numPr>
        <w:spacing w:before="0" w:after="160" w:line="259" w:lineRule="auto"/>
      </w:pPr>
      <w:r>
        <w:t>Bert Stockman</w:t>
      </w:r>
      <w:r>
        <w:tab/>
      </w:r>
      <w:hyperlink r:id="rId25" w:history="1">
        <w:r w:rsidR="00D37701" w:rsidRPr="00D37701">
          <w:rPr>
            <w:rStyle w:val="Hyperlink"/>
          </w:rPr>
          <w:t>bert.stockman@vreg.be</w:t>
        </w:r>
      </w:hyperlink>
    </w:p>
    <w:p w14:paraId="2114E232" w14:textId="77777777" w:rsidR="001F238C" w:rsidRDefault="001F238C" w:rsidP="001F238C">
      <w:pPr>
        <w:pStyle w:val="Lijstalinea"/>
        <w:numPr>
          <w:ilvl w:val="0"/>
          <w:numId w:val="31"/>
        </w:numPr>
        <w:spacing w:before="0" w:after="160" w:line="259" w:lineRule="auto"/>
      </w:pPr>
      <w:r>
        <w:t>Jonas De Smit</w:t>
      </w:r>
      <w:r>
        <w:tab/>
      </w:r>
      <w:r>
        <w:tab/>
      </w:r>
      <w:hyperlink r:id="rId26" w:history="1">
        <w:r w:rsidRPr="004A4B5A">
          <w:rPr>
            <w:rStyle w:val="Hyperlink"/>
          </w:rPr>
          <w:t>jonas.desmit@vreg.be</w:t>
        </w:r>
      </w:hyperlink>
    </w:p>
    <w:p w14:paraId="393668A3" w14:textId="77777777" w:rsidR="001F238C" w:rsidRDefault="001F238C" w:rsidP="001F238C">
      <w:pPr>
        <w:pStyle w:val="Lijstalinea"/>
        <w:numPr>
          <w:ilvl w:val="0"/>
          <w:numId w:val="31"/>
        </w:numPr>
        <w:spacing w:before="0" w:after="160" w:line="259" w:lineRule="auto"/>
        <w:rPr>
          <w:lang w:val="en-US"/>
        </w:rPr>
      </w:pPr>
      <w:r w:rsidRPr="003B180E">
        <w:rPr>
          <w:lang w:val="en-US"/>
        </w:rPr>
        <w:t>Marc Michiels</w:t>
      </w:r>
      <w:r w:rsidRPr="003B180E">
        <w:rPr>
          <w:lang w:val="en-US"/>
        </w:rPr>
        <w:tab/>
      </w:r>
      <w:r w:rsidRPr="003B180E">
        <w:rPr>
          <w:lang w:val="en-US"/>
        </w:rPr>
        <w:tab/>
      </w:r>
      <w:hyperlink r:id="rId27" w:history="1">
        <w:r w:rsidRPr="004A4B5A">
          <w:rPr>
            <w:rStyle w:val="Hyperlink"/>
            <w:lang w:val="en-US"/>
          </w:rPr>
          <w:t>marc.michiels@vreg.be</w:t>
        </w:r>
      </w:hyperlink>
    </w:p>
    <w:p w14:paraId="77591233" w14:textId="77777777" w:rsidR="001F238C" w:rsidRPr="003B180E" w:rsidRDefault="001F238C" w:rsidP="001F238C">
      <w:pPr>
        <w:rPr>
          <w:lang w:val="en-US"/>
        </w:rPr>
      </w:pPr>
    </w:p>
    <w:p w14:paraId="2F1C1854" w14:textId="77777777" w:rsidR="001F238C" w:rsidRDefault="001F238C" w:rsidP="001F238C">
      <w:pPr>
        <w:pStyle w:val="Kop4"/>
      </w:pPr>
      <w:bookmarkStart w:id="212" w:name="_Toc42926202"/>
      <w:bookmarkStart w:id="213" w:name="_Toc81512521"/>
      <w:r>
        <w:t>TITELBLAD</w:t>
      </w:r>
      <w:bookmarkEnd w:id="212"/>
      <w:bookmarkEnd w:id="213"/>
    </w:p>
    <w:p w14:paraId="63DE1446" w14:textId="77777777" w:rsidR="001F238C" w:rsidRDefault="001F238C" w:rsidP="001F238C">
      <w:r>
        <w:t>In het titelblad dient de distributienetbeheerder de volgende velden in te vullen:</w:t>
      </w:r>
    </w:p>
    <w:p w14:paraId="59BC9F63" w14:textId="77777777" w:rsidR="001F238C" w:rsidRDefault="001F238C" w:rsidP="001F238C">
      <w:pPr>
        <w:pStyle w:val="Lijstalinea"/>
        <w:numPr>
          <w:ilvl w:val="0"/>
          <w:numId w:val="30"/>
        </w:numPr>
        <w:spacing w:before="0" w:after="160" w:line="259" w:lineRule="auto"/>
      </w:pPr>
      <w:r>
        <w:t>Naam van de distributienetbeheerder,</w:t>
      </w:r>
    </w:p>
    <w:p w14:paraId="343B90A0" w14:textId="77777777" w:rsidR="001F238C" w:rsidRDefault="001F238C" w:rsidP="001F238C">
      <w:pPr>
        <w:pStyle w:val="Lijstalinea"/>
        <w:numPr>
          <w:ilvl w:val="0"/>
          <w:numId w:val="30"/>
        </w:numPr>
        <w:spacing w:before="0" w:after="160" w:line="259" w:lineRule="auto"/>
      </w:pPr>
      <w:r>
        <w:t>Ondernemingsnummer,</w:t>
      </w:r>
    </w:p>
    <w:p w14:paraId="6C282709" w14:textId="77777777" w:rsidR="001F238C" w:rsidRDefault="001F238C" w:rsidP="001F238C">
      <w:pPr>
        <w:pStyle w:val="Lijstalinea"/>
        <w:numPr>
          <w:ilvl w:val="0"/>
          <w:numId w:val="30"/>
        </w:numPr>
        <w:spacing w:before="0" w:after="160" w:line="259" w:lineRule="auto"/>
      </w:pPr>
      <w:r>
        <w:t>Jaar waarop het tariefvoorstel betrekking heeft.</w:t>
      </w:r>
    </w:p>
    <w:p w14:paraId="5B6E6719" w14:textId="77777777" w:rsidR="001F238C" w:rsidRDefault="001F238C" w:rsidP="001F238C">
      <w:r>
        <w:t>In de volgende tabellen van het rapporteringsmodel zijn de vergelijkbare velden gelinkt aan deze velden in het titelblad. De ingevulde waarden worden daar automatisch overgenomen.</w:t>
      </w:r>
    </w:p>
    <w:p w14:paraId="35761A67" w14:textId="77777777" w:rsidR="001F238C" w:rsidRDefault="001F238C" w:rsidP="001F238C">
      <w:r>
        <w:t>Verder omvat het titelblad een herhaling van de algemene invulinstructies en een overzicht van de verschillende tabellen die in het rapporteringsmodel zijn opgenomen.</w:t>
      </w:r>
    </w:p>
    <w:p w14:paraId="0EDF9F9D" w14:textId="708FE460" w:rsidR="001F238C" w:rsidRDefault="00BE19A1" w:rsidP="001F238C">
      <w:r>
        <w:br/>
      </w:r>
    </w:p>
    <w:p w14:paraId="33FAF45F" w14:textId="77777777" w:rsidR="001F238C" w:rsidRDefault="001F238C" w:rsidP="001F238C">
      <w:pPr>
        <w:pStyle w:val="Kop4"/>
      </w:pPr>
      <w:bookmarkStart w:id="214" w:name="_Toc42926203"/>
      <w:bookmarkStart w:id="215" w:name="_Toc81512522"/>
      <w:r>
        <w:t>ASSUMPTIES</w:t>
      </w:r>
      <w:bookmarkEnd w:id="214"/>
      <w:bookmarkEnd w:id="215"/>
    </w:p>
    <w:p w14:paraId="3D7DAC0A" w14:textId="77777777" w:rsidR="001F238C" w:rsidRDefault="001F238C" w:rsidP="001F238C">
      <w:r>
        <w:lastRenderedPageBreak/>
        <w:t>Dit werkblad heeft betrekking op de gereguleerde activiteit ‘elektriciteit’ en herneemt een aantal parameters uit de hoofdtekst van de tariefmethodologie zodat hier, bij de berekening van de periodieke distributienettarieven, eenvoudig naar verwezen kan worden.</w:t>
      </w:r>
    </w:p>
    <w:p w14:paraId="193DD912" w14:textId="2CE95826" w:rsidR="001F238C" w:rsidRDefault="001F238C" w:rsidP="001F238C">
      <w:r>
        <w:t>De VREG heeft de meeste parameters vooraf ingevuld. Dit op basis van de bepalingen in de tariefmethodologie of op basis van voorgaande rapporteringen door de distributienetbeheerder. De distributienetbeheerder dient wel de tarieven voor ‘Databeheer’ en ‘Overige transmissie’ in te vullen.</w:t>
      </w:r>
    </w:p>
    <w:p w14:paraId="74BD4E6B" w14:textId="77777777" w:rsidR="001F238C" w:rsidRDefault="001F238C" w:rsidP="001F238C">
      <w:r>
        <w:t>Bij iedere parameter worden de klantengroepen vermeld waarvoor deze geldt en wordt verwezen naar de betreffende paragraaf in de hoofdtekst van de tariefmethodologie.</w:t>
      </w:r>
    </w:p>
    <w:p w14:paraId="1D7658A2" w14:textId="77777777" w:rsidR="001F238C" w:rsidRDefault="001F238C" w:rsidP="001F238C">
      <w:r>
        <w:t>Sommige parameters of klantengroepen zijn onderling afhankelijk en dienen tezamen door de distributienetbeheerder in rekening genomen te worden. Waar nodig, heeft de VREG bijkomende toelichting voorzien.</w:t>
      </w:r>
    </w:p>
    <w:p w14:paraId="1E7E8711" w14:textId="77777777" w:rsidR="001F238C" w:rsidRDefault="001F238C" w:rsidP="001F238C">
      <w:pPr>
        <w:pStyle w:val="Kop4"/>
      </w:pPr>
      <w:bookmarkStart w:id="216" w:name="_Toc42926204"/>
      <w:bookmarkStart w:id="217" w:name="_Toc81512523"/>
      <w:r>
        <w:t>VERDEELSLEUTELS</w:t>
      </w:r>
      <w:bookmarkEnd w:id="216"/>
      <w:bookmarkEnd w:id="217"/>
    </w:p>
    <w:p w14:paraId="7710676C" w14:textId="77777777" w:rsidR="001F238C" w:rsidRDefault="001F238C" w:rsidP="001F238C">
      <w:r>
        <w:t>Dit werkblad heeft betrekking op de gereguleerde activiteit ‘elektriciteit’ en omvat drie tabellen:</w:t>
      </w:r>
    </w:p>
    <w:p w14:paraId="4B5C88AE" w14:textId="77777777" w:rsidR="001F238C" w:rsidRDefault="001F238C" w:rsidP="001F238C">
      <w:pPr>
        <w:pStyle w:val="Lijstalinea"/>
        <w:numPr>
          <w:ilvl w:val="0"/>
          <w:numId w:val="32"/>
        </w:numPr>
        <w:spacing w:before="0" w:after="160" w:line="259" w:lineRule="auto"/>
      </w:pPr>
      <w:r>
        <w:t>De eerste tabel (VDSL1) heeft betrekking op de toewijzing van kosten aan de energierichtingen (afname en injectie).</w:t>
      </w:r>
    </w:p>
    <w:p w14:paraId="37F44B29" w14:textId="77777777" w:rsidR="001F238C" w:rsidRDefault="001F238C" w:rsidP="001F238C">
      <w:pPr>
        <w:pStyle w:val="Lijstalinea"/>
        <w:numPr>
          <w:ilvl w:val="0"/>
          <w:numId w:val="32"/>
        </w:numPr>
        <w:spacing w:before="0" w:after="160" w:line="259" w:lineRule="auto"/>
      </w:pPr>
      <w:r>
        <w:t>De tweede tabel (VDSL2) heeft betrekking op de toewijzing van kosten aan de verschillende spanningsniveaus binnen ‘Afname’.</w:t>
      </w:r>
    </w:p>
    <w:p w14:paraId="31F43677" w14:textId="77777777" w:rsidR="001F238C" w:rsidRDefault="001F238C" w:rsidP="001F238C">
      <w:pPr>
        <w:pStyle w:val="Lijstalinea"/>
        <w:numPr>
          <w:ilvl w:val="0"/>
          <w:numId w:val="32"/>
        </w:numPr>
        <w:spacing w:before="0" w:after="160" w:line="259" w:lineRule="auto"/>
      </w:pPr>
      <w:r>
        <w:t>De derde tabel (VDSL3) heeft betrekking op de toewijzing van kosten aan de verschillende klantengroepen binnen de afnameklanten op laagspanning.</w:t>
      </w:r>
    </w:p>
    <w:p w14:paraId="00DA5384" w14:textId="77777777" w:rsidR="001F238C" w:rsidRDefault="001F238C" w:rsidP="001F238C">
      <w:r>
        <w:t>Elke tabel bestaat uit vijf delen:</w:t>
      </w:r>
    </w:p>
    <w:p w14:paraId="52C2B217" w14:textId="61AF4BF5" w:rsidR="001F238C" w:rsidRDefault="001F238C" w:rsidP="001F238C">
      <w:pPr>
        <w:pStyle w:val="Lijstalinea"/>
        <w:numPr>
          <w:ilvl w:val="0"/>
          <w:numId w:val="33"/>
        </w:numPr>
        <w:spacing w:before="0" w:after="160" w:line="259" w:lineRule="auto"/>
      </w:pPr>
      <w:r>
        <w:t xml:space="preserve">De eerste kolom ‘Verdeelsleutel’ omvat de korte, logische en unieke benaming van de verdeelsleutel. </w:t>
      </w:r>
      <w:r w:rsidR="00FE37D3">
        <w:br/>
      </w:r>
      <w:r w:rsidR="00D84F65">
        <w:t xml:space="preserve">Ter verduidelijking: </w:t>
      </w:r>
      <w:r>
        <w:t xml:space="preserve">De verdeelsleutel </w:t>
      </w:r>
      <w:r w:rsidR="00984647">
        <w:t>‘</w:t>
      </w:r>
      <w:r>
        <w:t>CAPEX</w:t>
      </w:r>
      <w:r w:rsidR="00984647">
        <w:t>’</w:t>
      </w:r>
      <w:r>
        <w:t xml:space="preserve"> doelt daarbij naar de aansluitings- en investeringsuitgaven d</w:t>
      </w:r>
      <w:r w:rsidR="00873C77">
        <w:t>ie</w:t>
      </w:r>
      <w:r>
        <w:t xml:space="preserve"> rechtstreeks aan de afname- en injectieklanten toe te wijzen </w:t>
      </w:r>
      <w:r w:rsidR="004A13BC">
        <w:t xml:space="preserve">zijn </w:t>
      </w:r>
      <w:r>
        <w:t>in een representatief aantal jaren van het recente verleden</w:t>
      </w:r>
      <w:r w:rsidR="00F82017">
        <w:t>, conform paragraaf 11.5.2.1 van de tariefmethodologie</w:t>
      </w:r>
      <w:r>
        <w:t xml:space="preserve">. </w:t>
      </w:r>
      <w:r w:rsidR="00580F00">
        <w:t xml:space="preserve">De verdeelsleutels </w:t>
      </w:r>
      <w:r w:rsidR="00984647">
        <w:t>‘SynchronePiek_x’</w:t>
      </w:r>
      <w:r w:rsidR="00F82017">
        <w:t xml:space="preserve"> </w:t>
      </w:r>
      <w:r w:rsidR="00553352">
        <w:t>verwijst naar de synchrone piekbelasting zoals bepaald in paragraaf 11.5.2.1.1 van de tariefmethodologie.</w:t>
      </w:r>
    </w:p>
    <w:p w14:paraId="1236EC9C" w14:textId="77777777" w:rsidR="001F238C" w:rsidRDefault="001F238C" w:rsidP="001F238C">
      <w:pPr>
        <w:pStyle w:val="Lijstalinea"/>
        <w:numPr>
          <w:ilvl w:val="0"/>
          <w:numId w:val="33"/>
        </w:numPr>
        <w:spacing w:before="0" w:after="160" w:line="259" w:lineRule="auto"/>
      </w:pPr>
      <w:r>
        <w:t>De tweede kolom ‘Eenheid’ omvat de eenheid van de verdeelsleutel.</w:t>
      </w:r>
    </w:p>
    <w:p w14:paraId="601FC9DA" w14:textId="77777777" w:rsidR="001F238C" w:rsidRDefault="001F238C" w:rsidP="001F238C">
      <w:pPr>
        <w:pStyle w:val="Lijstalinea"/>
        <w:numPr>
          <w:ilvl w:val="0"/>
          <w:numId w:val="33"/>
        </w:numPr>
        <w:spacing w:before="0" w:after="160" w:line="259" w:lineRule="auto"/>
      </w:pPr>
      <w:r>
        <w:t>In de derde kolom ‘Energierichting’, ‘Spanningsniveau’ of ‘Klantengroep’ worden de energierichtingen, spanningsniveaus respectievelijk klantengroepen aangekruist waarvoor de verdeelsleutel geldt.</w:t>
      </w:r>
    </w:p>
    <w:p w14:paraId="3E8F9E57" w14:textId="77777777" w:rsidR="001F238C" w:rsidRDefault="001F238C" w:rsidP="001F238C">
      <w:pPr>
        <w:pStyle w:val="Lijstalinea"/>
        <w:numPr>
          <w:ilvl w:val="0"/>
          <w:numId w:val="33"/>
        </w:numPr>
        <w:spacing w:before="0" w:after="160" w:line="259" w:lineRule="auto"/>
      </w:pPr>
      <w:r>
        <w:t>In de vierde kolom ‘Absolute waarde’ wordt de absolute waarde van de verdeelsleutel ingevuld voor elke energierichting, spanningsniveau of klantengroep en dit in de eenheid zoals aangegeven in de tweede kolom. Als de verdeelsleutel niet geldt voor een bepaalde energierichting of spanningsniveau, wordt het betreffende veld automatisch gearceerd.</w:t>
      </w:r>
    </w:p>
    <w:p w14:paraId="26BA49E5" w14:textId="77777777" w:rsidR="001F238C" w:rsidRDefault="001F238C" w:rsidP="001F238C">
      <w:pPr>
        <w:pStyle w:val="Lijstalinea"/>
        <w:numPr>
          <w:ilvl w:val="0"/>
          <w:numId w:val="33"/>
        </w:numPr>
        <w:spacing w:before="0" w:after="160" w:line="259" w:lineRule="auto"/>
      </w:pPr>
      <w:r>
        <w:t>In de vijfde kolom wordt automatisch het relatieve aandeel van elke energierichting, spanningsniveau of klantengroep berekend op basis van de ingevulde, absolute waarden.</w:t>
      </w:r>
    </w:p>
    <w:p w14:paraId="53B1AB4F" w14:textId="77777777" w:rsidR="001F238C" w:rsidRDefault="001F238C" w:rsidP="001F238C">
      <w:r>
        <w:t xml:space="preserve">Voor de verdeelsleutels beschreven in paragraaf 11.5.2 van de hoofdtekst van de tariefmethodologie, heeft de VREG de naam en eenheid van de verdeelsleutel vooraf ingevuld. Als de verdeelsleutel overeenstemt met een bepaald rekenvolume of budget, opgenomen in de </w:t>
      </w:r>
      <w:r>
        <w:lastRenderedPageBreak/>
        <w:t>respectievelijke werkbladen ‘Rekenvolumes’ en ‘Tabel 2’, dan wordt de verdeelsleutel automatisch berekend op basis van de ingevulde rekenvolumes.</w:t>
      </w:r>
    </w:p>
    <w:p w14:paraId="6205DCB9" w14:textId="77777777" w:rsidR="001F238C" w:rsidRDefault="001F238C" w:rsidP="001F238C">
      <w:r>
        <w:t>De distributienetbeheerder dient de ontbrekende waarden voor de vooraf ingevulde verdeelsleutels te vervolledigen. Voor de directe kosten waarvoor geen verdeelsleutel in paragraaf 11.5.2 van de hoofdtekst van de tariefmethodologie gedefinieerd is, dient de distributienetbeheerder per kostenrubriek vermeld in het werkblad ‘Tabel 2’ een afzonderlijke verdeelsleutel toe te voegen. In dit geval is de absolute waarde van de verdeelsleutel gelijk aan het bedrag (in euro) dat op directe wijze aan elke energierichting of spanningsniveau door de distributienetbeheerder is toegewezen.</w:t>
      </w:r>
    </w:p>
    <w:p w14:paraId="70FC2EFB" w14:textId="77777777" w:rsidR="001F238C" w:rsidRDefault="001F238C" w:rsidP="001F238C">
      <w:pPr>
        <w:pStyle w:val="Kop4"/>
      </w:pPr>
      <w:bookmarkStart w:id="218" w:name="_Toc42926205"/>
      <w:bookmarkStart w:id="219" w:name="_Toc81512524"/>
      <w:r>
        <w:t>REKENVOLUMES</w:t>
      </w:r>
      <w:bookmarkEnd w:id="218"/>
      <w:bookmarkEnd w:id="219"/>
    </w:p>
    <w:p w14:paraId="15A33CFC" w14:textId="77777777" w:rsidR="001F238C" w:rsidRDefault="001F238C" w:rsidP="001F238C">
      <w:bookmarkStart w:id="220" w:name="_Hlk42879489"/>
      <w:r>
        <w:t>In dit werkblad rapporteert de distributienetbeheerder voor het betreffende jaar de rekenvolumes per tariefdrager en per klantengroep (conform paragraaf 11.6 van de hoofdtekst van de tariefmethodologie) binnen de gereguleerde activiteit ‘elektriciteit’.</w:t>
      </w:r>
    </w:p>
    <w:bookmarkEnd w:id="220"/>
    <w:p w14:paraId="3267554E" w14:textId="77777777" w:rsidR="001F238C" w:rsidRDefault="001F238C" w:rsidP="001F238C">
      <w:r>
        <w:t>Daarnaast maakt de distributienetbeheerder ook een inschatting van het rekenvolume ‘gemiddelde maandpiek’ voor de afnameklanten met een klassieke meter, de prosumenten met een terugdraaiende teller en de prosumenten met tarifering op basis van de werkelijke afname.</w:t>
      </w:r>
    </w:p>
    <w:p w14:paraId="41406F4C" w14:textId="5439D020" w:rsidR="001F238C" w:rsidRDefault="001F238C" w:rsidP="001F238C">
      <w:r>
        <w:t xml:space="preserve">Afhankelijk van het betreffende rekenvolume integreert de distributienetbeheerder de prosumenten met een terugdraaiende teller in een andere kolom. De rekenvolumes met betrekking tot </w:t>
      </w:r>
      <w:r w:rsidR="00583995">
        <w:t>[…]</w:t>
      </w:r>
      <w:r w:rsidR="00583995">
        <w:rPr>
          <w:rStyle w:val="Voetnootmarkering"/>
        </w:rPr>
        <w:footnoteReference w:id="59"/>
      </w:r>
      <w:r w:rsidR="00583995">
        <w:t xml:space="preserve"> </w:t>
      </w:r>
      <w:r w:rsidR="001148DE">
        <w:t>de niet gemeten afgenomen hoeveelheid actieve energie</w:t>
      </w:r>
      <w:r w:rsidR="006E0E67">
        <w:t xml:space="preserve"> (ingeschat op basis van de omvormervermogens)</w:t>
      </w:r>
      <w:r>
        <w:t xml:space="preserve"> en het omvormervermogen van de decentrale productie-installatie worden afzonderlijk gerapporteerd onder de kolom ‘Prosumenten met terugdraaiende teller op LS’. De rekenvolumes met betrekking tot </w:t>
      </w:r>
      <w:r w:rsidR="00583995">
        <w:t>[het aantal klanten, het aantal meters,]</w:t>
      </w:r>
      <w:r w:rsidR="00583995">
        <w:rPr>
          <w:rStyle w:val="Voetnootmarkering"/>
        </w:rPr>
        <w:footnoteReference w:id="60"/>
      </w:r>
      <w:r w:rsidR="00583995">
        <w:t xml:space="preserve"> </w:t>
      </w:r>
      <w:r>
        <w:t>de gemiddelde maandpiek en de gemeten afgenomen hoeveelheid actieve energie worden samen met de overeenkomstige rekenvolumes voor de afnameklanten met een klassieke meter gerapporteerd onder de kolom ‘Afnameklanten op LS met klassieke meter’.</w:t>
      </w:r>
    </w:p>
    <w:p w14:paraId="293CAC32" w14:textId="77777777" w:rsidR="001F238C" w:rsidRDefault="001F238C" w:rsidP="001F238C">
      <w:pPr>
        <w:pStyle w:val="Kop4"/>
      </w:pPr>
      <w:bookmarkStart w:id="221" w:name="_Toc42926206"/>
      <w:bookmarkStart w:id="222" w:name="_Toc81512525"/>
      <w:r>
        <w:t>MAXIMUM</w:t>
      </w:r>
      <w:bookmarkEnd w:id="221"/>
      <w:bookmarkEnd w:id="222"/>
    </w:p>
    <w:p w14:paraId="17A6B6A2" w14:textId="77777777" w:rsidR="001F238C" w:rsidRDefault="001F238C" w:rsidP="001F238C">
      <w:r>
        <w:t>Dit werkblad heeft betrekking op de gereguleerde activiteit ‘elektriciteit’ en geeft een overzicht van de impact van de maximumtarieven op de budgetten per klantengroep.</w:t>
      </w:r>
    </w:p>
    <w:p w14:paraId="71B92EBA" w14:textId="77777777" w:rsidR="001F238C" w:rsidRDefault="001F238C" w:rsidP="001F238C">
      <w:r>
        <w:t>Deze tabel bestaat uit zes delen:</w:t>
      </w:r>
    </w:p>
    <w:p w14:paraId="68429984" w14:textId="77777777" w:rsidR="001F238C" w:rsidRDefault="001F238C" w:rsidP="001F238C">
      <w:pPr>
        <w:pStyle w:val="Lijstalinea"/>
        <w:numPr>
          <w:ilvl w:val="0"/>
          <w:numId w:val="34"/>
        </w:numPr>
        <w:spacing w:before="0" w:after="160" w:line="259" w:lineRule="auto"/>
      </w:pPr>
      <w:r>
        <w:t>De eerste kolom ‘Klantengroep’ omvat een lijst van alle klantengroepen.</w:t>
      </w:r>
    </w:p>
    <w:p w14:paraId="5E085835" w14:textId="77777777" w:rsidR="001F238C" w:rsidRDefault="001F238C" w:rsidP="001F238C">
      <w:pPr>
        <w:pStyle w:val="Lijstalinea"/>
        <w:numPr>
          <w:ilvl w:val="0"/>
          <w:numId w:val="34"/>
        </w:numPr>
        <w:spacing w:before="0" w:after="160" w:line="259" w:lineRule="auto"/>
      </w:pPr>
      <w:r>
        <w:t>De tweede kolom ‘Vóór toepassing van het maximumtarief’ omvat het totale budget en het budget ‘Netgebruik’ dat aan iedere klantengroep toegewezen wordt. Deze waarden worden automatisch overgenomen uit het werkblad ‘Tabel 2’.</w:t>
      </w:r>
    </w:p>
    <w:p w14:paraId="012CE1BE" w14:textId="77777777" w:rsidR="001F238C" w:rsidRDefault="001F238C" w:rsidP="001F238C">
      <w:pPr>
        <w:pStyle w:val="Lijstalinea"/>
        <w:numPr>
          <w:ilvl w:val="0"/>
          <w:numId w:val="34"/>
        </w:numPr>
        <w:spacing w:before="0" w:after="160" w:line="259" w:lineRule="auto"/>
      </w:pPr>
      <w:r>
        <w:t>De derde kolom ‘Na toepassing van het maximumtarief’ omvat het niet-geïnde budget door toepassing van de maximumtarieven per klantengroep. Deze waarden worden automatisch overgenomen uit de werkbladen ‘Max Afname TRHS’, ‘Max Afname MS’, ‘Max Afname TRLS’, ‘Max Afname LS’ of ‘Max Injectie’.</w:t>
      </w:r>
    </w:p>
    <w:p w14:paraId="31DCEC7F" w14:textId="0FE87D2C" w:rsidR="001F238C" w:rsidRDefault="001F238C" w:rsidP="001F238C">
      <w:pPr>
        <w:pStyle w:val="Lijstalinea"/>
        <w:numPr>
          <w:ilvl w:val="0"/>
          <w:numId w:val="34"/>
        </w:numPr>
        <w:spacing w:before="0" w:after="160" w:line="259" w:lineRule="auto"/>
      </w:pPr>
      <w:r>
        <w:t xml:space="preserve">De vierde kolom ‘Na budgetverhoging’ omvat de budgetverhoging en overeenkomstige tariefverhoging per klantengroep ter recuperatie van de niet-geïnde budgetten. Deze </w:t>
      </w:r>
      <w:r>
        <w:lastRenderedPageBreak/>
        <w:t>kolom wordt automatisch berekend op basis van de cel ‘PROCENT_VERHOGING_NA_MAX’ ($G$3</w:t>
      </w:r>
      <w:r w:rsidR="00583995">
        <w:t>[4]</w:t>
      </w:r>
      <w:r w:rsidR="00583995">
        <w:rPr>
          <w:rStyle w:val="Voetnootmarkering"/>
        </w:rPr>
        <w:footnoteReference w:id="61"/>
      </w:r>
      <w:r>
        <w:t>) die de procentuele verhoging conform paragraaf 11.5.3 punt 3 omvat. De distributienetbeheerder bepaalt de waarde van deze cel met de functie ‘Doelzoeken’ zodanig dat de cel $G$3</w:t>
      </w:r>
      <w:r w:rsidR="00583995">
        <w:t>[6]</w:t>
      </w:r>
      <w:r w:rsidR="00583995">
        <w:rPr>
          <w:rStyle w:val="Voetnootmarkering"/>
        </w:rPr>
        <w:footnoteReference w:id="62"/>
      </w:r>
      <w:r>
        <w:t xml:space="preserve"> gelijk is aan 100%.</w:t>
      </w:r>
    </w:p>
    <w:p w14:paraId="0369A001" w14:textId="77777777" w:rsidR="001F238C" w:rsidRDefault="001F238C" w:rsidP="001F238C">
      <w:pPr>
        <w:pStyle w:val="Lijstalinea"/>
        <w:numPr>
          <w:ilvl w:val="0"/>
          <w:numId w:val="34"/>
        </w:numPr>
        <w:spacing w:before="0" w:after="160" w:line="259" w:lineRule="auto"/>
      </w:pPr>
      <w:r>
        <w:t>De vijfde kolom omvat het uiteindelijke budget dat na de voorgaande stappen aan iedere klantengroep toegewezen wordt alsook het verschil met het initiële budget uit het werkblad ‘Tabel 2’.</w:t>
      </w:r>
    </w:p>
    <w:p w14:paraId="062BF981" w14:textId="77777777" w:rsidR="001F238C" w:rsidRDefault="001F238C" w:rsidP="001F238C">
      <w:pPr>
        <w:pStyle w:val="Lijstalinea"/>
        <w:numPr>
          <w:ilvl w:val="0"/>
          <w:numId w:val="34"/>
        </w:numPr>
        <w:spacing w:before="0" w:after="160" w:line="259" w:lineRule="auto"/>
      </w:pPr>
      <w:r>
        <w:t>De zesde kolom ‘Werkblad’ omvat een verwijzing naar één van de gelinkte werkbladen ‘Max Afname TRHS’, ‘Max Afname MS’, ‘Max Afname TRLS’, ‘Max Afname LS’ of ‘Max Injectie’.</w:t>
      </w:r>
    </w:p>
    <w:p w14:paraId="600F8F5C" w14:textId="0A8534D6" w:rsidR="001F238C" w:rsidRDefault="001F238C" w:rsidP="001F238C">
      <w:r>
        <w:t>De distributienetbeheerder dient eerst het werkblad ‘Tabel 2’</w:t>
      </w:r>
      <w:r w:rsidR="00B2545E">
        <w:t xml:space="preserve">, het </w:t>
      </w:r>
      <w:r w:rsidR="00DB2595">
        <w:t>werk</w:t>
      </w:r>
      <w:r w:rsidR="00B2545E">
        <w:t>blad ‘MAX Afname TRHS’ en de aanverwante wer</w:t>
      </w:r>
      <w:r w:rsidR="00DB2595">
        <w:t>kbladen</w:t>
      </w:r>
      <w:r>
        <w:t xml:space="preserve"> in te vullen vooraleer hij het werkblad ‘MAXIMUM’ invult.</w:t>
      </w:r>
    </w:p>
    <w:p w14:paraId="0196ABEE" w14:textId="77777777" w:rsidR="001F238C" w:rsidRDefault="001F238C" w:rsidP="001F238C">
      <w:pPr>
        <w:pStyle w:val="Kop4"/>
      </w:pPr>
      <w:bookmarkStart w:id="223" w:name="_Toc42926207"/>
      <w:bookmarkStart w:id="224" w:name="_Toc81512526"/>
      <w:r>
        <w:t>MAX Afname TRHS en aanverwante werkbladen</w:t>
      </w:r>
      <w:bookmarkEnd w:id="223"/>
      <w:bookmarkEnd w:id="224"/>
    </w:p>
    <w:p w14:paraId="0C4E6F01" w14:textId="77777777" w:rsidR="001F238C" w:rsidRDefault="001F238C" w:rsidP="001F238C">
      <w:r>
        <w:t>Aan de hand van deze werkbladen wordt de impact van de maximumtarieven op de budgetten en tarieven per klantengroep bepaald.</w:t>
      </w:r>
    </w:p>
    <w:p w14:paraId="38052CEA" w14:textId="77777777" w:rsidR="001F238C" w:rsidRDefault="001F238C" w:rsidP="001F238C">
      <w:r>
        <w:t>In dit werkblad dient de distributienetbeheerder voor een representatieve set van klanten de hoeveelheden per klant en per tariefdrager te rapporteren. Deze representatieve klantenset omvat, per werkblad, minstens 5.000 klanten of alle klanten binnen de betreffende klantengroep(en) als er minder dan 5.000 klanten zijn. De distributienetbeheerder rapporteert ook het maximumtarief dat geldt per klantengroep.</w:t>
      </w:r>
    </w:p>
    <w:p w14:paraId="3998F126" w14:textId="77777777" w:rsidR="001F238C" w:rsidRDefault="001F238C" w:rsidP="001F238C">
      <w:r>
        <w:t>Op basis van deze informatie wordt automatisch berekend welk bedrag iedere klant overeenkomstig de periodieke distributienettarieven in het tariefvoorstel zou betalen en welk bedrag niet geïnd wordt door toepassing van het maximumtarief.</w:t>
      </w:r>
    </w:p>
    <w:p w14:paraId="3B6822C2" w14:textId="77777777" w:rsidR="001F238C" w:rsidRDefault="001F238C" w:rsidP="001F238C">
      <w:r>
        <w:t>Deze werkbladen zijn vervolgens gelinkt aan het werkblad ‘MAXIMUM’ zodat de procentuele verhoging conform paragraaf 11.5.3 punt 3 op een éénduidige manier bepaald kan worden.</w:t>
      </w:r>
    </w:p>
    <w:p w14:paraId="17FE8EAB" w14:textId="77777777" w:rsidR="001F238C" w:rsidRDefault="001F238C" w:rsidP="001F238C">
      <w:pPr>
        <w:pStyle w:val="Kop4"/>
      </w:pPr>
      <w:bookmarkStart w:id="225" w:name="_Toc42926208"/>
      <w:bookmarkStart w:id="226" w:name="_Ref43983425"/>
      <w:bookmarkStart w:id="227" w:name="_Toc81512527"/>
      <w:r>
        <w:t>TABEL 1</w:t>
      </w:r>
      <w:bookmarkEnd w:id="225"/>
      <w:bookmarkEnd w:id="226"/>
      <w:bookmarkEnd w:id="227"/>
    </w:p>
    <w:p w14:paraId="1BB3EA33" w14:textId="77777777" w:rsidR="001F238C" w:rsidRDefault="001F238C" w:rsidP="001F238C">
      <w:r>
        <w:t>Dit werkblad geeft een algemeen overzicht van het budget van de distributienetbeheerder uit de periodieke distributienettarieven voor de gereguleerde activiteit ‘elektriciteit’. Daarbij wordt een onderscheid gemaakt tussen het budget voor exogene kosten en voor endogene kosten alsook een verder onderscheid tussen de verschillende tariefcomponenten.</w:t>
      </w:r>
    </w:p>
    <w:p w14:paraId="602C6338" w14:textId="77777777" w:rsidR="001F238C" w:rsidRDefault="001F238C" w:rsidP="001F238C">
      <w:r>
        <w:t>Dit werkblad wordt automatisch ingevuld op basis van de rapportering in het werkblad ‘Tabel 2’.</w:t>
      </w:r>
    </w:p>
    <w:p w14:paraId="21E73A21" w14:textId="77777777" w:rsidR="001F238C" w:rsidRDefault="001F238C" w:rsidP="001F238C">
      <w:r>
        <w:t>De distributienetbeheerder dient ervoor te zorgen dat het budget voor exogene kosten overeenstemt met het door de VREG toegelaten inkomen voor exogene kosten, terwijl het budget voor endogene kosten het door de VREG toegelaten inkomen voor endogene kosten niet mag overschrijden.</w:t>
      </w:r>
    </w:p>
    <w:p w14:paraId="2DD94E90" w14:textId="77777777" w:rsidR="001F238C" w:rsidRDefault="001F238C" w:rsidP="001F238C">
      <w:pPr>
        <w:pStyle w:val="Kop4"/>
      </w:pPr>
      <w:bookmarkStart w:id="228" w:name="_Toc42926209"/>
      <w:bookmarkStart w:id="229" w:name="_Toc81512528"/>
      <w:r w:rsidRPr="00521E9B">
        <w:t>TABEL</w:t>
      </w:r>
      <w:r>
        <w:t xml:space="preserve"> 2</w:t>
      </w:r>
      <w:bookmarkEnd w:id="228"/>
      <w:bookmarkEnd w:id="229"/>
    </w:p>
    <w:p w14:paraId="04A7AAE8" w14:textId="77777777" w:rsidR="001F238C" w:rsidRDefault="001F238C" w:rsidP="001F238C">
      <w:r>
        <w:lastRenderedPageBreak/>
        <w:t>Dit werkblad geeft een overzicht van de gebudgetteerde kosten (en opbrengsten) per kostenrubriek en de stapsgewijze toewijzing ervan aan de verschillende klantengroepen.</w:t>
      </w:r>
    </w:p>
    <w:p w14:paraId="2F54296D" w14:textId="77777777" w:rsidR="001F238C" w:rsidRDefault="001F238C" w:rsidP="001F238C">
      <w:r>
        <w:t>De tabel bestaat uit vier delen:</w:t>
      </w:r>
    </w:p>
    <w:p w14:paraId="4AC5F557" w14:textId="77777777" w:rsidR="001F238C" w:rsidRDefault="001F238C" w:rsidP="001F238C">
      <w:pPr>
        <w:pStyle w:val="Lijstalinea"/>
        <w:numPr>
          <w:ilvl w:val="0"/>
          <w:numId w:val="35"/>
        </w:numPr>
        <w:spacing w:before="0" w:after="160" w:line="259" w:lineRule="auto"/>
      </w:pPr>
      <w:r>
        <w:t>Het eerst deel omvat een lijst van alle kostenrubrieken alsook een definiëring van elke kostenrubriek. Daarbij wordt een onderscheid gemaakt (i) naargelang de subactiviteit (distributie of transmissie), (ii) naargelang de tariefcomponent, (iii) tussen endogene en exogene kosten, (iv) tussen afschrijvingen, netto-operationele kosten, kapitaalkostenvergoedingen, marge en afbouw van regulatoire saldi, (v) tussen directe en indirecte kosten en tenslotte (vi) tussen capaciteitsgerelateerde en niet-capaciteitsgerelateerde kosten.</w:t>
      </w:r>
    </w:p>
    <w:p w14:paraId="2761F408" w14:textId="77777777" w:rsidR="001F238C" w:rsidRDefault="001F238C" w:rsidP="001F238C">
      <w:pPr>
        <w:pStyle w:val="Lijstalinea"/>
        <w:numPr>
          <w:ilvl w:val="0"/>
          <w:numId w:val="35"/>
        </w:numPr>
        <w:spacing w:before="0" w:after="160" w:line="259" w:lineRule="auto"/>
      </w:pPr>
      <w:r>
        <w:t>Het tweede deel omvat de verdeelsleutels aan de hand waarvan iedere kostenrubriek toegewezen wordt. Dit deel is door de VREG begrensd zodat enkel de verdeelsleutels, die gerapporteerd zijn in het werkblad ‘VERDEELSLEUTELS’, ingevuld kunnen worden.</w:t>
      </w:r>
    </w:p>
    <w:p w14:paraId="73DBA02F" w14:textId="7FE967F8" w:rsidR="001F238C" w:rsidRDefault="001F238C" w:rsidP="001F238C">
      <w:pPr>
        <w:pStyle w:val="Lijstalinea"/>
        <w:numPr>
          <w:ilvl w:val="0"/>
          <w:numId w:val="35"/>
        </w:numPr>
        <w:spacing w:before="0" w:after="160" w:line="259" w:lineRule="auto"/>
      </w:pPr>
      <w:r>
        <w:t>In het derde deel of de kolom ‘Totale budget’ rapporteert de distributienetbeheerder het budget dat hij voor iedere kostenrubriek voorziet.</w:t>
      </w:r>
    </w:p>
    <w:p w14:paraId="4B9D1DA4" w14:textId="77777777" w:rsidR="001F238C" w:rsidRDefault="001F238C" w:rsidP="001F238C">
      <w:pPr>
        <w:pStyle w:val="Lijstalinea"/>
        <w:numPr>
          <w:ilvl w:val="0"/>
          <w:numId w:val="35"/>
        </w:numPr>
        <w:spacing w:before="0" w:after="160" w:line="259" w:lineRule="auto"/>
      </w:pPr>
      <w:r>
        <w:t>In het vierde deel worden de budgetten per energierichting, per spanningsniveau en per klantengroep automatisch berekend op basis van de ingevulde verdeelsleutels en totaalbudgetten.</w:t>
      </w:r>
    </w:p>
    <w:p w14:paraId="041B8A65" w14:textId="77777777" w:rsidR="001F238C" w:rsidRDefault="001F238C" w:rsidP="001F238C">
      <w:pPr>
        <w:pStyle w:val="Kop4"/>
      </w:pPr>
      <w:bookmarkStart w:id="230" w:name="_Toc42926210"/>
      <w:bookmarkStart w:id="231" w:name="_Ref43983378"/>
      <w:bookmarkStart w:id="232" w:name="_Toc81512529"/>
      <w:r>
        <w:t>TABEL 3</w:t>
      </w:r>
      <w:bookmarkEnd w:id="230"/>
      <w:bookmarkEnd w:id="231"/>
      <w:bookmarkEnd w:id="232"/>
    </w:p>
    <w:p w14:paraId="2F98F0FA" w14:textId="77777777" w:rsidR="001F238C" w:rsidRDefault="001F238C" w:rsidP="001F238C">
      <w:r>
        <w:t>Dit werkblad heeft betrekking op de gereguleerde activiteit ‘elektriciteit’ en bevat twee tabellen:</w:t>
      </w:r>
    </w:p>
    <w:p w14:paraId="196167B6" w14:textId="77777777" w:rsidR="001F238C" w:rsidRDefault="001F238C" w:rsidP="001F238C">
      <w:pPr>
        <w:pStyle w:val="Lijstalinea"/>
        <w:numPr>
          <w:ilvl w:val="0"/>
          <w:numId w:val="36"/>
        </w:numPr>
        <w:spacing w:before="0" w:after="160" w:line="259" w:lineRule="auto"/>
      </w:pPr>
      <w:r>
        <w:t>De eerste tabel (3A) omvat een overzicht van de gebudgetteerde kosten per tariefcomponent en per klantengroep. De waarden worden automatisch berekend op basis van het werkblad ‘Tabel 2’.</w:t>
      </w:r>
    </w:p>
    <w:p w14:paraId="48D47022" w14:textId="77777777" w:rsidR="001F238C" w:rsidRDefault="001F238C" w:rsidP="001F238C">
      <w:pPr>
        <w:pStyle w:val="Lijstalinea"/>
        <w:numPr>
          <w:ilvl w:val="0"/>
          <w:numId w:val="36"/>
        </w:numPr>
        <w:spacing w:before="0" w:after="160" w:line="259" w:lineRule="auto"/>
      </w:pPr>
      <w:r>
        <w:t>De tweede tabel (3B) omvat de automatische berekening van de periodieke distributienettarieven op basis van de budgetten in Tabel 3A, de rekenvolumes in het werkblad ‘REKENVOLUMES’ en de tarifaire bepalingen in het werkblad ‘ASSUMPTIES’.</w:t>
      </w:r>
    </w:p>
    <w:p w14:paraId="18DE98FA" w14:textId="77777777" w:rsidR="001F238C" w:rsidRDefault="001F238C" w:rsidP="001F238C">
      <w:r>
        <w:t>Beide tabellen hebben betrekking op de situatie vóór de toepassing van de maximumtarieven.</w:t>
      </w:r>
    </w:p>
    <w:p w14:paraId="2E9F7362" w14:textId="77FD0A01" w:rsidR="001F238C" w:rsidRDefault="001F238C" w:rsidP="001F238C">
      <w:r>
        <w:t>In een afzonderlijke kader wordt het aanvullende capaciteitstarief voor de prosumenten met een terugdraaiende teller berekend.</w:t>
      </w:r>
    </w:p>
    <w:p w14:paraId="361A31CC" w14:textId="77777777" w:rsidR="001F238C" w:rsidRDefault="001F238C" w:rsidP="001F238C">
      <w:pPr>
        <w:pStyle w:val="Kop4"/>
      </w:pPr>
      <w:bookmarkStart w:id="233" w:name="_Toc42926211"/>
      <w:bookmarkStart w:id="234" w:name="_Toc81512530"/>
      <w:r>
        <w:t>TABEL 4</w:t>
      </w:r>
      <w:bookmarkEnd w:id="233"/>
      <w:bookmarkEnd w:id="234"/>
    </w:p>
    <w:p w14:paraId="25F5259E" w14:textId="77777777" w:rsidR="001F238C" w:rsidRDefault="001F238C" w:rsidP="001F238C">
      <w:r>
        <w:t>Dit werkblad herneemt dezelfde tabellen uit werkblad ‘Tabel 3’ maar heeft betrekking op de situatie na de toepassing van de maximumtarieven.</w:t>
      </w:r>
    </w:p>
    <w:p w14:paraId="48B0F551" w14:textId="77777777" w:rsidR="001F238C" w:rsidRDefault="001F238C" w:rsidP="001F238C">
      <w:pPr>
        <w:pStyle w:val="Lijstalinea"/>
        <w:numPr>
          <w:ilvl w:val="0"/>
          <w:numId w:val="37"/>
        </w:numPr>
        <w:spacing w:before="0" w:after="160" w:line="259" w:lineRule="auto"/>
      </w:pPr>
      <w:r>
        <w:t>De eerste tabel (4B) geeft opnieuw een overzicht van de periodieke distributienettarieven per tariefdrager en per klantengroep. De tarieven binnen de tariefcomponent ‘Netgebruik’ worden overgenomen uit Tabel 3B en vermenigvuldigd met de procentuele tariefverhoging uit het werkblad ‘MAXIMUM’. De tarieven voor de overige tariefcomponenten worden zonder meer overgenomen uit Tabel 3B.</w:t>
      </w:r>
    </w:p>
    <w:p w14:paraId="47BFF2E0" w14:textId="77777777" w:rsidR="001F238C" w:rsidRDefault="001F238C" w:rsidP="001F238C">
      <w:pPr>
        <w:pStyle w:val="Lijstalinea"/>
        <w:numPr>
          <w:ilvl w:val="0"/>
          <w:numId w:val="37"/>
        </w:numPr>
        <w:spacing w:before="0" w:after="160" w:line="259" w:lineRule="auto"/>
      </w:pPr>
      <w:r>
        <w:t xml:space="preserve">De tweede tabel (4A) omvat een reconciliatie van de gebudgetteerde kosten per tariefcomponent en per klantengroep. De waarden worden automatisch berekend op basis van de periodieke distributienettarieven uit Tabel 4B en de overeenkomstige rekenvolumes uit het werkblad ‘REKENVOLUMES’. De distributienetbeheerder dient na te </w:t>
      </w:r>
      <w:r>
        <w:lastRenderedPageBreak/>
        <w:t>gaan dat het totale budget, over alle tariefcomponenten en klantengroepen, gelijk is aan het totale budget in het werkblad ‘Tabel 1’.</w:t>
      </w:r>
    </w:p>
    <w:p w14:paraId="29D55C09" w14:textId="77777777" w:rsidR="001F238C" w:rsidRDefault="001F238C" w:rsidP="001F238C">
      <w:pPr>
        <w:pStyle w:val="Kop4"/>
      </w:pPr>
      <w:bookmarkStart w:id="235" w:name="_Toc42926212"/>
      <w:bookmarkStart w:id="236" w:name="_Ref43983476"/>
      <w:bookmarkStart w:id="237" w:name="_Toc81512531"/>
      <w:r>
        <w:t>TABEL 5</w:t>
      </w:r>
      <w:bookmarkEnd w:id="235"/>
      <w:bookmarkEnd w:id="236"/>
      <w:bookmarkEnd w:id="237"/>
    </w:p>
    <w:p w14:paraId="793884E1" w14:textId="77777777" w:rsidR="001F238C" w:rsidRDefault="001F238C" w:rsidP="001F238C">
      <w:r>
        <w:t>Dit werkblad geeft een algemeen overzicht van het budget van de distributienetbeheerder uit de periodieke distributienettarieven voor de gereguleerde activiteit ‘aardgas’. Daarbij wordt een onderscheid gemaakt tussen het budget voor exogene kosten en voor endogene kosten alsook een verder onderscheid tussen de verschillende tariefcomponenten.</w:t>
      </w:r>
    </w:p>
    <w:p w14:paraId="084EB41D" w14:textId="77777777" w:rsidR="001F238C" w:rsidRDefault="001F238C" w:rsidP="001F238C">
      <w:r>
        <w:t>Dit werkblad wordt automatisch ingevuld op basis van de rapportering in het werkblad ‘Tabel 6’.</w:t>
      </w:r>
    </w:p>
    <w:p w14:paraId="4E606020" w14:textId="77777777" w:rsidR="001F238C" w:rsidRDefault="001F238C" w:rsidP="001F238C">
      <w:r>
        <w:t>De distributienetbeheerder dient ervoor te zorgen dat het budget voor exogene kosten overeenstemt met het door de VREG toegelaten inkomen voor exogene kosten, terwijl het budget voor endogene kosten het door de VREG toegelaten inkomen voor endogene kosten niet mag overschrijden.</w:t>
      </w:r>
    </w:p>
    <w:p w14:paraId="612C0568" w14:textId="77777777" w:rsidR="001F238C" w:rsidRDefault="001F238C" w:rsidP="001F238C">
      <w:pPr>
        <w:pStyle w:val="Kop4"/>
      </w:pPr>
      <w:bookmarkStart w:id="238" w:name="_Toc42926213"/>
      <w:bookmarkStart w:id="239" w:name="_Toc81512532"/>
      <w:r>
        <w:t>TABEL 6</w:t>
      </w:r>
      <w:bookmarkEnd w:id="238"/>
      <w:bookmarkEnd w:id="239"/>
    </w:p>
    <w:p w14:paraId="70D858AB" w14:textId="77777777" w:rsidR="001F238C" w:rsidRDefault="001F238C" w:rsidP="001F238C">
      <w:r>
        <w:t>In dit werkblad rapporteert de distributienetbeheerder het budget dat hij aan iedere tariefcomponent en klantengroep toewijst conform paragraaf 12.2.1.1 van de hoofdtekst van de tariefmethodologie. Daarbij wordt een onderscheid gemaakt tussen het budget voor exogene kosten en voor endogene kosten.</w:t>
      </w:r>
    </w:p>
    <w:p w14:paraId="2F4073B1" w14:textId="77777777" w:rsidR="001F238C" w:rsidRDefault="001F238C" w:rsidP="001F238C">
      <w:pPr>
        <w:pStyle w:val="Kop4"/>
      </w:pPr>
      <w:bookmarkStart w:id="240" w:name="_Toc42926214"/>
      <w:bookmarkStart w:id="241" w:name="_Toc81512533"/>
      <w:r>
        <w:t>TABEL 7</w:t>
      </w:r>
      <w:bookmarkEnd w:id="240"/>
      <w:bookmarkEnd w:id="241"/>
    </w:p>
    <w:p w14:paraId="56A327AA" w14:textId="77777777" w:rsidR="001F238C" w:rsidRDefault="001F238C" w:rsidP="001F238C">
      <w:r>
        <w:t xml:space="preserve">In deze tabel wordt de tariefmatrix m.b.t. de tariefstructuur voor gas (afname en injectie) opgenomen. Hierbij dient het tarief per tariefcomponent en per klantengroep worden opgegeven door de distributienetbeheerder en dit enerzijds na toepassing van de verdeelsleutels op het gebudgetteerde inkomen per tariefcomponent en per klantengroep en anderzijds na toepassing van de rekenvolumes. Met betrekking tot de toe te passen verdeelsleutels verwijst de VREG naar de bepalingen in paragraaf 12.2.1.1 van de hoofdtekst van de tariefmethodologie. Inzake de toe te passen rekenvolumes verwijzen we naar paragraaf 12.3 van de hoofdtekst van de tariefmethodologie. </w:t>
      </w:r>
    </w:p>
    <w:p w14:paraId="4C3580D8" w14:textId="77777777" w:rsidR="001F238C" w:rsidRDefault="001F238C" w:rsidP="001F238C">
      <w:r>
        <w:t>De tarieven worden afgerond tot op 7 cijfers na de komma, met uitzondering van de vaste term in het ‘basistarief voor overbrenging met het net’ en het ‘tarief meet- en telactiviteit’ dewelke worden afgerond tot op 2 cijfers na de komma.</w:t>
      </w:r>
    </w:p>
    <w:p w14:paraId="07B350BA" w14:textId="77777777" w:rsidR="001F238C" w:rsidRDefault="001F238C" w:rsidP="001F238C">
      <w:pPr>
        <w:pStyle w:val="Kop4"/>
      </w:pPr>
      <w:bookmarkStart w:id="242" w:name="_Toc42926215"/>
      <w:bookmarkStart w:id="243" w:name="_Toc81512534"/>
      <w:r>
        <w:t>TABEL 8</w:t>
      </w:r>
      <w:bookmarkEnd w:id="242"/>
      <w:bookmarkEnd w:id="243"/>
    </w:p>
    <w:p w14:paraId="052CA2AD" w14:textId="77777777" w:rsidR="001F238C" w:rsidRDefault="001F238C" w:rsidP="001F238C">
      <w:r>
        <w:t>Dit werkblad heeft betrekking op de gereguleerde activiteit ‘aardgas’ en bestaat uit twee tabellen:</w:t>
      </w:r>
    </w:p>
    <w:p w14:paraId="1C6975AE" w14:textId="77777777" w:rsidR="001F238C" w:rsidRDefault="001F238C" w:rsidP="001F238C">
      <w:pPr>
        <w:pStyle w:val="Lijstalinea"/>
        <w:numPr>
          <w:ilvl w:val="0"/>
          <w:numId w:val="39"/>
        </w:numPr>
      </w:pPr>
      <w:r w:rsidRPr="00481900">
        <w:t xml:space="preserve">In </w:t>
      </w:r>
      <w:r>
        <w:t>de eerste tabel</w:t>
      </w:r>
      <w:r w:rsidRPr="00481900">
        <w:t xml:space="preserve"> rapporteert de distributienetbeheerder voor het betreffende jaar de rekenvolumes per tariefdrager en per klantengroep (conform paragraaf </w:t>
      </w:r>
      <w:r>
        <w:t>12.3</w:t>
      </w:r>
      <w:r w:rsidRPr="00481900">
        <w:t xml:space="preserve"> van de hoofdtekst van de tariefmethodologie).</w:t>
      </w:r>
    </w:p>
    <w:p w14:paraId="06D2FC9D" w14:textId="14D45BD8" w:rsidR="000D47E5" w:rsidRPr="0043072E" w:rsidRDefault="001F238C" w:rsidP="001F238C">
      <w:pPr>
        <w:rPr>
          <w:rFonts w:ascii="Calibri" w:hAnsi="Calibri"/>
        </w:rPr>
      </w:pPr>
      <w:r w:rsidRPr="00562831">
        <w:t xml:space="preserve">De tweede tabel omvat een reconciliatie van de gebudgetteerde kosten per tariefcomponent en per klantengroep. De waarden worden automatisch berekend op basis van de periodieke distributienettarieven uit </w:t>
      </w:r>
      <w:r>
        <w:t xml:space="preserve">Tabel 7 </w:t>
      </w:r>
      <w:r w:rsidRPr="00562831">
        <w:t xml:space="preserve">en de overeenkomstige rekenvolumes uit </w:t>
      </w:r>
      <w:r>
        <w:t>de eerste tabel</w:t>
      </w:r>
      <w:r w:rsidRPr="00562831">
        <w:t xml:space="preserve">. De </w:t>
      </w:r>
      <w:r w:rsidRPr="00562831">
        <w:lastRenderedPageBreak/>
        <w:t xml:space="preserve">distributienetbeheerder dient na te gaan dat het totale budget, over alle tariefcomponenten en klantengroepen, gelijk is aan het totale budget in het werkblad ‘Tabel </w:t>
      </w:r>
      <w:r>
        <w:t>5</w:t>
      </w:r>
      <w:r w:rsidRPr="00562831">
        <w:t>’.</w:t>
      </w:r>
    </w:p>
    <w:p w14:paraId="7DA489B9" w14:textId="5AD974B7" w:rsidR="000D47E5" w:rsidRPr="008F2916" w:rsidRDefault="000D47E5" w:rsidP="008F2916">
      <w:pPr>
        <w:pStyle w:val="Kop1"/>
      </w:pPr>
      <w:bookmarkStart w:id="244" w:name="_Toc81512535"/>
      <w:bookmarkStart w:id="245" w:name="_Toc420934513"/>
      <w:bookmarkStart w:id="246" w:name="_Ref442793011"/>
      <w:bookmarkStart w:id="247" w:name="_Toc450038587"/>
      <w:r w:rsidRPr="008F2916">
        <w:t>Auditinstructie rapporteringsmodellen</w:t>
      </w:r>
      <w:bookmarkEnd w:id="244"/>
      <w:r w:rsidRPr="008F2916">
        <w:t xml:space="preserve"> </w:t>
      </w:r>
      <w:bookmarkEnd w:id="245"/>
      <w:bookmarkEnd w:id="246"/>
      <w:bookmarkEnd w:id="247"/>
    </w:p>
    <w:p w14:paraId="2C4468D5" w14:textId="77777777" w:rsidR="000D47E5" w:rsidRPr="008F2916" w:rsidRDefault="000D47E5" w:rsidP="008F2916">
      <w:pPr>
        <w:pStyle w:val="Kop2"/>
      </w:pPr>
      <w:bookmarkStart w:id="248" w:name="_Toc420934514"/>
      <w:bookmarkStart w:id="249" w:name="_Toc450038588"/>
      <w:bookmarkStart w:id="250" w:name="_Toc81512536"/>
      <w:r w:rsidRPr="008F2916">
        <w:t>Inleiding</w:t>
      </w:r>
      <w:bookmarkEnd w:id="248"/>
      <w:bookmarkEnd w:id="249"/>
      <w:bookmarkEnd w:id="250"/>
    </w:p>
    <w:p w14:paraId="771211AC" w14:textId="5C34AED9" w:rsidR="000D47E5" w:rsidRPr="0043072E" w:rsidRDefault="000D47E5" w:rsidP="008F2916">
      <w:pPr>
        <w:rPr>
          <w:rFonts w:ascii="Calibri" w:hAnsi="Calibri"/>
        </w:rPr>
      </w:pPr>
      <w:r w:rsidRPr="0043072E">
        <w:rPr>
          <w:rFonts w:ascii="Calibri" w:hAnsi="Calibri"/>
        </w:rPr>
        <w:t xml:space="preserve">In deze auditinstructie worden zowel de scope, het object, de doelstelling als de verslaggeving van de controleopdracht uiteengezet. </w:t>
      </w:r>
    </w:p>
    <w:p w14:paraId="0B3CEB26" w14:textId="77777777" w:rsidR="000D47E5" w:rsidRPr="008F2916" w:rsidRDefault="000D47E5" w:rsidP="008F2916">
      <w:pPr>
        <w:pStyle w:val="Kop2"/>
      </w:pPr>
      <w:bookmarkStart w:id="251" w:name="_Toc420934515"/>
      <w:bookmarkStart w:id="252" w:name="_Toc450038589"/>
      <w:bookmarkStart w:id="253" w:name="_Toc81512537"/>
      <w:r w:rsidRPr="008F2916">
        <w:t>Scope</w:t>
      </w:r>
      <w:bookmarkEnd w:id="251"/>
      <w:bookmarkEnd w:id="252"/>
      <w:bookmarkEnd w:id="253"/>
    </w:p>
    <w:p w14:paraId="4D908A65" w14:textId="1E6638BB" w:rsidR="000D47E5" w:rsidRPr="0043072E" w:rsidRDefault="000D47E5" w:rsidP="008F2916">
      <w:pPr>
        <w:rPr>
          <w:rFonts w:ascii="Calibri" w:hAnsi="Calibri"/>
        </w:rPr>
      </w:pPr>
      <w:r w:rsidRPr="0043072E">
        <w:rPr>
          <w:rFonts w:ascii="Calibri" w:hAnsi="Calibri"/>
        </w:rPr>
        <w:t xml:space="preserve">Er is sprake van een opdracht tot het verrichten van de met de betrokken partijen overeengekomen specifieke werkzaamheden. </w:t>
      </w:r>
    </w:p>
    <w:p w14:paraId="30CF7986" w14:textId="45FC7467" w:rsidR="000D47E5" w:rsidRPr="0043072E" w:rsidRDefault="000D47E5" w:rsidP="008F2916">
      <w:pPr>
        <w:rPr>
          <w:rFonts w:ascii="Calibri" w:hAnsi="Calibri"/>
        </w:rPr>
      </w:pPr>
      <w:r w:rsidRPr="0043072E">
        <w:rPr>
          <w:rFonts w:ascii="Calibri" w:hAnsi="Calibri"/>
        </w:rPr>
        <w:t>De controle van de gerapporteerde gegevens dient te worden uitgevoerd overeenkomstig ’ISRS 4400</w:t>
      </w:r>
      <w:r w:rsidR="00034E73">
        <w:rPr>
          <w:rFonts w:ascii="Calibri" w:hAnsi="Calibri"/>
        </w:rPr>
        <w:t>’</w:t>
      </w:r>
      <w:r w:rsidRPr="0043072E">
        <w:rPr>
          <w:rFonts w:ascii="Calibri" w:hAnsi="Calibri"/>
        </w:rPr>
        <w:t xml:space="preserve"> </w:t>
      </w:r>
      <w:r w:rsidR="00D93517">
        <w:rPr>
          <w:rFonts w:ascii="Calibri" w:hAnsi="Calibri"/>
        </w:rPr>
        <w:t>betreffende o</w:t>
      </w:r>
      <w:r w:rsidRPr="0043072E">
        <w:rPr>
          <w:rFonts w:ascii="Calibri" w:hAnsi="Calibri"/>
        </w:rPr>
        <w:t>pdrachten tot het verrichten van overeengekomen specifieke werkzaamheden met betrekking tot financiële informatie</w:t>
      </w:r>
      <w:r w:rsidRPr="0043072E">
        <w:rPr>
          <w:rStyle w:val="Voetnootmarkering"/>
          <w:rFonts w:ascii="Calibri" w:hAnsi="Calibri"/>
        </w:rPr>
        <w:footnoteReference w:id="63"/>
      </w:r>
      <w:r w:rsidRPr="0043072E">
        <w:rPr>
          <w:rFonts w:ascii="Calibri" w:hAnsi="Calibri"/>
        </w:rPr>
        <w:t xml:space="preserve">. </w:t>
      </w:r>
    </w:p>
    <w:p w14:paraId="2275DAFB" w14:textId="77777777" w:rsidR="000D47E5" w:rsidRPr="008F2916" w:rsidRDefault="000D47E5" w:rsidP="008F2916">
      <w:pPr>
        <w:pStyle w:val="Kop2"/>
      </w:pPr>
      <w:bookmarkStart w:id="254" w:name="_Toc420934516"/>
      <w:bookmarkStart w:id="255" w:name="_Toc450038590"/>
      <w:bookmarkStart w:id="256" w:name="_Toc81512538"/>
      <w:r w:rsidRPr="008F2916">
        <w:t>Controleobject</w:t>
      </w:r>
      <w:bookmarkEnd w:id="254"/>
      <w:bookmarkEnd w:id="255"/>
      <w:bookmarkEnd w:id="256"/>
    </w:p>
    <w:p w14:paraId="2B3D39C4" w14:textId="3693B2E0" w:rsidR="000D47E5" w:rsidRPr="0043072E" w:rsidRDefault="000D47E5" w:rsidP="008F2916">
      <w:pPr>
        <w:rPr>
          <w:rFonts w:ascii="Calibri" w:hAnsi="Calibri"/>
        </w:rPr>
      </w:pPr>
      <w:r w:rsidRPr="0043072E">
        <w:rPr>
          <w:rFonts w:ascii="Calibri" w:hAnsi="Calibri"/>
        </w:rPr>
        <w:t>Het controleobject betreft de volgende rapporteringsmodellen:</w:t>
      </w:r>
    </w:p>
    <w:p w14:paraId="66DDDE15" w14:textId="65DAD38F" w:rsidR="000D47E5" w:rsidRPr="0043072E" w:rsidRDefault="000D47E5" w:rsidP="008F2916">
      <w:pPr>
        <w:pStyle w:val="Lijstalinea"/>
      </w:pPr>
      <w:r w:rsidRPr="0043072E">
        <w:rPr>
          <w:b/>
        </w:rPr>
        <w:t xml:space="preserve">Ex-post </w:t>
      </w:r>
      <w:r w:rsidRPr="0043072E">
        <w:t>rapporteringsmodel</w:t>
      </w:r>
      <w:r w:rsidR="00E65D48" w:rsidRPr="0043072E">
        <w:rPr>
          <w:rStyle w:val="Voetnootmarkering"/>
          <w:rFonts w:ascii="Calibri" w:hAnsi="Calibri"/>
        </w:rPr>
        <w:footnoteReference w:id="64"/>
      </w:r>
      <w:r w:rsidR="00E65D48">
        <w:t xml:space="preserve"> </w:t>
      </w:r>
      <w:r w:rsidRPr="0043072E">
        <w:t>inzake exogene kosten</w:t>
      </w:r>
      <w:r w:rsidR="006355CF">
        <w:t xml:space="preserve"> en aanvullende</w:t>
      </w:r>
      <w:r w:rsidR="00F115A2">
        <w:t xml:space="preserve"> endogene termen voor de boekjaren 2021, 2022, 2023 en 2024</w:t>
      </w:r>
      <w:r w:rsidR="00E65D48">
        <w:t xml:space="preserve">, </w:t>
      </w:r>
      <w:r w:rsidR="00E203E3">
        <w:t xml:space="preserve">volgens de bepalingen in paragrafen </w:t>
      </w:r>
      <w:r w:rsidR="00E203E3">
        <w:fldChar w:fldCharType="begin"/>
      </w:r>
      <w:r w:rsidR="00E203E3">
        <w:instrText xml:space="preserve"> REF _Ref40097557 \r \h </w:instrText>
      </w:r>
      <w:r w:rsidR="00E203E3">
        <w:fldChar w:fldCharType="separate"/>
      </w:r>
      <w:r w:rsidR="00964FA9">
        <w:t>1.1</w:t>
      </w:r>
      <w:r w:rsidR="00E203E3">
        <w:fldChar w:fldCharType="end"/>
      </w:r>
      <w:r w:rsidR="00E203E3">
        <w:t xml:space="preserve"> en </w:t>
      </w:r>
      <w:r w:rsidR="00E203E3">
        <w:fldChar w:fldCharType="begin"/>
      </w:r>
      <w:r w:rsidR="00E203E3">
        <w:instrText xml:space="preserve"> REF _Ref39576237 \r \h </w:instrText>
      </w:r>
      <w:r w:rsidR="00E203E3">
        <w:fldChar w:fldCharType="separate"/>
      </w:r>
      <w:r w:rsidR="00964FA9">
        <w:t>1.2</w:t>
      </w:r>
      <w:r w:rsidR="00E203E3">
        <w:fldChar w:fldCharType="end"/>
      </w:r>
      <w:r w:rsidR="00E203E3">
        <w:t>;</w:t>
      </w:r>
    </w:p>
    <w:p w14:paraId="037177CE" w14:textId="02AB2555" w:rsidR="000D47E5" w:rsidRDefault="000D47E5" w:rsidP="008F2916">
      <w:pPr>
        <w:pStyle w:val="Lijstalinea"/>
      </w:pPr>
      <w:r w:rsidRPr="0043072E">
        <w:t>Rapporteringsmodel inzake endogene kosten</w:t>
      </w:r>
      <w:r w:rsidR="00AD5518">
        <w:t xml:space="preserve"> voor de boekjaren 2021, 2022, 2023 en 2024</w:t>
      </w:r>
      <w:r w:rsidR="00E203E3">
        <w:t xml:space="preserve">, volgens de bepalingen in paragraaf </w:t>
      </w:r>
      <w:r w:rsidR="00E203E3">
        <w:fldChar w:fldCharType="begin"/>
      </w:r>
      <w:r w:rsidR="00E203E3">
        <w:instrText xml:space="preserve"> REF _Ref40077578 \r \h </w:instrText>
      </w:r>
      <w:r w:rsidR="00E203E3">
        <w:fldChar w:fldCharType="separate"/>
      </w:r>
      <w:r w:rsidR="00964FA9">
        <w:t>1.3</w:t>
      </w:r>
      <w:r w:rsidR="00E203E3">
        <w:fldChar w:fldCharType="end"/>
      </w:r>
      <w:r>
        <w:t>.</w:t>
      </w:r>
    </w:p>
    <w:p w14:paraId="330DBEA0" w14:textId="734E0E28" w:rsidR="000D47E5" w:rsidRPr="0043072E" w:rsidRDefault="000D47E5" w:rsidP="008F2916">
      <w:pPr>
        <w:rPr>
          <w:rFonts w:ascii="Calibri" w:hAnsi="Calibri"/>
        </w:rPr>
      </w:pPr>
      <w:r w:rsidRPr="0043072E">
        <w:rPr>
          <w:rFonts w:ascii="Calibri" w:hAnsi="Calibri"/>
        </w:rPr>
        <w:t>Het ex-post rapporteringsmodel inzake exogene kosten</w:t>
      </w:r>
      <w:r w:rsidR="00231D85">
        <w:rPr>
          <w:rFonts w:ascii="Calibri" w:hAnsi="Calibri"/>
        </w:rPr>
        <w:t xml:space="preserve"> en aanvullende endogene termen</w:t>
      </w:r>
      <w:r w:rsidRPr="0043072E">
        <w:rPr>
          <w:rFonts w:ascii="Calibri" w:hAnsi="Calibri"/>
        </w:rPr>
        <w:t xml:space="preserve"> bestaat uit een invulinstructie en de verschillende tabellen die hierboven in meer detail besproken worden (cfr paragra</w:t>
      </w:r>
      <w:r w:rsidR="00BD14C9">
        <w:rPr>
          <w:rFonts w:ascii="Calibri" w:hAnsi="Calibri"/>
        </w:rPr>
        <w:t>fen</w:t>
      </w:r>
      <w:r w:rsidRPr="0043072E">
        <w:rPr>
          <w:rFonts w:ascii="Calibri" w:hAnsi="Calibri"/>
        </w:rPr>
        <w:t xml:space="preserve"> </w:t>
      </w:r>
      <w:r w:rsidRPr="0043072E">
        <w:rPr>
          <w:rFonts w:ascii="Calibri" w:hAnsi="Calibri"/>
        </w:rPr>
        <w:fldChar w:fldCharType="begin"/>
      </w:r>
      <w:r w:rsidRPr="0043072E">
        <w:rPr>
          <w:rFonts w:ascii="Calibri" w:hAnsi="Calibri"/>
        </w:rPr>
        <w:instrText xml:space="preserve"> REF _Ref389574802 \r \h  \* MERGEFORMAT </w:instrText>
      </w:r>
      <w:r w:rsidRPr="0043072E">
        <w:rPr>
          <w:rFonts w:ascii="Calibri" w:hAnsi="Calibri"/>
        </w:rPr>
      </w:r>
      <w:r w:rsidRPr="0043072E">
        <w:rPr>
          <w:rFonts w:ascii="Calibri" w:hAnsi="Calibri"/>
        </w:rPr>
        <w:fldChar w:fldCharType="separate"/>
      </w:r>
      <w:r w:rsidR="00964FA9">
        <w:rPr>
          <w:rFonts w:ascii="Calibri" w:hAnsi="Calibri"/>
        </w:rPr>
        <w:t>1.1.1</w:t>
      </w:r>
      <w:r w:rsidRPr="0043072E">
        <w:rPr>
          <w:rFonts w:ascii="Calibri" w:hAnsi="Calibri"/>
        </w:rPr>
        <w:fldChar w:fldCharType="end"/>
      </w:r>
      <w:r w:rsidR="00BD14C9">
        <w:rPr>
          <w:rFonts w:ascii="Calibri" w:hAnsi="Calibri"/>
        </w:rPr>
        <w:t xml:space="preserve"> (voor het </w:t>
      </w:r>
      <w:r w:rsidR="00487D23">
        <w:rPr>
          <w:rFonts w:ascii="Calibri" w:hAnsi="Calibri"/>
        </w:rPr>
        <w:t>boek</w:t>
      </w:r>
      <w:r w:rsidR="00BD14C9">
        <w:rPr>
          <w:rFonts w:ascii="Calibri" w:hAnsi="Calibri"/>
        </w:rPr>
        <w:t xml:space="preserve">jaar 2021) en </w:t>
      </w:r>
      <w:r w:rsidR="00BD14C9">
        <w:rPr>
          <w:rFonts w:ascii="Calibri" w:hAnsi="Calibri"/>
        </w:rPr>
        <w:fldChar w:fldCharType="begin"/>
      </w:r>
      <w:r w:rsidR="00BD14C9">
        <w:rPr>
          <w:rFonts w:ascii="Calibri" w:hAnsi="Calibri"/>
        </w:rPr>
        <w:instrText xml:space="preserve"> REF _Ref39576928 \r \h </w:instrText>
      </w:r>
      <w:r w:rsidR="00BD14C9">
        <w:rPr>
          <w:rFonts w:ascii="Calibri" w:hAnsi="Calibri"/>
        </w:rPr>
      </w:r>
      <w:r w:rsidR="00BD14C9">
        <w:rPr>
          <w:rFonts w:ascii="Calibri" w:hAnsi="Calibri"/>
        </w:rPr>
        <w:fldChar w:fldCharType="separate"/>
      </w:r>
      <w:r w:rsidR="00964FA9">
        <w:rPr>
          <w:rFonts w:ascii="Calibri" w:hAnsi="Calibri"/>
        </w:rPr>
        <w:t>1.2.1</w:t>
      </w:r>
      <w:r w:rsidR="00BD14C9">
        <w:rPr>
          <w:rFonts w:ascii="Calibri" w:hAnsi="Calibri"/>
        </w:rPr>
        <w:fldChar w:fldCharType="end"/>
      </w:r>
      <w:r w:rsidR="00BD14C9">
        <w:rPr>
          <w:rFonts w:ascii="Calibri" w:hAnsi="Calibri"/>
        </w:rPr>
        <w:t xml:space="preserve"> (voor de </w:t>
      </w:r>
      <w:r w:rsidR="00487D23">
        <w:rPr>
          <w:rFonts w:ascii="Calibri" w:hAnsi="Calibri"/>
        </w:rPr>
        <w:t>boek</w:t>
      </w:r>
      <w:r w:rsidR="00BD14C9">
        <w:rPr>
          <w:rFonts w:ascii="Calibri" w:hAnsi="Calibri"/>
        </w:rPr>
        <w:t>jaren 2022, 2023 en 2024)</w:t>
      </w:r>
      <w:r w:rsidRPr="0043072E">
        <w:rPr>
          <w:rFonts w:ascii="Calibri" w:hAnsi="Calibri"/>
        </w:rPr>
        <w:t xml:space="preserve">), eventueel vergezeld van een afzonderlijk verklarende nota van de distributienetbeheerder. </w:t>
      </w:r>
    </w:p>
    <w:p w14:paraId="105B566C" w14:textId="5A1AE7CE" w:rsidR="000D47E5" w:rsidRPr="0043072E" w:rsidRDefault="000D47E5" w:rsidP="008F2916">
      <w:pPr>
        <w:rPr>
          <w:rFonts w:ascii="Calibri" w:hAnsi="Calibri"/>
        </w:rPr>
      </w:pPr>
      <w:r w:rsidRPr="0043072E">
        <w:rPr>
          <w:rFonts w:ascii="Calibri" w:hAnsi="Calibri"/>
        </w:rPr>
        <w:t xml:space="preserve">Het rapporteringsmodel inzake endogene kosten bestaat uit een invulinstructie en de verschillende tabellen die hierboven in meer detail besproken worden (cfr paragraaf </w:t>
      </w:r>
      <w:r w:rsidRPr="0043072E">
        <w:rPr>
          <w:rFonts w:ascii="Calibri" w:hAnsi="Calibri"/>
        </w:rPr>
        <w:fldChar w:fldCharType="begin"/>
      </w:r>
      <w:r w:rsidRPr="0043072E">
        <w:rPr>
          <w:rFonts w:ascii="Calibri" w:hAnsi="Calibri"/>
        </w:rPr>
        <w:instrText xml:space="preserve"> REF _Ref389575274 \r \h  \* MERGEFORMAT </w:instrText>
      </w:r>
      <w:r w:rsidRPr="0043072E">
        <w:rPr>
          <w:rFonts w:ascii="Calibri" w:hAnsi="Calibri"/>
        </w:rPr>
      </w:r>
      <w:r w:rsidRPr="0043072E">
        <w:rPr>
          <w:rFonts w:ascii="Calibri" w:hAnsi="Calibri"/>
        </w:rPr>
        <w:fldChar w:fldCharType="separate"/>
      </w:r>
      <w:r w:rsidR="00964FA9">
        <w:rPr>
          <w:rFonts w:ascii="Calibri" w:hAnsi="Calibri"/>
        </w:rPr>
        <w:t>1.3.1</w:t>
      </w:r>
      <w:r w:rsidRPr="0043072E">
        <w:rPr>
          <w:rFonts w:ascii="Calibri" w:hAnsi="Calibri"/>
        </w:rPr>
        <w:fldChar w:fldCharType="end"/>
      </w:r>
      <w:r w:rsidRPr="0043072E">
        <w:rPr>
          <w:rFonts w:ascii="Calibri" w:hAnsi="Calibri"/>
        </w:rPr>
        <w:t>), eventueel vergezeld van een afzonderlijk verklarende nota van de distributienetbeheerder. Verder dient ook de informatie zoals gevraagd in bijlage 6 van de tariefmethodologie aan dit rapporteringsmodel worden toegevoegd.</w:t>
      </w:r>
    </w:p>
    <w:p w14:paraId="18A4735D" w14:textId="30B4623C" w:rsidR="000D47E5" w:rsidRPr="0043072E" w:rsidRDefault="000D47E5" w:rsidP="008F2916">
      <w:pPr>
        <w:rPr>
          <w:rFonts w:ascii="Calibri" w:hAnsi="Calibri"/>
        </w:rPr>
      </w:pPr>
      <w:r w:rsidRPr="0043072E">
        <w:rPr>
          <w:rFonts w:ascii="Calibri" w:hAnsi="Calibri"/>
        </w:rPr>
        <w:lastRenderedPageBreak/>
        <w:t xml:space="preserve">Het rapport van feitelijke bevindingen van de commissaris heeft dus betrekking op de in deze rapporteringsmodellen opgenomen gegevens, alsook de afzonderlijk verklarende nota’s van de distributienetbeheerder en de opgeleverde informatie zoals gevraagd in bijlage 6 van de tariefmethodologie. Deze informatie dient dan ook bij het </w:t>
      </w:r>
      <w:r w:rsidR="00901494">
        <w:rPr>
          <w:rFonts w:ascii="Calibri" w:hAnsi="Calibri"/>
        </w:rPr>
        <w:t>opgeleverde</w:t>
      </w:r>
      <w:r w:rsidRPr="0043072E">
        <w:rPr>
          <w:rFonts w:ascii="Calibri" w:hAnsi="Calibri"/>
        </w:rPr>
        <w:t xml:space="preserve"> rapport van feitelijke bevindingen te worden gevoegd. We verwijzen naar paragraaf </w:t>
      </w:r>
      <w:r w:rsidR="004B1A78">
        <w:rPr>
          <w:rFonts w:ascii="Calibri" w:hAnsi="Calibri"/>
        </w:rPr>
        <w:t>15</w:t>
      </w:r>
      <w:r w:rsidRPr="0043072E">
        <w:rPr>
          <w:rFonts w:ascii="Calibri" w:hAnsi="Calibri"/>
        </w:rPr>
        <w:t xml:space="preserve"> in de hoofdtekst van de tariefmethodologie voor </w:t>
      </w:r>
      <w:r w:rsidR="00034B4E">
        <w:rPr>
          <w:rFonts w:ascii="Calibri" w:hAnsi="Calibri"/>
        </w:rPr>
        <w:t>de jaarlijkse</w:t>
      </w:r>
      <w:r w:rsidRPr="0043072E">
        <w:rPr>
          <w:rFonts w:ascii="Calibri" w:hAnsi="Calibri"/>
        </w:rPr>
        <w:t xml:space="preserve"> timing met betrekking tot de indiening van het rapport van feitelijke bevindingen door de commissaris.</w:t>
      </w:r>
    </w:p>
    <w:p w14:paraId="77EA878E" w14:textId="77777777" w:rsidR="000D47E5" w:rsidRPr="008F2916" w:rsidRDefault="000D47E5" w:rsidP="008F2916">
      <w:pPr>
        <w:pStyle w:val="Kop2"/>
      </w:pPr>
      <w:bookmarkStart w:id="257" w:name="_Toc420934517"/>
      <w:bookmarkStart w:id="258" w:name="_Toc450038591"/>
      <w:bookmarkStart w:id="259" w:name="_Toc81512539"/>
      <w:r w:rsidRPr="008F2916">
        <w:t>Doelstelling controle</w:t>
      </w:r>
      <w:bookmarkEnd w:id="257"/>
      <w:bookmarkEnd w:id="258"/>
      <w:bookmarkEnd w:id="259"/>
    </w:p>
    <w:p w14:paraId="11DE2DCF" w14:textId="0D0F16EF" w:rsidR="000D47E5" w:rsidRPr="0043072E" w:rsidRDefault="000D47E5" w:rsidP="008F2916">
      <w:pPr>
        <w:rPr>
          <w:rFonts w:ascii="Calibri" w:hAnsi="Calibri"/>
        </w:rPr>
      </w:pPr>
      <w:r w:rsidRPr="0043072E">
        <w:rPr>
          <w:rFonts w:ascii="Calibri" w:hAnsi="Calibri"/>
        </w:rPr>
        <w:t xml:space="preserve">De hierboven beschreven rapporteringsmodellen werden door de VREG opgesteld teneinde een door de VREG toegelaten inkomen voor iedere distributienetbeheerder uit zijn periodieke distributienettarieven te berekenen. Om de uniformiteit van de financiële gegevens van iedere distributienetbeheerder te </w:t>
      </w:r>
      <w:r w:rsidR="00DE76BE">
        <w:rPr>
          <w:rFonts w:ascii="Calibri" w:hAnsi="Calibri"/>
        </w:rPr>
        <w:t>garanderen</w:t>
      </w:r>
      <w:r w:rsidRPr="0043072E">
        <w:rPr>
          <w:rFonts w:ascii="Calibri" w:hAnsi="Calibri"/>
        </w:rPr>
        <w:t xml:space="preserve">, is het van belang dat de rapporteringsmodellen worden opgesteld in conformiteit met dezelfde financiële standaarden, met name de </w:t>
      </w:r>
      <w:r w:rsidR="00D43341">
        <w:rPr>
          <w:rFonts w:ascii="Calibri" w:hAnsi="Calibri"/>
        </w:rPr>
        <w:t>regulatoire</w:t>
      </w:r>
      <w:r w:rsidRPr="0043072E">
        <w:rPr>
          <w:rFonts w:ascii="Calibri" w:hAnsi="Calibri"/>
        </w:rPr>
        <w:t xml:space="preserve"> boekhoudkundige voorschriften zoals beschreven in paragraaf </w:t>
      </w:r>
      <w:r w:rsidR="00097534">
        <w:rPr>
          <w:rFonts w:ascii="Calibri" w:hAnsi="Calibri"/>
        </w:rPr>
        <w:t>13</w:t>
      </w:r>
      <w:r w:rsidRPr="0043072E">
        <w:rPr>
          <w:rFonts w:ascii="Calibri" w:hAnsi="Calibri"/>
        </w:rPr>
        <w:t xml:space="preserve"> in de hoofdtekst van de tariefmethodologie. De </w:t>
      </w:r>
      <w:r w:rsidR="009075F4" w:rsidRPr="0043072E">
        <w:rPr>
          <w:rFonts w:ascii="Calibri" w:hAnsi="Calibri"/>
        </w:rPr>
        <w:t>commissaris dient</w:t>
      </w:r>
      <w:r w:rsidRPr="0043072E">
        <w:rPr>
          <w:rFonts w:ascii="Calibri" w:hAnsi="Calibri"/>
        </w:rPr>
        <w:t xml:space="preserve"> na te gaan of de r</w:t>
      </w:r>
      <w:r w:rsidR="00097534">
        <w:rPr>
          <w:rFonts w:ascii="Calibri" w:hAnsi="Calibri"/>
        </w:rPr>
        <w:t>egulatoire</w:t>
      </w:r>
      <w:r w:rsidRPr="0043072E">
        <w:rPr>
          <w:rFonts w:ascii="Calibri" w:hAnsi="Calibri"/>
        </w:rPr>
        <w:t xml:space="preserve"> boekhoudkundige voorschriften werden toegepast. </w:t>
      </w:r>
    </w:p>
    <w:p w14:paraId="17483F70" w14:textId="75A1FE82" w:rsidR="000D47E5" w:rsidRPr="0043072E" w:rsidRDefault="000D47E5" w:rsidP="008F2916">
      <w:pPr>
        <w:rPr>
          <w:rFonts w:ascii="Calibri" w:hAnsi="Calibri"/>
        </w:rPr>
      </w:pPr>
      <w:r w:rsidRPr="0043072E">
        <w:rPr>
          <w:rFonts w:ascii="Calibri" w:hAnsi="Calibri"/>
        </w:rPr>
        <w:t xml:space="preserve">In zijn rapport van feitelijke bevindingen brengt de commissaris geen enkele mate van zekerheid tot uitdrukking. </w:t>
      </w:r>
      <w:r w:rsidR="00C72900">
        <w:rPr>
          <w:rFonts w:ascii="Calibri" w:hAnsi="Calibri"/>
        </w:rPr>
        <w:t>Om die reden is</w:t>
      </w:r>
      <w:r w:rsidRPr="0043072E">
        <w:rPr>
          <w:rFonts w:ascii="Calibri" w:hAnsi="Calibri"/>
        </w:rPr>
        <w:t xml:space="preserve"> het rapport enkel bestemd voor de partijen met wie de specifieke werkzaamheden zijn overeengekomen </w:t>
      </w:r>
      <w:r w:rsidR="00C72900">
        <w:rPr>
          <w:rFonts w:ascii="Calibri" w:hAnsi="Calibri"/>
        </w:rPr>
        <w:t>aangezien</w:t>
      </w:r>
      <w:r w:rsidRPr="0043072E">
        <w:rPr>
          <w:rFonts w:ascii="Calibri" w:hAnsi="Calibri"/>
        </w:rPr>
        <w:t xml:space="preserve"> deze partijen hun eigen conclusies moeten trekken uit de door de commissaris verrichte werkzaamheden </w:t>
      </w:r>
      <w:r w:rsidR="004214E1">
        <w:rPr>
          <w:rFonts w:ascii="Calibri" w:hAnsi="Calibri"/>
        </w:rPr>
        <w:t>en haar bevindingen</w:t>
      </w:r>
      <w:r w:rsidRPr="0043072E">
        <w:rPr>
          <w:rFonts w:ascii="Calibri" w:hAnsi="Calibri"/>
        </w:rPr>
        <w:t>.</w:t>
      </w:r>
    </w:p>
    <w:p w14:paraId="49B6738B" w14:textId="77777777" w:rsidR="000D47E5" w:rsidRPr="008F2916" w:rsidRDefault="000D47E5" w:rsidP="008F2916">
      <w:pPr>
        <w:pStyle w:val="Kop2"/>
      </w:pPr>
      <w:bookmarkStart w:id="260" w:name="_Toc450038592"/>
      <w:bookmarkStart w:id="261" w:name="_Toc81512540"/>
      <w:r w:rsidRPr="008F2916">
        <w:t>Verslaggeving</w:t>
      </w:r>
      <w:bookmarkEnd w:id="260"/>
      <w:bookmarkEnd w:id="261"/>
    </w:p>
    <w:p w14:paraId="2D75175B" w14:textId="3A1B36EE" w:rsidR="00077CDA" w:rsidRPr="0043072E" w:rsidRDefault="000D47E5" w:rsidP="008F2916">
      <w:pPr>
        <w:rPr>
          <w:rFonts w:ascii="Calibri" w:hAnsi="Calibri"/>
        </w:rPr>
      </w:pPr>
      <w:r w:rsidRPr="0043072E">
        <w:rPr>
          <w:rFonts w:ascii="Calibri" w:hAnsi="Calibri"/>
        </w:rPr>
        <w:t xml:space="preserve">Het rapport van een opdracht tot het verrichten van overeengekomen specifieke werkzaamheden dient voldoende gedetailleerd een beschrijving van het doel en van de overeengekomen specifieke werkzaamheden van de opdracht te geven om de lezer in staat te stellen de aard en omvang van het uitgevoerde werk te begrijpen. </w:t>
      </w:r>
      <w:r w:rsidR="004E7B23">
        <w:rPr>
          <w:rFonts w:ascii="Calibri" w:hAnsi="Calibri"/>
        </w:rPr>
        <w:t xml:space="preserve">Ook </w:t>
      </w:r>
      <w:r w:rsidR="00AE13B4">
        <w:rPr>
          <w:rFonts w:ascii="Calibri" w:hAnsi="Calibri"/>
        </w:rPr>
        <w:t xml:space="preserve">dient het verslag </w:t>
      </w:r>
      <w:r w:rsidR="00CA791E">
        <w:rPr>
          <w:rFonts w:ascii="Calibri" w:hAnsi="Calibri"/>
        </w:rPr>
        <w:t xml:space="preserve">voldoende gedetailleerd een beschrijving van de </w:t>
      </w:r>
      <w:r w:rsidR="002D1D15">
        <w:rPr>
          <w:rFonts w:ascii="Calibri" w:hAnsi="Calibri"/>
        </w:rPr>
        <w:t>feitelijke</w:t>
      </w:r>
      <w:r w:rsidR="00CA791E">
        <w:rPr>
          <w:rFonts w:ascii="Calibri" w:hAnsi="Calibri"/>
        </w:rPr>
        <w:t xml:space="preserve"> bevindingen bij de uitvoering van de overeengekomen specifieke werkzaamheden te bevatten</w:t>
      </w:r>
      <w:r w:rsidR="00EE15EE">
        <w:rPr>
          <w:rFonts w:ascii="Calibri" w:hAnsi="Calibri"/>
        </w:rPr>
        <w:t>, met inbegrip van een voldoende gedetailleerde beschrijving van de gevonden fouten en uitzonderingen</w:t>
      </w:r>
      <w:r w:rsidR="00CA791E">
        <w:rPr>
          <w:rFonts w:ascii="Calibri" w:hAnsi="Calibri"/>
        </w:rPr>
        <w:t xml:space="preserve">. </w:t>
      </w:r>
    </w:p>
    <w:p w14:paraId="29C91EA6" w14:textId="77777777" w:rsidR="000D47E5" w:rsidRPr="0043072E" w:rsidRDefault="000D47E5" w:rsidP="000D47E5">
      <w:pPr>
        <w:rPr>
          <w:rFonts w:ascii="Calibri" w:hAnsi="Calibri"/>
        </w:rPr>
      </w:pPr>
    </w:p>
    <w:p w14:paraId="52F62BD4" w14:textId="1EB92733" w:rsidR="00CA5F6E" w:rsidRPr="001D7DD1" w:rsidRDefault="00CA5F6E" w:rsidP="00CA5F6E">
      <w:pPr>
        <w:pStyle w:val="Geenafstand"/>
      </w:pPr>
    </w:p>
    <w:sectPr w:rsidR="00CA5F6E" w:rsidRPr="001D7DD1" w:rsidSect="00CF7FF3">
      <w:headerReference w:type="default" r:id="rId28"/>
      <w:footerReference w:type="default" r:id="rId29"/>
      <w:footerReference w:type="first" r:id="rId30"/>
      <w:pgSz w:w="11906" w:h="16838" w:code="9"/>
      <w:pgMar w:top="1418" w:right="1418" w:bottom="1418" w:left="1701"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498F8" w14:textId="77777777" w:rsidR="0026383F" w:rsidRDefault="0026383F" w:rsidP="005117FD">
      <w:r>
        <w:separator/>
      </w:r>
    </w:p>
  </w:endnote>
  <w:endnote w:type="continuationSeparator" w:id="0">
    <w:p w14:paraId="09136ED7" w14:textId="77777777" w:rsidR="0026383F" w:rsidRDefault="0026383F" w:rsidP="005117FD">
      <w:r>
        <w:continuationSeparator/>
      </w:r>
    </w:p>
  </w:endnote>
  <w:endnote w:type="continuationNotice" w:id="1">
    <w:p w14:paraId="30F3159C" w14:textId="77777777" w:rsidR="0026383F" w:rsidRDefault="0026383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4D"/>
    <w:family w:val="auto"/>
    <w:notTrueType/>
    <w:pitch w:val="default"/>
    <w:sig w:usb0="00000003" w:usb1="00000000" w:usb2="00000000" w:usb3="00000000" w:csb0="00000001" w:csb1="00000000"/>
  </w:font>
  <w:font w:name="Calibri-Italic">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6BC57" w14:textId="77777777" w:rsidR="0026383F" w:rsidRDefault="0026383F" w:rsidP="00964FA9">
    <w:pPr>
      <w:pStyle w:val="Voettekst"/>
    </w:pPr>
    <w:r>
      <w:fldChar w:fldCharType="begin"/>
    </w:r>
    <w:r>
      <w:instrText xml:space="preserve"> REF  referentie  \* MERGEFORMAT </w:instrText>
    </w:r>
    <w:r>
      <w:fldChar w:fldCharType="separate"/>
    </w:r>
  </w:p>
  <w:p w14:paraId="11B2F2BF" w14:textId="436788DF" w:rsidR="0026383F" w:rsidRPr="00686F58" w:rsidRDefault="007B5E9B" w:rsidP="00686F58">
    <w:pPr>
      <w:pStyle w:val="Voettekst"/>
    </w:pPr>
    <w:sdt>
      <w:sdtPr>
        <w:id w:val="-190456251"/>
        <w:showingPlcHdr/>
        <w:text/>
      </w:sdtPr>
      <w:sdtEndPr/>
      <w:sdtContent>
        <w:r w:rsidR="0026383F">
          <w:t xml:space="preserve">     </w:t>
        </w:r>
      </w:sdtContent>
    </w:sdt>
    <w:r w:rsidR="0026383F">
      <w:fldChar w:fldCharType="end"/>
    </w:r>
    <w:r w:rsidR="0026383F" w:rsidRPr="00CF7FF3">
      <w:tab/>
    </w:r>
    <w:r>
      <w:fldChar w:fldCharType="begin"/>
    </w:r>
    <w:r>
      <w:instrText xml:space="preserve"> REF  datum  \* MERGEFORMAT </w:instrText>
    </w:r>
    <w:r>
      <w:fldChar w:fldCharType="separate"/>
    </w:r>
    <w:sdt>
      <w:sdtPr>
        <w:id w:val="1779062106"/>
        <w:placeholder>
          <w:docPart w:val="0AA9EE695BEA412F8D8F18F07E5B616D"/>
        </w:placeholder>
        <w:date w:fullDate="2021-06-25T00:00:00Z">
          <w:dateFormat w:val="d/MM/yyyy"/>
          <w:lid w:val="nl-BE"/>
          <w:storeMappedDataAs w:val="dateTime"/>
          <w:calendar w:val="gregorian"/>
        </w:date>
      </w:sdtPr>
      <w:sdtEndPr/>
      <w:sdtContent>
        <w:r w:rsidR="0026383F">
          <w:t>25/06/2021</w:t>
        </w:r>
      </w:sdtContent>
    </w:sdt>
    <w:r>
      <w:fldChar w:fldCharType="end"/>
    </w:r>
    <w:r w:rsidR="0026383F" w:rsidRPr="00CF7FF3">
      <w:tab/>
    </w:r>
    <w:r w:rsidR="0026383F" w:rsidRPr="00CF7FF3">
      <w:fldChar w:fldCharType="begin"/>
    </w:r>
    <w:r w:rsidR="0026383F" w:rsidRPr="00CF7FF3">
      <w:instrText xml:space="preserve"> PAGE   \* MERGEFORMAT </w:instrText>
    </w:r>
    <w:r w:rsidR="0026383F" w:rsidRPr="00CF7FF3">
      <w:fldChar w:fldCharType="separate"/>
    </w:r>
    <w:r w:rsidR="0026383F">
      <w:rPr>
        <w:noProof/>
      </w:rPr>
      <w:t>2</w:t>
    </w:r>
    <w:r w:rsidR="0026383F" w:rsidRPr="00CF7FF3">
      <w:fldChar w:fldCharType="end"/>
    </w:r>
    <w:r w:rsidR="0026383F" w:rsidRPr="00CF7FF3">
      <w:t>/</w:t>
    </w:r>
    <w:r w:rsidR="0026383F">
      <w:rPr>
        <w:noProof/>
      </w:rPr>
      <w:fldChar w:fldCharType="begin"/>
    </w:r>
    <w:r w:rsidR="0026383F">
      <w:rPr>
        <w:noProof/>
      </w:rPr>
      <w:instrText xml:space="preserve"> NUMPAGES   \* MERGEFORMAT </w:instrText>
    </w:r>
    <w:r w:rsidR="0026383F">
      <w:rPr>
        <w:noProof/>
      </w:rPr>
      <w:fldChar w:fldCharType="separate"/>
    </w:r>
    <w:r w:rsidR="0026383F">
      <w:rPr>
        <w:noProof/>
      </w:rPr>
      <w:t>59</w:t>
    </w:r>
    <w:r w:rsidR="0026383F">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95FC4" w14:textId="77777777" w:rsidR="0026383F" w:rsidRDefault="0026383F" w:rsidP="00686F58">
    <w:pPr>
      <w:pStyle w:val="Voettekst"/>
    </w:pPr>
    <w:r>
      <w:rPr>
        <w:noProof/>
        <w:lang w:eastAsia="nl-BE"/>
      </w:rPr>
      <w:drawing>
        <wp:anchor distT="0" distB="0" distL="0" distR="0" simplePos="0" relativeHeight="251658240" behindDoc="1" locked="0" layoutInCell="1" allowOverlap="1" wp14:anchorId="0B082B81" wp14:editId="53799FC5">
          <wp:simplePos x="0" y="0"/>
          <wp:positionH relativeFrom="page">
            <wp:posOffset>5207799</wp:posOffset>
          </wp:positionH>
          <wp:positionV relativeFrom="page">
            <wp:posOffset>9362364</wp:posOffset>
          </wp:positionV>
          <wp:extent cx="1444843" cy="900000"/>
          <wp:effectExtent l="0" t="0" r="3175" b="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REG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4843" cy="90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9C317" w14:textId="77777777" w:rsidR="0026383F" w:rsidRPr="00B146A6" w:rsidRDefault="0026383F" w:rsidP="007C5168">
      <w:pPr>
        <w:pStyle w:val="voetnootscheidingsteken"/>
        <w:spacing w:before="0"/>
      </w:pPr>
      <w:r w:rsidRPr="00B146A6">
        <w:t>―</w:t>
      </w:r>
    </w:p>
  </w:footnote>
  <w:footnote w:type="continuationSeparator" w:id="0">
    <w:p w14:paraId="01A83998" w14:textId="77777777" w:rsidR="0026383F" w:rsidRPr="00B146A6" w:rsidRDefault="0026383F" w:rsidP="007C5168">
      <w:pPr>
        <w:pStyle w:val="voetnootscheidingsteken"/>
        <w:spacing w:before="0"/>
      </w:pPr>
      <w:r w:rsidRPr="00B146A6">
        <w:t>―</w:t>
      </w:r>
    </w:p>
  </w:footnote>
  <w:footnote w:type="continuationNotice" w:id="1">
    <w:p w14:paraId="3ECF8E2D" w14:textId="77777777" w:rsidR="0026383F" w:rsidRDefault="0026383F" w:rsidP="007C5168">
      <w:pPr>
        <w:pStyle w:val="Geenafstand"/>
      </w:pPr>
    </w:p>
  </w:footnote>
  <w:footnote w:id="2">
    <w:p w14:paraId="3C05643A" w14:textId="40213D22" w:rsidR="0026383F" w:rsidRPr="00184D37" w:rsidRDefault="0026383F" w:rsidP="000D47E5">
      <w:pPr>
        <w:pStyle w:val="Voetnoottekst"/>
      </w:pPr>
      <w:r>
        <w:rPr>
          <w:rStyle w:val="Voetnootmarkering"/>
        </w:rPr>
        <w:footnoteRef/>
      </w:r>
      <w:r>
        <w:t xml:space="preserve"> Voor gewestgrensoverschrijdende distributienetbeheerders, voor zover van toepassing, het gedeelte van zijn jaarrekening m.b.t. zijn activiteiten in het Vlaams Gewest, dewelke dus niet noodzakelijk aansluit met de gepubliceerde jaarrekening.</w:t>
      </w:r>
    </w:p>
  </w:footnote>
  <w:footnote w:id="3">
    <w:p w14:paraId="6EFD929F" w14:textId="7C1A3903" w:rsidR="0026383F" w:rsidRDefault="0026383F">
      <w:pPr>
        <w:pStyle w:val="Voetnoottekst"/>
      </w:pPr>
      <w:r>
        <w:rPr>
          <w:rStyle w:val="Voetnootmarkering"/>
        </w:rPr>
        <w:footnoteRef/>
      </w:r>
      <w:r>
        <w:t xml:space="preserve"> M.a.w. opkoop van steuncertificaten vanuit de Vlaamse Overheid met middelen uit de Vlaamse begroting.</w:t>
      </w:r>
    </w:p>
  </w:footnote>
  <w:footnote w:id="4">
    <w:p w14:paraId="20B80EDB" w14:textId="45C5BA5F" w:rsidR="0020429F" w:rsidRDefault="0020429F">
      <w:pPr>
        <w:pStyle w:val="Voetnoottekst"/>
      </w:pPr>
      <w:r w:rsidRPr="00886EA4">
        <w:rPr>
          <w:rStyle w:val="Voetnootmarkering"/>
          <w:color w:val="009999" w:themeColor="accent5"/>
        </w:rPr>
        <w:footnoteRef/>
      </w:r>
      <w:r w:rsidRPr="00886EA4">
        <w:rPr>
          <w:color w:val="009999" w:themeColor="accent5"/>
        </w:rPr>
        <w:t xml:space="preserve"> </w:t>
      </w:r>
      <w:r w:rsidR="007B5E9B">
        <w:rPr>
          <w:color w:val="009999" w:themeColor="accent5"/>
        </w:rPr>
        <w:t>[</w:t>
      </w:r>
      <w:r w:rsidRPr="00886EA4">
        <w:rPr>
          <w:color w:val="009999" w:themeColor="accent5"/>
        </w:rPr>
        <w:t>Toegevoegd bij beslissing van de VREG van xx oktober 2021.</w:t>
      </w:r>
      <w:r w:rsidR="007B5E9B">
        <w:rPr>
          <w:color w:val="009999" w:themeColor="accent5"/>
        </w:rPr>
        <w:t>]</w:t>
      </w:r>
      <w:r w:rsidRPr="00886EA4">
        <w:rPr>
          <w:color w:val="009999" w:themeColor="accent5"/>
        </w:rPr>
        <w:t xml:space="preserve"> </w:t>
      </w:r>
    </w:p>
  </w:footnote>
  <w:footnote w:id="5">
    <w:p w14:paraId="48E1E38B" w14:textId="77777777" w:rsidR="0026383F" w:rsidRDefault="0026383F" w:rsidP="0094196F">
      <w:pPr>
        <w:pStyle w:val="Voetnoottekst"/>
      </w:pPr>
      <w:r>
        <w:rPr>
          <w:rStyle w:val="Voetnootmarkering"/>
        </w:rPr>
        <w:footnoteRef/>
      </w:r>
      <w:r>
        <w:t xml:space="preserve"> In de vorige tariefmethodologieën werd het volumerisico voor het meet- en teltarief (dat vanaf 2021 wordt hervormd naar een tarief inzake databeheer) niet gedekt.</w:t>
      </w:r>
    </w:p>
  </w:footnote>
  <w:footnote w:id="6">
    <w:p w14:paraId="5EAB90CD" w14:textId="60A883CE" w:rsidR="0026383F" w:rsidRDefault="0026383F">
      <w:pPr>
        <w:pStyle w:val="Voetnoottekst"/>
      </w:pPr>
      <w:r>
        <w:rPr>
          <w:rStyle w:val="Voetnootmarkering"/>
        </w:rPr>
        <w:footnoteRef/>
      </w:r>
      <w:r>
        <w:t xml:space="preserve"> Merk op dat conform de formule 24 in de hoofdtekst van de tariefmethodologie voor de berekening van het regulatoir saldo inzake herindexering budget endogene kosten voor het boekjaar 2021 geen q-waarde wordt beschouwd.</w:t>
      </w:r>
    </w:p>
  </w:footnote>
  <w:footnote w:id="7">
    <w:p w14:paraId="45943D30" w14:textId="7C5D9F44" w:rsidR="00E42DD3" w:rsidRDefault="00E42DD3" w:rsidP="00E42DD3">
      <w:pPr>
        <w:pStyle w:val="Voetnoottekst"/>
      </w:pPr>
      <w:r w:rsidRPr="00886EA4">
        <w:rPr>
          <w:rStyle w:val="Voetnootmarkering"/>
          <w:color w:val="009999" w:themeColor="accent5"/>
        </w:rPr>
        <w:footnoteRef/>
      </w:r>
      <w:r w:rsidRPr="00886EA4">
        <w:rPr>
          <w:color w:val="009999" w:themeColor="accent5"/>
        </w:rPr>
        <w:t xml:space="preserve"> </w:t>
      </w:r>
      <w:r w:rsidR="007B5E9B">
        <w:rPr>
          <w:color w:val="009999" w:themeColor="accent5"/>
        </w:rPr>
        <w:t>[</w:t>
      </w:r>
      <w:r w:rsidRPr="00886EA4">
        <w:rPr>
          <w:color w:val="009999" w:themeColor="accent5"/>
        </w:rPr>
        <w:t>Toegevoegd bij beslissing van de VREG van xx oktober 2021</w:t>
      </w:r>
      <w:r w:rsidR="007B5E9B">
        <w:rPr>
          <w:color w:val="009999" w:themeColor="accent5"/>
        </w:rPr>
        <w:t>]</w:t>
      </w:r>
      <w:r w:rsidRPr="00886EA4">
        <w:rPr>
          <w:color w:val="009999" w:themeColor="accent5"/>
        </w:rPr>
        <w:t xml:space="preserve">. </w:t>
      </w:r>
    </w:p>
  </w:footnote>
  <w:footnote w:id="8">
    <w:p w14:paraId="29946B14" w14:textId="77777777" w:rsidR="0026383F" w:rsidRPr="00B4286A" w:rsidRDefault="0026383F" w:rsidP="007C3420">
      <w:pPr>
        <w:pStyle w:val="Voetnoottekst"/>
      </w:pPr>
      <w:r>
        <w:rPr>
          <w:rStyle w:val="Voetnootmarkering"/>
        </w:rPr>
        <w:footnoteRef/>
      </w:r>
      <w:r>
        <w:t xml:space="preserve"> In het verleden was er een jaarlijkse indexatie van de waarde van de gereguleerde vaste activa. Deze praktijk werd beëindigd en onder toezicht van de CREG werd nadien een éénmalige herwaarderingsmeerwaarde aan deze activa toegekend.</w:t>
      </w:r>
    </w:p>
  </w:footnote>
  <w:footnote w:id="9">
    <w:p w14:paraId="466C3628" w14:textId="77777777" w:rsidR="0026383F" w:rsidRPr="00B4286A" w:rsidRDefault="0026383F" w:rsidP="00712C96">
      <w:pPr>
        <w:pStyle w:val="Voetnoottekst"/>
      </w:pPr>
      <w:r>
        <w:rPr>
          <w:rStyle w:val="Voetnootmarkering"/>
        </w:rPr>
        <w:footnoteRef/>
      </w:r>
      <w:r>
        <w:t xml:space="preserve"> In het verleden was er een jaarlijkse indexatie van de waarde van de gereguleerde vaste activa. Deze praktijk werd beëindigd en onder toezicht van de CREG werd nadien een éénmalige herwaarderingsmeerwaarde aan deze activa toegekend.</w:t>
      </w:r>
    </w:p>
  </w:footnote>
  <w:footnote w:id="10">
    <w:p w14:paraId="391189AE" w14:textId="77777777" w:rsidR="0026383F" w:rsidRPr="00184D37" w:rsidRDefault="0026383F" w:rsidP="00EE5CD7">
      <w:pPr>
        <w:pStyle w:val="Voetnoottekst"/>
      </w:pPr>
      <w:r>
        <w:rPr>
          <w:rStyle w:val="Voetnootmarkering"/>
        </w:rPr>
        <w:footnoteRef/>
      </w:r>
      <w:r>
        <w:t xml:space="preserve"> Voor gewestgrensoverschrijdende distributienetbeheerders, voor zover van toepassing, het gedeelte van zijn jaarrekening m.b.t. zijn activiteiten in het Vlaams Gewest, dewelke dus niet noodzakelijk aansluit met de gepubliceerde jaarrekening.</w:t>
      </w:r>
    </w:p>
  </w:footnote>
  <w:footnote w:id="11">
    <w:p w14:paraId="5F44D05A" w14:textId="2B6B470B" w:rsidR="0026383F" w:rsidRDefault="0026383F">
      <w:pPr>
        <w:pStyle w:val="Voetnoottekst"/>
      </w:pPr>
      <w:r>
        <w:rPr>
          <w:rStyle w:val="Voetnootmarkering"/>
        </w:rPr>
        <w:footnoteRef/>
      </w:r>
      <w:r>
        <w:t xml:space="preserve"> Toegevoegd bij beslissing van de VREG van 25 juni 2021.</w:t>
      </w:r>
    </w:p>
  </w:footnote>
  <w:footnote w:id="12">
    <w:p w14:paraId="49881AB5" w14:textId="4AD795AA" w:rsidR="0026383F" w:rsidRDefault="0026383F" w:rsidP="002F7AA5">
      <w:pPr>
        <w:pStyle w:val="Voetnoottekst"/>
      </w:pPr>
      <w:r>
        <w:rPr>
          <w:rStyle w:val="Voetnootmarkering"/>
        </w:rPr>
        <w:footnoteRef/>
      </w:r>
      <w:r>
        <w:t xml:space="preserve"> Dit aangezien het aandeel exogene kosten voor deze tariefcomponent enkel transmissiekosten kan omvatten gezien de methodologische bepaling dat het regulatoir saldo voor deze tariefcomponent wordt verwerkt via het tarief netgebruik. Dit impliceert dat de exogene kosten louter op transmissie betrekking kunnen hebben, terwijl de endogene kosten dan louter distributiekosten betreffen. </w:t>
      </w:r>
    </w:p>
  </w:footnote>
  <w:footnote w:id="13">
    <w:p w14:paraId="54F2C782" w14:textId="77777777" w:rsidR="0026383F" w:rsidRDefault="0026383F" w:rsidP="0012689B">
      <w:pPr>
        <w:pStyle w:val="Voetnoottekst"/>
      </w:pPr>
      <w:r>
        <w:rPr>
          <w:rStyle w:val="Voetnootmarkering"/>
        </w:rPr>
        <w:footnoteRef/>
      </w:r>
      <w:r>
        <w:t xml:space="preserve"> M.a.w. opkoop van steuncertificaten vanuit de Vlaamse Overheid met middelen uit de Vlaamse begroting.</w:t>
      </w:r>
    </w:p>
  </w:footnote>
  <w:footnote w:id="14">
    <w:p w14:paraId="4E60222D" w14:textId="3D76CA32" w:rsidR="00BB056D" w:rsidRDefault="00BB056D" w:rsidP="00BB056D">
      <w:pPr>
        <w:pStyle w:val="Voetnoottekst"/>
      </w:pPr>
      <w:r w:rsidRPr="00886EA4">
        <w:rPr>
          <w:rStyle w:val="Voetnootmarkering"/>
          <w:color w:val="009999" w:themeColor="accent5"/>
        </w:rPr>
        <w:footnoteRef/>
      </w:r>
      <w:r w:rsidRPr="00886EA4">
        <w:rPr>
          <w:color w:val="009999" w:themeColor="accent5"/>
        </w:rPr>
        <w:t xml:space="preserve"> </w:t>
      </w:r>
      <w:r w:rsidR="007B5E9B">
        <w:rPr>
          <w:color w:val="009999" w:themeColor="accent5"/>
        </w:rPr>
        <w:t>[</w:t>
      </w:r>
      <w:r w:rsidRPr="00886EA4">
        <w:rPr>
          <w:color w:val="009999" w:themeColor="accent5"/>
        </w:rPr>
        <w:t>Toegevoegd bij beslissing van de VREG van xx oktober 2021.</w:t>
      </w:r>
      <w:r w:rsidR="007B5E9B">
        <w:rPr>
          <w:color w:val="009999" w:themeColor="accent5"/>
        </w:rPr>
        <w:t>]</w:t>
      </w:r>
      <w:r w:rsidRPr="00886EA4">
        <w:rPr>
          <w:color w:val="009999" w:themeColor="accent5"/>
        </w:rPr>
        <w:t xml:space="preserve"> </w:t>
      </w:r>
    </w:p>
  </w:footnote>
  <w:footnote w:id="15">
    <w:p w14:paraId="70DBA5D6" w14:textId="77777777" w:rsidR="0026383F" w:rsidRDefault="0026383F" w:rsidP="00EE5CD7">
      <w:pPr>
        <w:pStyle w:val="Voetnoottekst"/>
      </w:pPr>
      <w:r>
        <w:rPr>
          <w:rStyle w:val="Voetnootmarkering"/>
        </w:rPr>
        <w:footnoteRef/>
      </w:r>
      <w:r>
        <w:t xml:space="preserve"> In de vorige tariefmethodologieën werd het volumerisico voor het meet- en teltarief (dat vanaf 2021 wordt hervormd naar een tarief inzake databeheer) niet gedekt.</w:t>
      </w:r>
    </w:p>
  </w:footnote>
  <w:footnote w:id="16">
    <w:p w14:paraId="0D1EB20F" w14:textId="575BA328" w:rsidR="0026383F" w:rsidRDefault="0026383F" w:rsidP="003350BD">
      <w:pPr>
        <w:pStyle w:val="Voetnoottekst"/>
      </w:pPr>
      <w:r>
        <w:rPr>
          <w:rStyle w:val="Voetnootmarkering"/>
        </w:rPr>
        <w:footnoteRef/>
      </w:r>
      <w:r>
        <w:t xml:space="preserve"> Toegevoegd bij beslissing van de VREG van 25 juni 2021.</w:t>
      </w:r>
    </w:p>
  </w:footnote>
  <w:footnote w:id="17">
    <w:p w14:paraId="5E1AAD5F" w14:textId="1C4CD325" w:rsidR="0026383F" w:rsidRDefault="0026383F" w:rsidP="005E3D86">
      <w:pPr>
        <w:pStyle w:val="Voetnoottekst"/>
      </w:pPr>
      <w:r>
        <w:rPr>
          <w:rStyle w:val="Voetnootmarkering"/>
        </w:rPr>
        <w:footnoteRef/>
      </w:r>
      <w:r>
        <w:t xml:space="preserve"> Toegevoegd bij beslissing van de VREG van 25 juni 2021.</w:t>
      </w:r>
    </w:p>
  </w:footnote>
  <w:footnote w:id="18">
    <w:p w14:paraId="2170D8F0" w14:textId="076D0863" w:rsidR="0026383F" w:rsidRDefault="0026383F" w:rsidP="0002643C">
      <w:pPr>
        <w:pStyle w:val="Voetnoottekst"/>
      </w:pPr>
      <w:r>
        <w:rPr>
          <w:rStyle w:val="Voetnootmarkering"/>
        </w:rPr>
        <w:footnoteRef/>
      </w:r>
      <w:r>
        <w:t xml:space="preserve"> Toegevoegd bij beslissing van de VREG van 25 juni 2021.</w:t>
      </w:r>
    </w:p>
  </w:footnote>
  <w:footnote w:id="19">
    <w:p w14:paraId="0EEF8E4F" w14:textId="54769F0D" w:rsidR="0026383F" w:rsidRDefault="0026383F" w:rsidP="00774D6C">
      <w:pPr>
        <w:pStyle w:val="Voetnoottekst"/>
      </w:pPr>
      <w:r>
        <w:rPr>
          <w:rStyle w:val="Voetnootmarkering"/>
        </w:rPr>
        <w:footnoteRef/>
      </w:r>
      <w:r>
        <w:t xml:space="preserve"> Toegevoegd bij beslissing van de VREG van 25 juni 2021.</w:t>
      </w:r>
    </w:p>
  </w:footnote>
  <w:footnote w:id="20">
    <w:p w14:paraId="7C7FA47F" w14:textId="2983BFA3" w:rsidR="0026383F" w:rsidRDefault="0026383F" w:rsidP="003061A0">
      <w:pPr>
        <w:pStyle w:val="Voetnoottekst"/>
      </w:pPr>
      <w:r>
        <w:rPr>
          <w:rStyle w:val="Voetnootmarkering"/>
        </w:rPr>
        <w:footnoteRef/>
      </w:r>
      <w:r>
        <w:t xml:space="preserve"> Toegevoegd bij beslissing van de VREG van 25 juni 2021.</w:t>
      </w:r>
    </w:p>
  </w:footnote>
  <w:footnote w:id="21">
    <w:p w14:paraId="4E770FAA" w14:textId="77777777" w:rsidR="007B5E9B" w:rsidRDefault="007B5E9B" w:rsidP="007B5E9B">
      <w:pPr>
        <w:pStyle w:val="Voetnoottekst"/>
      </w:pPr>
      <w:r w:rsidRPr="00886EA4">
        <w:rPr>
          <w:rStyle w:val="Voetnootmarkering"/>
          <w:color w:val="009999" w:themeColor="accent5"/>
        </w:rPr>
        <w:footnoteRef/>
      </w:r>
      <w:r w:rsidRPr="00886EA4">
        <w:rPr>
          <w:color w:val="009999" w:themeColor="accent5"/>
        </w:rPr>
        <w:t xml:space="preserve"> </w:t>
      </w:r>
      <w:r>
        <w:rPr>
          <w:color w:val="009999" w:themeColor="accent5"/>
        </w:rPr>
        <w:t>[</w:t>
      </w:r>
      <w:r w:rsidRPr="00886EA4">
        <w:rPr>
          <w:color w:val="009999" w:themeColor="accent5"/>
        </w:rPr>
        <w:t>Toegevoegd bij beslissing van de VREG van xx oktober 2021</w:t>
      </w:r>
      <w:r>
        <w:rPr>
          <w:color w:val="009999" w:themeColor="accent5"/>
        </w:rPr>
        <w:t>]</w:t>
      </w:r>
      <w:r w:rsidRPr="00886EA4">
        <w:rPr>
          <w:color w:val="009999" w:themeColor="accent5"/>
        </w:rPr>
        <w:t xml:space="preserve">. </w:t>
      </w:r>
    </w:p>
  </w:footnote>
  <w:footnote w:id="22">
    <w:p w14:paraId="06A485FB" w14:textId="77777777" w:rsidR="0026383F" w:rsidRPr="00B4286A" w:rsidRDefault="0026383F" w:rsidP="00EE5CD7">
      <w:pPr>
        <w:pStyle w:val="Voetnoottekst"/>
      </w:pPr>
      <w:r>
        <w:rPr>
          <w:rStyle w:val="Voetnootmarkering"/>
        </w:rPr>
        <w:footnoteRef/>
      </w:r>
      <w:r>
        <w:t xml:space="preserve"> In het verleden was er een jaarlijkse indexatie van de waarde van de gereguleerde vaste activa. Deze praktijk werd beëindigd en onder toezicht van de CREG werd nadien een éénmalige herwaarderingsmeerwaarde aan deze activa toegekend.</w:t>
      </w:r>
    </w:p>
  </w:footnote>
  <w:footnote w:id="23">
    <w:p w14:paraId="70B4ACAC" w14:textId="77777777" w:rsidR="0026383F" w:rsidRPr="00B4286A" w:rsidRDefault="0026383F" w:rsidP="00EE5CD7">
      <w:pPr>
        <w:pStyle w:val="Voetnoottekst"/>
      </w:pPr>
      <w:r>
        <w:rPr>
          <w:rStyle w:val="Voetnootmarkering"/>
        </w:rPr>
        <w:footnoteRef/>
      </w:r>
      <w:r>
        <w:t xml:space="preserve"> In het verleden was er een jaarlijkse indexatie van de waarde van de gereguleerde vaste activa. Deze praktijk werd beëindigd en onder toezicht van de CREG werd nadien een éénmalige herwaarderingsmeerwaarde aan deze activa toegekend.</w:t>
      </w:r>
    </w:p>
  </w:footnote>
  <w:footnote w:id="24">
    <w:p w14:paraId="15CBC313" w14:textId="77777777" w:rsidR="0026383F" w:rsidRPr="00942C1C" w:rsidRDefault="0026383F" w:rsidP="000D47E5">
      <w:pPr>
        <w:pStyle w:val="Voetnoottekst"/>
      </w:pPr>
      <w:r>
        <w:rPr>
          <w:rStyle w:val="Voetnootmarkering"/>
        </w:rPr>
        <w:footnoteRef/>
      </w:r>
      <w:r>
        <w:t xml:space="preserve"> De ‘vlottende activa’ omvatten de voorraden en bestellingen in uitvoering (klasse 3), de vorderingen op ten hoogste één jaar (klasse 40/41), de geldbeleggingen (klasse 50/53) en liquide middelen (klasse 54/58) plus de overlopende rekeningen van het actief (klasse 490/1).</w:t>
      </w:r>
    </w:p>
  </w:footnote>
  <w:footnote w:id="25">
    <w:p w14:paraId="45076793" w14:textId="77777777" w:rsidR="0026383F" w:rsidRPr="00942C1C" w:rsidRDefault="0026383F" w:rsidP="000D47E5">
      <w:pPr>
        <w:pStyle w:val="Voetnoottekst"/>
      </w:pPr>
      <w:r>
        <w:rPr>
          <w:rStyle w:val="Voetnootmarkering"/>
        </w:rPr>
        <w:footnoteRef/>
      </w:r>
      <w:r>
        <w:t xml:space="preserve"> Het ‘vreemd vermogen op korte termijn’ omvat alle schulden op ten hoogste één jaar (klasse 42/48), dus inclusief de schulden op meer dan één jaar die binnen het jaar vervallen, plus de overlopende rekeningen van het passief (klasse 492/3).</w:t>
      </w:r>
    </w:p>
  </w:footnote>
  <w:footnote w:id="26">
    <w:p w14:paraId="28BA1288" w14:textId="5D35F127" w:rsidR="0026383F" w:rsidRDefault="0026383F">
      <w:pPr>
        <w:pStyle w:val="Voetnoottekst"/>
      </w:pPr>
      <w:r>
        <w:rPr>
          <w:rStyle w:val="Voetnootmarkering"/>
        </w:rPr>
        <w:footnoteRef/>
      </w:r>
      <w:r>
        <w:t xml:space="preserve"> Toegevoegd bij beslissing van de VREG van 25 juni 2021.</w:t>
      </w:r>
    </w:p>
  </w:footnote>
  <w:footnote w:id="27">
    <w:p w14:paraId="205A5E77" w14:textId="0C39D6FC" w:rsidR="0026383F" w:rsidRDefault="0026383F">
      <w:pPr>
        <w:pStyle w:val="Voetnoottekst"/>
      </w:pPr>
      <w:r>
        <w:rPr>
          <w:rStyle w:val="Voetnootmarkering"/>
        </w:rPr>
        <w:footnoteRef/>
      </w:r>
      <w:r>
        <w:t xml:space="preserve"> Gewijzigd bij beslissing van de VREG van 25 juni 2021.</w:t>
      </w:r>
    </w:p>
  </w:footnote>
  <w:footnote w:id="28">
    <w:p w14:paraId="6E34889E" w14:textId="6F0F88E3" w:rsidR="0026383F" w:rsidRDefault="0026383F" w:rsidP="00D9077E">
      <w:pPr>
        <w:pStyle w:val="Voetnoottekst"/>
      </w:pPr>
      <w:r>
        <w:rPr>
          <w:rStyle w:val="Voetnootmarkering"/>
        </w:rPr>
        <w:footnoteRef/>
      </w:r>
      <w:r>
        <w:t xml:space="preserve"> Gewijzigd bij beslissing van de VREG van 25 juni 2021.</w:t>
      </w:r>
    </w:p>
  </w:footnote>
  <w:footnote w:id="29">
    <w:p w14:paraId="661D78E0" w14:textId="14731BA7" w:rsidR="0026383F" w:rsidRDefault="0026383F" w:rsidP="00D9077E">
      <w:pPr>
        <w:pStyle w:val="Voetnoottekst"/>
      </w:pPr>
      <w:r>
        <w:rPr>
          <w:rStyle w:val="Voetnootmarkering"/>
        </w:rPr>
        <w:footnoteRef/>
      </w:r>
      <w:r>
        <w:t xml:space="preserve"> Gewijzigd bij beslissing van de VREG van 25 juni 2021.</w:t>
      </w:r>
    </w:p>
  </w:footnote>
  <w:footnote w:id="30">
    <w:p w14:paraId="04975DA8" w14:textId="40D4750D" w:rsidR="0026383F" w:rsidRDefault="0026383F" w:rsidP="00D9077E">
      <w:pPr>
        <w:pStyle w:val="Voetnoottekst"/>
      </w:pPr>
      <w:r>
        <w:rPr>
          <w:rStyle w:val="Voetnootmarkering"/>
        </w:rPr>
        <w:footnoteRef/>
      </w:r>
      <w:r>
        <w:t xml:space="preserve"> Gewijzigd bij beslissing van de VREG van 25 juni 2021.</w:t>
      </w:r>
    </w:p>
  </w:footnote>
  <w:footnote w:id="31">
    <w:p w14:paraId="16FACECB" w14:textId="2EC775CE" w:rsidR="0026383F" w:rsidRDefault="0026383F" w:rsidP="00D9077E">
      <w:pPr>
        <w:pStyle w:val="Voetnoottekst"/>
      </w:pPr>
      <w:r>
        <w:rPr>
          <w:rStyle w:val="Voetnootmarkering"/>
        </w:rPr>
        <w:footnoteRef/>
      </w:r>
      <w:r>
        <w:t xml:space="preserve"> Gewijzigd bij beslissing van de VREG van 25 juni 2021.</w:t>
      </w:r>
    </w:p>
  </w:footnote>
  <w:footnote w:id="32">
    <w:p w14:paraId="02BF02D1" w14:textId="3AA87DCF" w:rsidR="0026383F" w:rsidRDefault="0026383F" w:rsidP="00D9077E">
      <w:pPr>
        <w:pStyle w:val="Voetnoottekst"/>
      </w:pPr>
      <w:r>
        <w:rPr>
          <w:rStyle w:val="Voetnootmarkering"/>
        </w:rPr>
        <w:footnoteRef/>
      </w:r>
      <w:r>
        <w:t xml:space="preserve"> Gewijzigd bij beslissing van de VREG van 25 juni 2021.</w:t>
      </w:r>
    </w:p>
  </w:footnote>
  <w:footnote w:id="33">
    <w:p w14:paraId="52A0B5A3" w14:textId="335511AD" w:rsidR="0026383F" w:rsidRDefault="0026383F" w:rsidP="00D9077E">
      <w:pPr>
        <w:pStyle w:val="Voetnoottekst"/>
      </w:pPr>
      <w:r>
        <w:rPr>
          <w:rStyle w:val="Voetnootmarkering"/>
        </w:rPr>
        <w:footnoteRef/>
      </w:r>
      <w:r>
        <w:t xml:space="preserve"> Gewijzigd bij beslissing van de VREG van 25 juni 2021.</w:t>
      </w:r>
    </w:p>
  </w:footnote>
  <w:footnote w:id="34">
    <w:p w14:paraId="0E75EFA7" w14:textId="01F8CFA2" w:rsidR="0026383F" w:rsidRDefault="0026383F">
      <w:pPr>
        <w:pStyle w:val="Voetnoottekst"/>
      </w:pPr>
      <w:r>
        <w:rPr>
          <w:rStyle w:val="Voetnootmarkering"/>
        </w:rPr>
        <w:footnoteRef/>
      </w:r>
      <w:r>
        <w:t xml:space="preserve"> Gewijzigd bij beslissing van de VREG van 25 juni 2021.</w:t>
      </w:r>
    </w:p>
  </w:footnote>
  <w:footnote w:id="35">
    <w:p w14:paraId="6F0B94F9" w14:textId="2372B9F3" w:rsidR="0026383F" w:rsidRDefault="0026383F" w:rsidP="00D9077E">
      <w:pPr>
        <w:pStyle w:val="Voetnoottekst"/>
      </w:pPr>
      <w:r>
        <w:rPr>
          <w:rStyle w:val="Voetnootmarkering"/>
        </w:rPr>
        <w:footnoteRef/>
      </w:r>
      <w:r>
        <w:t xml:space="preserve"> Gewijzigd bij beslissing van de VREG van 25 juni 2021.</w:t>
      </w:r>
    </w:p>
  </w:footnote>
  <w:footnote w:id="36">
    <w:p w14:paraId="079BE0C7" w14:textId="77777777" w:rsidR="0026383F" w:rsidRDefault="0026383F" w:rsidP="001F238C">
      <w:pPr>
        <w:pStyle w:val="Voetnoottekst"/>
      </w:pPr>
      <w:r>
        <w:rPr>
          <w:rStyle w:val="Voetnootmarkering"/>
        </w:rPr>
        <w:footnoteRef/>
      </w:r>
      <w:r>
        <w:t xml:space="preserve"> Het budget van de distributienetbeheerder voor de exogene kosten moet volgens de tariefmethodologie gelijk zijn aan zijn door de VREG toegelaten inkomen voor exogene kosten, op afrondingsfouten na.</w:t>
      </w:r>
    </w:p>
  </w:footnote>
  <w:footnote w:id="37">
    <w:p w14:paraId="465CC329" w14:textId="5841C1E4" w:rsidR="0026383F" w:rsidRDefault="0026383F">
      <w:pPr>
        <w:pStyle w:val="Voetnoottekst"/>
      </w:pPr>
      <w:r>
        <w:rPr>
          <w:rStyle w:val="Voetnootmarkering"/>
        </w:rPr>
        <w:footnoteRef/>
      </w:r>
      <w:r>
        <w:t xml:space="preserve"> Toegevoegd bij beslissing van de VREG van 25 juni 2021.</w:t>
      </w:r>
    </w:p>
  </w:footnote>
  <w:footnote w:id="38">
    <w:p w14:paraId="2E2B7001" w14:textId="4EE483C8" w:rsidR="0026383F" w:rsidRDefault="0026383F" w:rsidP="00746B89">
      <w:pPr>
        <w:pStyle w:val="Voetnoottekst"/>
      </w:pPr>
      <w:r>
        <w:rPr>
          <w:rStyle w:val="Voetnootmarkering"/>
        </w:rPr>
        <w:footnoteRef/>
      </w:r>
      <w:r>
        <w:t xml:space="preserve"> Toegevoegd bij beslissing van de VREG van 25 juni 2021.</w:t>
      </w:r>
    </w:p>
  </w:footnote>
  <w:footnote w:id="39">
    <w:p w14:paraId="7B112EE1" w14:textId="3ADBDDB4" w:rsidR="0026383F" w:rsidRDefault="0026383F" w:rsidP="00D9077E">
      <w:pPr>
        <w:pStyle w:val="Voetnoottekst"/>
      </w:pPr>
      <w:r>
        <w:rPr>
          <w:rStyle w:val="Voetnootmarkering"/>
        </w:rPr>
        <w:footnoteRef/>
      </w:r>
      <w:r>
        <w:t xml:space="preserve"> Gewijzigd bij beslissing van de VREG van 25 juni 2021.</w:t>
      </w:r>
    </w:p>
  </w:footnote>
  <w:footnote w:id="40">
    <w:p w14:paraId="2702D728" w14:textId="0FA0FA44" w:rsidR="0026383F" w:rsidRDefault="0026383F">
      <w:pPr>
        <w:pStyle w:val="Voetnoottekst"/>
      </w:pPr>
      <w:r>
        <w:rPr>
          <w:rStyle w:val="Voetnootmarkering"/>
        </w:rPr>
        <w:footnoteRef/>
      </w:r>
      <w:r>
        <w:t xml:space="preserve"> </w:t>
      </w:r>
      <w:hyperlink r:id="rId1" w:history="1">
        <w:r w:rsidRPr="00E026E8">
          <w:rPr>
            <w:rStyle w:val="Hyperlink"/>
          </w:rPr>
          <w:t>https://www.const-court.be/public/n/2021/2021-005n.pdf</w:t>
        </w:r>
      </w:hyperlink>
      <w:r>
        <w:rPr>
          <w:rStyle w:val="Hyperlink"/>
        </w:rPr>
        <w:t xml:space="preserve"> </w:t>
      </w:r>
    </w:p>
  </w:footnote>
  <w:footnote w:id="41">
    <w:p w14:paraId="6ED027B8" w14:textId="4AB7B6FD" w:rsidR="0026383F" w:rsidRDefault="0026383F" w:rsidP="003008C7">
      <w:pPr>
        <w:pStyle w:val="Voetnoottekst"/>
      </w:pPr>
      <w:r>
        <w:rPr>
          <w:rStyle w:val="Voetnootmarkering"/>
        </w:rPr>
        <w:footnoteRef/>
      </w:r>
      <w:r>
        <w:t xml:space="preserve"> Toegevoegd bij beslissing van de VREG van 25 juni 2021.</w:t>
      </w:r>
    </w:p>
  </w:footnote>
  <w:footnote w:id="42">
    <w:p w14:paraId="3E79AC72" w14:textId="77777777" w:rsidR="0026383F" w:rsidRDefault="0026383F" w:rsidP="003008C7">
      <w:pPr>
        <w:pStyle w:val="Voetnoottekst"/>
      </w:pPr>
      <w:r>
        <w:rPr>
          <w:rStyle w:val="Voetnootmarkering"/>
        </w:rPr>
        <w:footnoteRef/>
      </w:r>
      <w:r>
        <w:t xml:space="preserve"> </w:t>
      </w:r>
      <w:hyperlink r:id="rId2" w:history="1">
        <w:r w:rsidRPr="00E026E8">
          <w:rPr>
            <w:rStyle w:val="Hyperlink"/>
          </w:rPr>
          <w:t>https://www.const-court.be/public/n/2021/2021-005n.pdf</w:t>
        </w:r>
      </w:hyperlink>
      <w:r>
        <w:rPr>
          <w:rStyle w:val="Hyperlink"/>
        </w:rPr>
        <w:t xml:space="preserve"> </w:t>
      </w:r>
    </w:p>
  </w:footnote>
  <w:footnote w:id="43">
    <w:p w14:paraId="5CD96BDA" w14:textId="1BEBCBA1" w:rsidR="0026383F" w:rsidRDefault="0026383F" w:rsidP="003008C7">
      <w:pPr>
        <w:pStyle w:val="Voetnoottekst"/>
      </w:pPr>
      <w:r>
        <w:rPr>
          <w:rStyle w:val="Voetnootmarkering"/>
        </w:rPr>
        <w:footnoteRef/>
      </w:r>
      <w:r>
        <w:t xml:space="preserve"> Toegevoegd bij beslissing van de VREG van 25 juni 2021.</w:t>
      </w:r>
    </w:p>
  </w:footnote>
  <w:footnote w:id="44">
    <w:p w14:paraId="64B6D3DB" w14:textId="68D3F223" w:rsidR="0026383F" w:rsidRDefault="0026383F" w:rsidP="003008C7">
      <w:pPr>
        <w:pStyle w:val="Voetnoottekst"/>
      </w:pPr>
      <w:r>
        <w:rPr>
          <w:rStyle w:val="Voetnootmarkering"/>
        </w:rPr>
        <w:footnoteRef/>
      </w:r>
      <w:r>
        <w:t xml:space="preserve"> Gewijzigd bij beslissing van de VREG van 25 juni 2021.</w:t>
      </w:r>
    </w:p>
  </w:footnote>
  <w:footnote w:id="45">
    <w:p w14:paraId="223CB659" w14:textId="7896B964" w:rsidR="0026383F" w:rsidRDefault="0026383F" w:rsidP="00E278B1">
      <w:pPr>
        <w:pStyle w:val="Voetnoottekst"/>
      </w:pPr>
      <w:r>
        <w:rPr>
          <w:rStyle w:val="Voetnootmarkering"/>
        </w:rPr>
        <w:footnoteRef/>
      </w:r>
      <w:r>
        <w:t xml:space="preserve"> Gewijzigd bij beslissing van de VREG van 25 juni 2021.</w:t>
      </w:r>
    </w:p>
  </w:footnote>
  <w:footnote w:id="46">
    <w:p w14:paraId="34A4A06A" w14:textId="77777777" w:rsidR="0026383F" w:rsidRDefault="0026383F" w:rsidP="003008C7">
      <w:pPr>
        <w:pStyle w:val="Voetnoottekst"/>
      </w:pPr>
      <w:r>
        <w:rPr>
          <w:rStyle w:val="Voetnootmarkering"/>
        </w:rPr>
        <w:footnoteRef/>
      </w:r>
      <w:r>
        <w:t xml:space="preserve"> </w:t>
      </w:r>
      <w:hyperlink r:id="rId3" w:history="1">
        <w:r w:rsidRPr="00E026E8">
          <w:rPr>
            <w:rStyle w:val="Hyperlink"/>
          </w:rPr>
          <w:t>https://www.const-court.be/public/n/2021/2021-005n.pdf</w:t>
        </w:r>
      </w:hyperlink>
      <w:r>
        <w:rPr>
          <w:rStyle w:val="Hyperlink"/>
        </w:rPr>
        <w:t xml:space="preserve"> </w:t>
      </w:r>
    </w:p>
  </w:footnote>
  <w:footnote w:id="47">
    <w:p w14:paraId="2AAADD9F" w14:textId="14C5E101" w:rsidR="0026383F" w:rsidRDefault="0026383F" w:rsidP="003008C7">
      <w:pPr>
        <w:pStyle w:val="Voetnoottekst"/>
      </w:pPr>
      <w:r>
        <w:rPr>
          <w:rStyle w:val="Voetnootmarkering"/>
        </w:rPr>
        <w:footnoteRef/>
      </w:r>
      <w:r>
        <w:t xml:space="preserve"> Toegevoegd bij beslissing van de VREG van 25 juni 2021.</w:t>
      </w:r>
    </w:p>
  </w:footnote>
  <w:footnote w:id="48">
    <w:p w14:paraId="425D3B43" w14:textId="1F2649A6" w:rsidR="0026383F" w:rsidRDefault="0026383F" w:rsidP="00460037">
      <w:pPr>
        <w:pStyle w:val="Voetnoottekst"/>
      </w:pPr>
      <w:r>
        <w:rPr>
          <w:rStyle w:val="Voetnootmarkering"/>
        </w:rPr>
        <w:footnoteRef/>
      </w:r>
      <w:r>
        <w:t xml:space="preserve"> Gewijzigd bij beslissing van de VREG van 25 juni 2021.</w:t>
      </w:r>
    </w:p>
  </w:footnote>
  <w:footnote w:id="49">
    <w:p w14:paraId="020AF1FC" w14:textId="77777777" w:rsidR="0026383F" w:rsidRDefault="0026383F" w:rsidP="001F238C">
      <w:pPr>
        <w:pStyle w:val="Voetnoottekst"/>
      </w:pPr>
      <w:r>
        <w:rPr>
          <w:rStyle w:val="Voetnootmarkering"/>
        </w:rPr>
        <w:footnoteRef/>
      </w:r>
      <w:r>
        <w:t xml:space="preserve"> </w:t>
      </w:r>
      <w:r w:rsidRPr="000B0879">
        <w:t>Procentuele correctie op de tariefdrager afgenomen energiehoeveelheid van het distributienet, voor het in rekening brengen van de decentraal geproduceerde energie op het distributienet.</w:t>
      </w:r>
    </w:p>
  </w:footnote>
  <w:footnote w:id="50">
    <w:p w14:paraId="05A613FF" w14:textId="77777777" w:rsidR="0026383F" w:rsidRDefault="0026383F" w:rsidP="00E278B1">
      <w:pPr>
        <w:pStyle w:val="Voetnoottekst"/>
      </w:pPr>
      <w:r>
        <w:rPr>
          <w:rStyle w:val="Voetnootmarkering"/>
        </w:rPr>
        <w:footnoteRef/>
      </w:r>
      <w:r>
        <w:t xml:space="preserve"> </w:t>
      </w:r>
      <w:hyperlink r:id="rId4" w:history="1">
        <w:r w:rsidRPr="00E026E8">
          <w:rPr>
            <w:rStyle w:val="Hyperlink"/>
          </w:rPr>
          <w:t>https://www.const-court.be/public/n/2021/2021-005n.pdf</w:t>
        </w:r>
      </w:hyperlink>
      <w:r>
        <w:rPr>
          <w:rStyle w:val="Hyperlink"/>
        </w:rPr>
        <w:t xml:space="preserve"> </w:t>
      </w:r>
    </w:p>
  </w:footnote>
  <w:footnote w:id="51">
    <w:p w14:paraId="4F59C44D" w14:textId="3B5B250B" w:rsidR="0026383F" w:rsidRDefault="0026383F" w:rsidP="00E278B1">
      <w:pPr>
        <w:pStyle w:val="Voetnoottekst"/>
      </w:pPr>
      <w:r>
        <w:rPr>
          <w:rStyle w:val="Voetnootmarkering"/>
        </w:rPr>
        <w:footnoteRef/>
      </w:r>
      <w:r>
        <w:t xml:space="preserve"> Toegevoegd bij beslissing van de VREG van 25 juni 2021.</w:t>
      </w:r>
    </w:p>
  </w:footnote>
  <w:footnote w:id="52">
    <w:p w14:paraId="3CBE8C45" w14:textId="17936340" w:rsidR="0026383F" w:rsidRDefault="0026383F" w:rsidP="00460037">
      <w:pPr>
        <w:pStyle w:val="Voetnoottekst"/>
      </w:pPr>
      <w:r>
        <w:rPr>
          <w:rStyle w:val="Voetnootmarkering"/>
        </w:rPr>
        <w:footnoteRef/>
      </w:r>
      <w:r>
        <w:t xml:space="preserve"> Gewijzigd bij beslissing van de VREG van 25 juni 2021.</w:t>
      </w:r>
    </w:p>
  </w:footnote>
  <w:footnote w:id="53">
    <w:p w14:paraId="04244996" w14:textId="77777777" w:rsidR="0026383F" w:rsidRDefault="0026383F" w:rsidP="00AF4F36">
      <w:pPr>
        <w:pStyle w:val="Voetnoottekst"/>
      </w:pPr>
      <w:r>
        <w:rPr>
          <w:rStyle w:val="Voetnootmarkering"/>
        </w:rPr>
        <w:footnoteRef/>
      </w:r>
      <w:r>
        <w:t xml:space="preserve"> </w:t>
      </w:r>
      <w:hyperlink r:id="rId5" w:history="1">
        <w:r w:rsidRPr="00E026E8">
          <w:rPr>
            <w:rStyle w:val="Hyperlink"/>
          </w:rPr>
          <w:t>https://www.const-court.be/public/n/2021/2021-005n.pdf</w:t>
        </w:r>
      </w:hyperlink>
      <w:r>
        <w:rPr>
          <w:rStyle w:val="Hyperlink"/>
        </w:rPr>
        <w:t xml:space="preserve"> </w:t>
      </w:r>
    </w:p>
  </w:footnote>
  <w:footnote w:id="54">
    <w:p w14:paraId="7F27B7AF" w14:textId="7446491F" w:rsidR="0026383F" w:rsidRDefault="0026383F" w:rsidP="00AF4F36">
      <w:pPr>
        <w:pStyle w:val="Voetnoottekst"/>
      </w:pPr>
      <w:r>
        <w:rPr>
          <w:rStyle w:val="Voetnootmarkering"/>
        </w:rPr>
        <w:footnoteRef/>
      </w:r>
      <w:r>
        <w:t xml:space="preserve"> Toegevoegd bij beslissing van de VREG van 25 juni 2021.</w:t>
      </w:r>
    </w:p>
  </w:footnote>
  <w:footnote w:id="55">
    <w:p w14:paraId="74091CDF" w14:textId="3602BE6E" w:rsidR="0026383F" w:rsidRDefault="0026383F" w:rsidP="00460037">
      <w:pPr>
        <w:pStyle w:val="Voetnoottekst"/>
      </w:pPr>
      <w:r>
        <w:rPr>
          <w:rStyle w:val="Voetnootmarkering"/>
        </w:rPr>
        <w:footnoteRef/>
      </w:r>
      <w:r>
        <w:t xml:space="preserve"> Gewijzigd bij beslissing van de VREG van 25 juni 2021.</w:t>
      </w:r>
    </w:p>
  </w:footnote>
  <w:footnote w:id="56">
    <w:p w14:paraId="053C25DC" w14:textId="7BC56858" w:rsidR="0026383F" w:rsidRDefault="0026383F" w:rsidP="00460037">
      <w:pPr>
        <w:pStyle w:val="Voetnoottekst"/>
      </w:pPr>
      <w:r>
        <w:rPr>
          <w:rStyle w:val="Voetnootmarkering"/>
        </w:rPr>
        <w:footnoteRef/>
      </w:r>
      <w:r>
        <w:t xml:space="preserve"> Gewijzigd bij beslissing van de VREG van 25 juni 2021.</w:t>
      </w:r>
    </w:p>
  </w:footnote>
  <w:footnote w:id="57">
    <w:p w14:paraId="07F55310" w14:textId="5B9FD498" w:rsidR="0026383F" w:rsidRDefault="0026383F" w:rsidP="00460037">
      <w:pPr>
        <w:pStyle w:val="Voetnoottekst"/>
      </w:pPr>
      <w:r>
        <w:rPr>
          <w:rStyle w:val="Voetnootmarkering"/>
        </w:rPr>
        <w:footnoteRef/>
      </w:r>
      <w:r>
        <w:t xml:space="preserve"> Gewijzigd bij beslissing van de VREG van 25 juni 2021.</w:t>
      </w:r>
    </w:p>
  </w:footnote>
  <w:footnote w:id="58">
    <w:p w14:paraId="5C279376" w14:textId="5DB418F0" w:rsidR="0026383F" w:rsidRDefault="0026383F">
      <w:pPr>
        <w:pStyle w:val="Voetnoottekst"/>
      </w:pPr>
      <w:r>
        <w:rPr>
          <w:rStyle w:val="Voetnootmarkering"/>
        </w:rPr>
        <w:footnoteRef/>
      </w:r>
      <w:r>
        <w:t xml:space="preserve"> Toegevoegd bij beslissing van de VREG van 25 juni 2021.</w:t>
      </w:r>
    </w:p>
  </w:footnote>
  <w:footnote w:id="59">
    <w:p w14:paraId="0057B065" w14:textId="10F84D7D" w:rsidR="0026383F" w:rsidRDefault="0026383F">
      <w:pPr>
        <w:pStyle w:val="Voetnoottekst"/>
      </w:pPr>
      <w:r>
        <w:rPr>
          <w:rStyle w:val="Voetnootmarkering"/>
        </w:rPr>
        <w:footnoteRef/>
      </w:r>
      <w:r>
        <w:t xml:space="preserve"> Correctie van een materiële vergissing</w:t>
      </w:r>
    </w:p>
  </w:footnote>
  <w:footnote w:id="60">
    <w:p w14:paraId="7C27939C" w14:textId="20C1633E" w:rsidR="0026383F" w:rsidRDefault="0026383F" w:rsidP="00583995">
      <w:pPr>
        <w:pStyle w:val="Voetnoottekst"/>
        <w:ind w:left="0" w:firstLine="0"/>
      </w:pPr>
      <w:r>
        <w:rPr>
          <w:rStyle w:val="Voetnootmarkering"/>
        </w:rPr>
        <w:footnoteRef/>
      </w:r>
      <w:r>
        <w:t xml:space="preserve"> Correctie van een materiële vergissing</w:t>
      </w:r>
    </w:p>
  </w:footnote>
  <w:footnote w:id="61">
    <w:p w14:paraId="20C1C166" w14:textId="36090928" w:rsidR="0026383F" w:rsidRDefault="0026383F">
      <w:pPr>
        <w:pStyle w:val="Voetnoottekst"/>
      </w:pPr>
      <w:r>
        <w:rPr>
          <w:rStyle w:val="Voetnootmarkering"/>
        </w:rPr>
        <w:footnoteRef/>
      </w:r>
      <w:r>
        <w:t xml:space="preserve"> Correctie van een materiële vergissing</w:t>
      </w:r>
    </w:p>
  </w:footnote>
  <w:footnote w:id="62">
    <w:p w14:paraId="207262B5" w14:textId="0ABB2E77" w:rsidR="0026383F" w:rsidRDefault="0026383F">
      <w:pPr>
        <w:pStyle w:val="Voetnoottekst"/>
      </w:pPr>
      <w:r>
        <w:rPr>
          <w:rStyle w:val="Voetnootmarkering"/>
        </w:rPr>
        <w:footnoteRef/>
      </w:r>
      <w:r>
        <w:t xml:space="preserve"> Correctie van een materiële vergissing</w:t>
      </w:r>
    </w:p>
  </w:footnote>
  <w:footnote w:id="63">
    <w:p w14:paraId="0DE68708" w14:textId="0854BE0A" w:rsidR="0026383F" w:rsidRPr="00B2290F" w:rsidRDefault="0026383F" w:rsidP="000D47E5">
      <w:pPr>
        <w:pStyle w:val="Voetnoottekst"/>
      </w:pPr>
      <w:r w:rsidRPr="00403F92">
        <w:rPr>
          <w:rStyle w:val="Voetnootmarkering"/>
        </w:rPr>
        <w:footnoteRef/>
      </w:r>
      <w:r w:rsidRPr="00403F92">
        <w:t xml:space="preserve"> Voor een raadpleging van ISRS 4400 verwijzen we naar volgende </w:t>
      </w:r>
      <w:hyperlink r:id="rId6" w:history="1">
        <w:r w:rsidRPr="00403F92">
          <w:rPr>
            <w:rStyle w:val="Hyperlink"/>
          </w:rPr>
          <w:t>link</w:t>
        </w:r>
      </w:hyperlink>
      <w:r w:rsidRPr="00403F92">
        <w:t xml:space="preserve"> op de website van het IBR.</w:t>
      </w:r>
    </w:p>
  </w:footnote>
  <w:footnote w:id="64">
    <w:p w14:paraId="1B8F5BB7" w14:textId="26C7BDBE" w:rsidR="0026383F" w:rsidRPr="00F04E86" w:rsidRDefault="0026383F" w:rsidP="00E65D48">
      <w:pPr>
        <w:pStyle w:val="Voetnoottekst"/>
      </w:pPr>
      <w:r>
        <w:rPr>
          <w:rStyle w:val="Voetnootmarkering"/>
        </w:rPr>
        <w:footnoteRef/>
      </w:r>
      <w:r>
        <w:t xml:space="preserve"> We verwijzen naar </w:t>
      </w:r>
      <w:r w:rsidRPr="00CB7D36">
        <w:t>paragra</w:t>
      </w:r>
      <w:r>
        <w:t>fen</w:t>
      </w:r>
      <w:r w:rsidRPr="00CB7D36">
        <w:t xml:space="preserve"> </w:t>
      </w:r>
      <w:r>
        <w:fldChar w:fldCharType="begin"/>
      </w:r>
      <w:r>
        <w:instrText xml:space="preserve"> REF _Ref389575908 \r \h </w:instrText>
      </w:r>
      <w:r>
        <w:fldChar w:fldCharType="separate"/>
      </w:r>
      <w:r>
        <w:t>1.1</w:t>
      </w:r>
      <w:r>
        <w:fldChar w:fldCharType="end"/>
      </w:r>
      <w:r>
        <w:t xml:space="preserve"> (voor het jaar 2021) en </w:t>
      </w:r>
      <w:r>
        <w:fldChar w:fldCharType="begin"/>
      </w:r>
      <w:r>
        <w:instrText xml:space="preserve"> REF _Ref39576237 \r \h </w:instrText>
      </w:r>
      <w:r>
        <w:fldChar w:fldCharType="separate"/>
      </w:r>
      <w:r>
        <w:t>1.2</w:t>
      </w:r>
      <w:r>
        <w:fldChar w:fldCharType="end"/>
      </w:r>
      <w:r>
        <w:t xml:space="preserve"> (voor de jaren 2022, 2023 en 2024) voor het onderscheid tussen het ex-ante en het ex-post rapporteringsmodel.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37D04" w14:textId="77777777" w:rsidR="0026383F" w:rsidRDefault="0026383F" w:rsidP="005117FD">
    <w:pPr>
      <w:pStyle w:val="Koptekst"/>
    </w:pPr>
    <w:r>
      <w:rPr>
        <w:noProof/>
        <w:lang w:eastAsia="nl-BE"/>
      </w:rPr>
      <w:drawing>
        <wp:anchor distT="0" distB="0" distL="0" distR="0" simplePos="0" relativeHeight="251658241" behindDoc="1" locked="0" layoutInCell="1" allowOverlap="1" wp14:anchorId="5CE15090" wp14:editId="4ADC9335">
          <wp:simplePos x="0" y="0"/>
          <wp:positionH relativeFrom="column">
            <wp:posOffset>4864054</wp:posOffset>
          </wp:positionH>
          <wp:positionV relativeFrom="page">
            <wp:posOffset>252484</wp:posOffset>
          </wp:positionV>
          <wp:extent cx="722421" cy="450000"/>
          <wp:effectExtent l="0" t="0" r="1905" b="7620"/>
          <wp:wrapNone/>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REG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2421" cy="45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00F20"/>
    <w:multiLevelType w:val="hybridMultilevel"/>
    <w:tmpl w:val="BECC3A8A"/>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3E2218D"/>
    <w:multiLevelType w:val="hybridMultilevel"/>
    <w:tmpl w:val="062C1716"/>
    <w:lvl w:ilvl="0" w:tplc="E98AF726">
      <w:start w:val="2"/>
      <w:numFmt w:val="bullet"/>
      <w:lvlText w:val="-"/>
      <w:lvlJc w:val="left"/>
      <w:pPr>
        <w:ind w:left="1211" w:hanging="360"/>
      </w:pPr>
      <w:rPr>
        <w:rFonts w:ascii="Tahoma" w:eastAsia="Times New Roman" w:hAnsi="Tahoma" w:cs="Tahoma"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08AC6FBE"/>
    <w:multiLevelType w:val="hybridMultilevel"/>
    <w:tmpl w:val="5742EA4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8F95E40"/>
    <w:multiLevelType w:val="multilevel"/>
    <w:tmpl w:val="285CA7F6"/>
    <w:lvl w:ilvl="0">
      <w:start w:val="1"/>
      <w:numFmt w:val="decimal"/>
      <w:pStyle w:val="Kop1"/>
      <w:lvlText w:val="%1"/>
      <w:lvlJc w:val="left"/>
      <w:pPr>
        <w:ind w:left="0" w:hanging="567"/>
      </w:pPr>
      <w:rPr>
        <w:rFonts w:hint="default"/>
      </w:rPr>
    </w:lvl>
    <w:lvl w:ilvl="1">
      <w:start w:val="1"/>
      <w:numFmt w:val="decimal"/>
      <w:pStyle w:val="Kop2"/>
      <w:lvlText w:val="%1.%2"/>
      <w:lvlJc w:val="left"/>
      <w:pPr>
        <w:ind w:left="0" w:hanging="567"/>
      </w:pPr>
      <w:rPr>
        <w:rFonts w:hint="default"/>
      </w:rPr>
    </w:lvl>
    <w:lvl w:ilvl="2">
      <w:start w:val="1"/>
      <w:numFmt w:val="decimal"/>
      <w:pStyle w:val="Kop3"/>
      <w:lvlText w:val="%1.%2.%3"/>
      <w:lvlJc w:val="left"/>
      <w:pPr>
        <w:tabs>
          <w:tab w:val="num" w:pos="1561"/>
        </w:tabs>
        <w:ind w:left="2014" w:hanging="737"/>
      </w:pPr>
      <w:rPr>
        <w:rFonts w:hint="default"/>
      </w:rPr>
    </w:lvl>
    <w:lvl w:ilvl="3">
      <w:start w:val="1"/>
      <w:numFmt w:val="decimal"/>
      <w:pStyle w:val="Kop4"/>
      <w:lvlText w:val="%1.%2.%3.%4"/>
      <w:lvlJc w:val="left"/>
      <w:pPr>
        <w:ind w:left="907" w:hanging="907"/>
      </w:pPr>
      <w:rPr>
        <w:rFonts w:hint="default"/>
      </w:rPr>
    </w:lvl>
    <w:lvl w:ilvl="4">
      <w:start w:val="1"/>
      <w:numFmt w:val="decimal"/>
      <w:pStyle w:val="Kop5"/>
      <w:suff w:val="space"/>
      <w:lvlText w:val="%1.%2.%3.%4.%5"/>
      <w:lvlJc w:val="left"/>
      <w:pPr>
        <w:ind w:left="0" w:firstLine="0"/>
      </w:pPr>
      <w:rPr>
        <w:rFonts w:asciiTheme="majorHAnsi" w:hAnsiTheme="majorHAnsi" w:cstheme="majorHAnsi" w:hint="default"/>
      </w:rPr>
    </w:lvl>
    <w:lvl w:ilvl="5">
      <w:start w:val="1"/>
      <w:numFmt w:val="decimal"/>
      <w:pStyle w:val="Kop6"/>
      <w:suff w:val="space"/>
      <w:lvlText w:val="%1.%2.%3.%4.%5.%6"/>
      <w:lvlJc w:val="left"/>
      <w:pPr>
        <w:ind w:left="0" w:firstLine="0"/>
      </w:pPr>
      <w:rPr>
        <w:rFonts w:hint="default"/>
      </w:rPr>
    </w:lvl>
    <w:lvl w:ilvl="6">
      <w:start w:val="1"/>
      <w:numFmt w:val="decimal"/>
      <w:pStyle w:val="Kop7"/>
      <w:suff w:val="space"/>
      <w:lvlText w:val="%1.%2.%3.%4.%5.%6.%7"/>
      <w:lvlJc w:val="left"/>
      <w:pPr>
        <w:ind w:left="0" w:firstLine="0"/>
      </w:pPr>
      <w:rPr>
        <w:rFonts w:hint="default"/>
      </w:rPr>
    </w:lvl>
    <w:lvl w:ilvl="7">
      <w:start w:val="1"/>
      <w:numFmt w:val="decimal"/>
      <w:pStyle w:val="Kop8"/>
      <w:suff w:val="space"/>
      <w:lvlText w:val="%1.%2.%3.%4.%5.%6.%7.%8"/>
      <w:lvlJc w:val="left"/>
      <w:pPr>
        <w:ind w:left="0" w:firstLine="0"/>
      </w:pPr>
      <w:rPr>
        <w:rFonts w:hint="default"/>
      </w:rPr>
    </w:lvl>
    <w:lvl w:ilvl="8">
      <w:start w:val="1"/>
      <w:numFmt w:val="decimal"/>
      <w:pStyle w:val="Kop9"/>
      <w:suff w:val="space"/>
      <w:lvlText w:val="%1.%2.%3.%4.%5.%6.%7.%8.%9"/>
      <w:lvlJc w:val="left"/>
      <w:pPr>
        <w:ind w:left="0" w:firstLine="0"/>
      </w:pPr>
      <w:rPr>
        <w:rFonts w:hint="default"/>
      </w:rPr>
    </w:lvl>
  </w:abstractNum>
  <w:abstractNum w:abstractNumId="4" w15:restartNumberingAfterBreak="0">
    <w:nsid w:val="091F160C"/>
    <w:multiLevelType w:val="hybridMultilevel"/>
    <w:tmpl w:val="EBEE9B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D5422B"/>
    <w:multiLevelType w:val="hybridMultilevel"/>
    <w:tmpl w:val="365E18CE"/>
    <w:lvl w:ilvl="0" w:tplc="08090001">
      <w:start w:val="1"/>
      <w:numFmt w:val="bullet"/>
      <w:lvlText w:val=""/>
      <w:lvlJc w:val="left"/>
      <w:pPr>
        <w:ind w:left="1571" w:hanging="360"/>
      </w:pPr>
      <w:rPr>
        <w:rFonts w:ascii="Symbol" w:hAnsi="Symbol"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6" w15:restartNumberingAfterBreak="0">
    <w:nsid w:val="0F961E3D"/>
    <w:multiLevelType w:val="hybridMultilevel"/>
    <w:tmpl w:val="A126C3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0177034"/>
    <w:multiLevelType w:val="hybridMultilevel"/>
    <w:tmpl w:val="80F0F6EE"/>
    <w:lvl w:ilvl="0" w:tplc="08090003">
      <w:start w:val="1"/>
      <w:numFmt w:val="bullet"/>
      <w:lvlText w:val="o"/>
      <w:lvlJc w:val="left"/>
      <w:pPr>
        <w:ind w:left="870" w:hanging="360"/>
      </w:pPr>
      <w:rPr>
        <w:rFonts w:ascii="Courier New" w:hAnsi="Courier New" w:cs="Courier New" w:hint="default"/>
      </w:rPr>
    </w:lvl>
    <w:lvl w:ilvl="1" w:tplc="08090003">
      <w:start w:val="1"/>
      <w:numFmt w:val="bullet"/>
      <w:lvlText w:val="o"/>
      <w:lvlJc w:val="left"/>
      <w:pPr>
        <w:ind w:left="1590" w:hanging="360"/>
      </w:pPr>
      <w:rPr>
        <w:rFonts w:ascii="Courier New" w:hAnsi="Courier New" w:cs="Courier New" w:hint="default"/>
      </w:rPr>
    </w:lvl>
    <w:lvl w:ilvl="2" w:tplc="08090005">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8" w15:restartNumberingAfterBreak="0">
    <w:nsid w:val="160A3E29"/>
    <w:multiLevelType w:val="hybridMultilevel"/>
    <w:tmpl w:val="FBD48200"/>
    <w:lvl w:ilvl="0" w:tplc="08090001">
      <w:start w:val="1"/>
      <w:numFmt w:val="bullet"/>
      <w:lvlText w:val=""/>
      <w:lvlJc w:val="left"/>
      <w:pPr>
        <w:ind w:left="1571" w:hanging="360"/>
      </w:pPr>
      <w:rPr>
        <w:rFonts w:ascii="Symbol" w:hAnsi="Symbol"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9" w15:restartNumberingAfterBreak="0">
    <w:nsid w:val="17E440E9"/>
    <w:multiLevelType w:val="hybridMultilevel"/>
    <w:tmpl w:val="F0EC56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17E1DC0"/>
    <w:multiLevelType w:val="hybridMultilevel"/>
    <w:tmpl w:val="B9AA63DA"/>
    <w:lvl w:ilvl="0" w:tplc="08090001">
      <w:start w:val="1"/>
      <w:numFmt w:val="bullet"/>
      <w:lvlText w:val=""/>
      <w:lvlJc w:val="left"/>
      <w:pPr>
        <w:ind w:left="2126"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11" w15:restartNumberingAfterBreak="0">
    <w:nsid w:val="2408128C"/>
    <w:multiLevelType w:val="multilevel"/>
    <w:tmpl w:val="313086CA"/>
    <w:lvl w:ilvl="0">
      <w:start w:val="1"/>
      <w:numFmt w:val="decimal"/>
      <w:pStyle w:val="Lijstalineagenummerd"/>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25392236"/>
    <w:multiLevelType w:val="multilevel"/>
    <w:tmpl w:val="8F88C8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val="0"/>
        <w:i/>
      </w:rPr>
    </w:lvl>
    <w:lvl w:ilvl="3">
      <w:start w:val="1"/>
      <w:numFmt w:val="decimal"/>
      <w:isLgl/>
      <w:lvlText w:val="%1.%2.%3.%4."/>
      <w:lvlJc w:val="left"/>
      <w:pPr>
        <w:ind w:left="1080" w:hanging="1080"/>
      </w:pPr>
      <w:rPr>
        <w:rFonts w:hint="default"/>
        <w:b w:val="0"/>
        <w:i/>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520" w:hanging="2160"/>
      </w:pPr>
      <w:rPr>
        <w:rFonts w:hint="default"/>
        <w:b w:val="0"/>
      </w:rPr>
    </w:lvl>
  </w:abstractNum>
  <w:abstractNum w:abstractNumId="13" w15:restartNumberingAfterBreak="0">
    <w:nsid w:val="299F6B29"/>
    <w:multiLevelType w:val="hybridMultilevel"/>
    <w:tmpl w:val="7F44C9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9D46CAF"/>
    <w:multiLevelType w:val="hybridMultilevel"/>
    <w:tmpl w:val="95463AD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D5E2A97"/>
    <w:multiLevelType w:val="hybridMultilevel"/>
    <w:tmpl w:val="473056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E88563E"/>
    <w:multiLevelType w:val="hybridMultilevel"/>
    <w:tmpl w:val="6D08558C"/>
    <w:lvl w:ilvl="0" w:tplc="C8F852A8">
      <w:numFmt w:val="bullet"/>
      <w:lvlText w:val="-"/>
      <w:lvlJc w:val="left"/>
      <w:pPr>
        <w:ind w:left="1211" w:hanging="360"/>
      </w:pPr>
      <w:rPr>
        <w:rFonts w:ascii="Tahoma" w:eastAsia="Times New Roman" w:hAnsi="Tahoma" w:cs="Tahoma" w:hint="default"/>
      </w:rPr>
    </w:lvl>
    <w:lvl w:ilvl="1" w:tplc="04130003">
      <w:start w:val="1"/>
      <w:numFmt w:val="bullet"/>
      <w:lvlText w:val="o"/>
      <w:lvlJc w:val="left"/>
      <w:pPr>
        <w:ind w:left="1931" w:hanging="360"/>
      </w:pPr>
      <w:rPr>
        <w:rFonts w:ascii="Courier New" w:hAnsi="Courier New" w:cs="Courier New" w:hint="default"/>
      </w:rPr>
    </w:lvl>
    <w:lvl w:ilvl="2" w:tplc="04130005">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17" w15:restartNumberingAfterBreak="0">
    <w:nsid w:val="30B66A73"/>
    <w:multiLevelType w:val="multilevel"/>
    <w:tmpl w:val="57E0A2C6"/>
    <w:styleLink w:val="Nummering-meerdereniveaus"/>
    <w:lvl w:ilvl="0">
      <w:start w:val="1"/>
      <w:numFmt w:val="decimal"/>
      <w:lvlText w:val="%1."/>
      <w:lvlJc w:val="left"/>
      <w:pPr>
        <w:tabs>
          <w:tab w:val="num" w:pos="360"/>
        </w:tabs>
        <w:ind w:left="360" w:hanging="360"/>
      </w:pPr>
      <w:rPr>
        <w:rFonts w:ascii="Tahoma" w:hAnsi="Tahoma"/>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74"/>
        </w:tabs>
        <w:ind w:left="1474" w:hanging="623"/>
      </w:pPr>
      <w:rPr>
        <w:rFonts w:hint="default"/>
      </w:rPr>
    </w:lvl>
    <w:lvl w:ilvl="3">
      <w:start w:val="1"/>
      <w:numFmt w:val="decimal"/>
      <w:lvlText w:val="%1.%2.%3.%4."/>
      <w:lvlJc w:val="left"/>
      <w:pPr>
        <w:tabs>
          <w:tab w:val="num" w:pos="2325"/>
        </w:tabs>
        <w:ind w:left="2325" w:hanging="851"/>
      </w:pPr>
      <w:rPr>
        <w:rFonts w:hint="default"/>
      </w:rPr>
    </w:lvl>
    <w:lvl w:ilvl="4">
      <w:start w:val="1"/>
      <w:numFmt w:val="decimal"/>
      <w:lvlText w:val="%1.%2.%3.%4.%5."/>
      <w:lvlJc w:val="left"/>
      <w:pPr>
        <w:tabs>
          <w:tab w:val="num" w:pos="3345"/>
        </w:tabs>
        <w:ind w:left="3345" w:hanging="1020"/>
      </w:pPr>
      <w:rPr>
        <w:rFonts w:hint="default"/>
      </w:rPr>
    </w:lvl>
    <w:lvl w:ilvl="5">
      <w:start w:val="1"/>
      <w:numFmt w:val="decimal"/>
      <w:lvlText w:val="%1.%2.%3.%4.%5.%6."/>
      <w:lvlJc w:val="left"/>
      <w:pPr>
        <w:tabs>
          <w:tab w:val="num" w:pos="4593"/>
        </w:tabs>
        <w:ind w:left="4593" w:hanging="1248"/>
      </w:pPr>
      <w:rPr>
        <w:rFonts w:hint="default"/>
      </w:rPr>
    </w:lvl>
    <w:lvl w:ilvl="6">
      <w:start w:val="1"/>
      <w:numFmt w:val="decimal"/>
      <w:lvlText w:val="%1.%2.%3.%4.%5.%6.%7."/>
      <w:lvlJc w:val="left"/>
      <w:pPr>
        <w:tabs>
          <w:tab w:val="num" w:pos="6010"/>
        </w:tabs>
        <w:ind w:left="6010" w:hanging="1417"/>
      </w:pPr>
      <w:rPr>
        <w:rFonts w:hint="default"/>
      </w:rPr>
    </w:lvl>
    <w:lvl w:ilvl="7">
      <w:start w:val="1"/>
      <w:numFmt w:val="decimal"/>
      <w:lvlText w:val="%1.%2.%3.%4.%5.%6.%7.%8."/>
      <w:lvlJc w:val="left"/>
      <w:pPr>
        <w:tabs>
          <w:tab w:val="num" w:pos="7569"/>
        </w:tabs>
        <w:ind w:left="7569" w:hanging="1559"/>
      </w:pPr>
      <w:rPr>
        <w:rFonts w:hint="default"/>
      </w:rPr>
    </w:lvl>
    <w:lvl w:ilvl="8">
      <w:start w:val="1"/>
      <w:numFmt w:val="decimal"/>
      <w:lvlText w:val="%1.%2.%3.%4.%5.%6.%7.%8.%9."/>
      <w:lvlJc w:val="left"/>
      <w:pPr>
        <w:tabs>
          <w:tab w:val="num" w:pos="8505"/>
        </w:tabs>
        <w:ind w:left="7569" w:firstLine="0"/>
      </w:pPr>
      <w:rPr>
        <w:rFonts w:hint="default"/>
      </w:rPr>
    </w:lvl>
  </w:abstractNum>
  <w:abstractNum w:abstractNumId="18" w15:restartNumberingAfterBreak="0">
    <w:nsid w:val="346F334F"/>
    <w:multiLevelType w:val="hybridMultilevel"/>
    <w:tmpl w:val="6C8A52C8"/>
    <w:lvl w:ilvl="0" w:tplc="08090001">
      <w:start w:val="1"/>
      <w:numFmt w:val="bullet"/>
      <w:lvlText w:val=""/>
      <w:lvlJc w:val="left"/>
      <w:pPr>
        <w:ind w:left="2190" w:hanging="360"/>
      </w:pPr>
      <w:rPr>
        <w:rFonts w:ascii="Symbol" w:hAnsi="Symbol" w:hint="default"/>
      </w:rPr>
    </w:lvl>
    <w:lvl w:ilvl="1" w:tplc="08090003">
      <w:start w:val="1"/>
      <w:numFmt w:val="bullet"/>
      <w:lvlText w:val="o"/>
      <w:lvlJc w:val="left"/>
      <w:pPr>
        <w:ind w:left="2910" w:hanging="360"/>
      </w:pPr>
      <w:rPr>
        <w:rFonts w:ascii="Courier New" w:hAnsi="Courier New" w:cs="Courier New" w:hint="default"/>
      </w:rPr>
    </w:lvl>
    <w:lvl w:ilvl="2" w:tplc="08090005" w:tentative="1">
      <w:start w:val="1"/>
      <w:numFmt w:val="bullet"/>
      <w:lvlText w:val=""/>
      <w:lvlJc w:val="left"/>
      <w:pPr>
        <w:ind w:left="3630" w:hanging="360"/>
      </w:pPr>
      <w:rPr>
        <w:rFonts w:ascii="Wingdings" w:hAnsi="Wingdings" w:hint="default"/>
      </w:rPr>
    </w:lvl>
    <w:lvl w:ilvl="3" w:tplc="08090001" w:tentative="1">
      <w:start w:val="1"/>
      <w:numFmt w:val="bullet"/>
      <w:lvlText w:val=""/>
      <w:lvlJc w:val="left"/>
      <w:pPr>
        <w:ind w:left="4350" w:hanging="360"/>
      </w:pPr>
      <w:rPr>
        <w:rFonts w:ascii="Symbol" w:hAnsi="Symbol" w:hint="default"/>
      </w:rPr>
    </w:lvl>
    <w:lvl w:ilvl="4" w:tplc="08090003" w:tentative="1">
      <w:start w:val="1"/>
      <w:numFmt w:val="bullet"/>
      <w:lvlText w:val="o"/>
      <w:lvlJc w:val="left"/>
      <w:pPr>
        <w:ind w:left="5070" w:hanging="360"/>
      </w:pPr>
      <w:rPr>
        <w:rFonts w:ascii="Courier New" w:hAnsi="Courier New" w:cs="Courier New" w:hint="default"/>
      </w:rPr>
    </w:lvl>
    <w:lvl w:ilvl="5" w:tplc="08090005" w:tentative="1">
      <w:start w:val="1"/>
      <w:numFmt w:val="bullet"/>
      <w:lvlText w:val=""/>
      <w:lvlJc w:val="left"/>
      <w:pPr>
        <w:ind w:left="5790" w:hanging="360"/>
      </w:pPr>
      <w:rPr>
        <w:rFonts w:ascii="Wingdings" w:hAnsi="Wingdings" w:hint="default"/>
      </w:rPr>
    </w:lvl>
    <w:lvl w:ilvl="6" w:tplc="08090001" w:tentative="1">
      <w:start w:val="1"/>
      <w:numFmt w:val="bullet"/>
      <w:lvlText w:val=""/>
      <w:lvlJc w:val="left"/>
      <w:pPr>
        <w:ind w:left="6510" w:hanging="360"/>
      </w:pPr>
      <w:rPr>
        <w:rFonts w:ascii="Symbol" w:hAnsi="Symbol" w:hint="default"/>
      </w:rPr>
    </w:lvl>
    <w:lvl w:ilvl="7" w:tplc="08090003" w:tentative="1">
      <w:start w:val="1"/>
      <w:numFmt w:val="bullet"/>
      <w:lvlText w:val="o"/>
      <w:lvlJc w:val="left"/>
      <w:pPr>
        <w:ind w:left="7230" w:hanging="360"/>
      </w:pPr>
      <w:rPr>
        <w:rFonts w:ascii="Courier New" w:hAnsi="Courier New" w:cs="Courier New" w:hint="default"/>
      </w:rPr>
    </w:lvl>
    <w:lvl w:ilvl="8" w:tplc="08090005" w:tentative="1">
      <w:start w:val="1"/>
      <w:numFmt w:val="bullet"/>
      <w:lvlText w:val=""/>
      <w:lvlJc w:val="left"/>
      <w:pPr>
        <w:ind w:left="7950" w:hanging="360"/>
      </w:pPr>
      <w:rPr>
        <w:rFonts w:ascii="Wingdings" w:hAnsi="Wingdings" w:hint="default"/>
      </w:rPr>
    </w:lvl>
  </w:abstractNum>
  <w:abstractNum w:abstractNumId="19" w15:restartNumberingAfterBreak="0">
    <w:nsid w:val="35A10E99"/>
    <w:multiLevelType w:val="hybridMultilevel"/>
    <w:tmpl w:val="63D8DF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7FD11F0"/>
    <w:multiLevelType w:val="hybridMultilevel"/>
    <w:tmpl w:val="22905FC6"/>
    <w:lvl w:ilvl="0" w:tplc="A894DDC4">
      <w:start w:val="1"/>
      <w:numFmt w:val="lowerLetter"/>
      <w:lvlText w:val="%1."/>
      <w:lvlJc w:val="left"/>
      <w:pPr>
        <w:ind w:left="1211" w:hanging="360"/>
      </w:pPr>
      <w:rPr>
        <w:rFonts w:hint="default"/>
      </w:rPr>
    </w:lvl>
    <w:lvl w:ilvl="1" w:tplc="08090001">
      <w:start w:val="1"/>
      <w:numFmt w:val="bullet"/>
      <w:lvlText w:val=""/>
      <w:lvlJc w:val="left"/>
      <w:pPr>
        <w:ind w:left="1931" w:hanging="360"/>
      </w:pPr>
      <w:rPr>
        <w:rFonts w:ascii="Symbol" w:hAnsi="Symbol" w:hint="default"/>
      </w:r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15:restartNumberingAfterBreak="0">
    <w:nsid w:val="3BF9107E"/>
    <w:multiLevelType w:val="multilevel"/>
    <w:tmpl w:val="C92084BC"/>
    <w:styleLink w:val="Nummering-Linksuitgelijnd"/>
    <w:lvl w:ilvl="0">
      <w:start w:val="1"/>
      <w:numFmt w:val="decimal"/>
      <w:lvlText w:val="%1."/>
      <w:lvlJc w:val="left"/>
      <w:pPr>
        <w:tabs>
          <w:tab w:val="num" w:pos="360"/>
        </w:tabs>
        <w:ind w:left="360" w:hanging="360"/>
      </w:pPr>
      <w:rPr>
        <w:rFonts w:ascii="Tahoma" w:hAnsi="Tahoma" w:hint="default"/>
        <w:dstrike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4117EBC"/>
    <w:multiLevelType w:val="hybridMultilevel"/>
    <w:tmpl w:val="79FC355E"/>
    <w:lvl w:ilvl="0" w:tplc="08090001">
      <w:start w:val="1"/>
      <w:numFmt w:val="bullet"/>
      <w:lvlText w:val=""/>
      <w:lvlJc w:val="left"/>
      <w:pPr>
        <w:ind w:left="2130" w:hanging="360"/>
      </w:pPr>
      <w:rPr>
        <w:rFonts w:ascii="Symbol" w:hAnsi="Symbol" w:hint="default"/>
      </w:rPr>
    </w:lvl>
    <w:lvl w:ilvl="1" w:tplc="08090003" w:tentative="1">
      <w:start w:val="1"/>
      <w:numFmt w:val="bullet"/>
      <w:lvlText w:val="o"/>
      <w:lvlJc w:val="left"/>
      <w:pPr>
        <w:ind w:left="2850" w:hanging="360"/>
      </w:pPr>
      <w:rPr>
        <w:rFonts w:ascii="Courier New" w:hAnsi="Courier New" w:cs="Courier New" w:hint="default"/>
      </w:rPr>
    </w:lvl>
    <w:lvl w:ilvl="2" w:tplc="08090005" w:tentative="1">
      <w:start w:val="1"/>
      <w:numFmt w:val="bullet"/>
      <w:lvlText w:val=""/>
      <w:lvlJc w:val="left"/>
      <w:pPr>
        <w:ind w:left="3570" w:hanging="360"/>
      </w:pPr>
      <w:rPr>
        <w:rFonts w:ascii="Wingdings" w:hAnsi="Wingdings" w:hint="default"/>
      </w:rPr>
    </w:lvl>
    <w:lvl w:ilvl="3" w:tplc="08090001" w:tentative="1">
      <w:start w:val="1"/>
      <w:numFmt w:val="bullet"/>
      <w:lvlText w:val=""/>
      <w:lvlJc w:val="left"/>
      <w:pPr>
        <w:ind w:left="4290" w:hanging="360"/>
      </w:pPr>
      <w:rPr>
        <w:rFonts w:ascii="Symbol" w:hAnsi="Symbol" w:hint="default"/>
      </w:rPr>
    </w:lvl>
    <w:lvl w:ilvl="4" w:tplc="08090003" w:tentative="1">
      <w:start w:val="1"/>
      <w:numFmt w:val="bullet"/>
      <w:lvlText w:val="o"/>
      <w:lvlJc w:val="left"/>
      <w:pPr>
        <w:ind w:left="5010" w:hanging="360"/>
      </w:pPr>
      <w:rPr>
        <w:rFonts w:ascii="Courier New" w:hAnsi="Courier New" w:cs="Courier New" w:hint="default"/>
      </w:rPr>
    </w:lvl>
    <w:lvl w:ilvl="5" w:tplc="08090005" w:tentative="1">
      <w:start w:val="1"/>
      <w:numFmt w:val="bullet"/>
      <w:lvlText w:val=""/>
      <w:lvlJc w:val="left"/>
      <w:pPr>
        <w:ind w:left="5730" w:hanging="360"/>
      </w:pPr>
      <w:rPr>
        <w:rFonts w:ascii="Wingdings" w:hAnsi="Wingdings" w:hint="default"/>
      </w:rPr>
    </w:lvl>
    <w:lvl w:ilvl="6" w:tplc="08090001" w:tentative="1">
      <w:start w:val="1"/>
      <w:numFmt w:val="bullet"/>
      <w:lvlText w:val=""/>
      <w:lvlJc w:val="left"/>
      <w:pPr>
        <w:ind w:left="6450" w:hanging="360"/>
      </w:pPr>
      <w:rPr>
        <w:rFonts w:ascii="Symbol" w:hAnsi="Symbol" w:hint="default"/>
      </w:rPr>
    </w:lvl>
    <w:lvl w:ilvl="7" w:tplc="08090003" w:tentative="1">
      <w:start w:val="1"/>
      <w:numFmt w:val="bullet"/>
      <w:lvlText w:val="o"/>
      <w:lvlJc w:val="left"/>
      <w:pPr>
        <w:ind w:left="7170" w:hanging="360"/>
      </w:pPr>
      <w:rPr>
        <w:rFonts w:ascii="Courier New" w:hAnsi="Courier New" w:cs="Courier New" w:hint="default"/>
      </w:rPr>
    </w:lvl>
    <w:lvl w:ilvl="8" w:tplc="08090005" w:tentative="1">
      <w:start w:val="1"/>
      <w:numFmt w:val="bullet"/>
      <w:lvlText w:val=""/>
      <w:lvlJc w:val="left"/>
      <w:pPr>
        <w:ind w:left="7890" w:hanging="360"/>
      </w:pPr>
      <w:rPr>
        <w:rFonts w:ascii="Wingdings" w:hAnsi="Wingdings" w:hint="default"/>
      </w:rPr>
    </w:lvl>
  </w:abstractNum>
  <w:abstractNum w:abstractNumId="23" w15:restartNumberingAfterBreak="0">
    <w:nsid w:val="45F32D76"/>
    <w:multiLevelType w:val="multilevel"/>
    <w:tmpl w:val="3C9E02F4"/>
    <w:styleLink w:val="OpmaakprofielMetopsommingstekensSymbolsymbool12ptLinks0cm"/>
    <w:lvl w:ilvl="0">
      <w:start w:val="1"/>
      <w:numFmt w:val="bullet"/>
      <w:lvlText w:val=""/>
      <w:lvlJc w:val="left"/>
      <w:pPr>
        <w:tabs>
          <w:tab w:val="num" w:pos="357"/>
        </w:tabs>
        <w:ind w:left="357" w:hanging="35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BD6B75"/>
    <w:multiLevelType w:val="hybridMultilevel"/>
    <w:tmpl w:val="C7B4F1CE"/>
    <w:lvl w:ilvl="0" w:tplc="08090001">
      <w:start w:val="1"/>
      <w:numFmt w:val="bullet"/>
      <w:lvlText w:val=""/>
      <w:lvlJc w:val="left"/>
      <w:pPr>
        <w:ind w:left="2062"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4AAC7DD5"/>
    <w:multiLevelType w:val="hybridMultilevel"/>
    <w:tmpl w:val="E1A4D0AC"/>
    <w:lvl w:ilvl="0" w:tplc="FFFFFFFF">
      <w:start w:val="1"/>
      <w:numFmt w:val="bullet"/>
      <w:pStyle w:val="Lijstopsomteken5"/>
      <w:lvlText w:val=""/>
      <w:lvlJc w:val="left"/>
      <w:pPr>
        <w:tabs>
          <w:tab w:val="num" w:pos="1786"/>
        </w:tabs>
        <w:ind w:left="1786" w:hanging="357"/>
      </w:pPr>
      <w:rPr>
        <w:rFonts w:ascii="Wingdings" w:hAnsi="Wingdings" w:hint="default"/>
        <w:sz w:val="28"/>
        <w:szCs w:val="28"/>
      </w:rPr>
    </w:lvl>
    <w:lvl w:ilvl="1" w:tplc="FFFFFFFF" w:tentative="1">
      <w:start w:val="1"/>
      <w:numFmt w:val="bullet"/>
      <w:lvlText w:val="o"/>
      <w:lvlJc w:val="left"/>
      <w:pPr>
        <w:tabs>
          <w:tab w:val="num" w:pos="2866"/>
        </w:tabs>
        <w:ind w:left="2866" w:hanging="360"/>
      </w:pPr>
      <w:rPr>
        <w:rFonts w:ascii="Courier New" w:hAnsi="Courier New" w:cs="Courier New" w:hint="default"/>
      </w:rPr>
    </w:lvl>
    <w:lvl w:ilvl="2" w:tplc="FFFFFFFF" w:tentative="1">
      <w:start w:val="1"/>
      <w:numFmt w:val="bullet"/>
      <w:lvlText w:val=""/>
      <w:lvlJc w:val="left"/>
      <w:pPr>
        <w:tabs>
          <w:tab w:val="num" w:pos="3586"/>
        </w:tabs>
        <w:ind w:left="3586" w:hanging="360"/>
      </w:pPr>
      <w:rPr>
        <w:rFonts w:ascii="Wingdings" w:hAnsi="Wingdings" w:hint="default"/>
      </w:rPr>
    </w:lvl>
    <w:lvl w:ilvl="3" w:tplc="FFFFFFFF" w:tentative="1">
      <w:start w:val="1"/>
      <w:numFmt w:val="bullet"/>
      <w:lvlText w:val=""/>
      <w:lvlJc w:val="left"/>
      <w:pPr>
        <w:tabs>
          <w:tab w:val="num" w:pos="4306"/>
        </w:tabs>
        <w:ind w:left="4306" w:hanging="360"/>
      </w:pPr>
      <w:rPr>
        <w:rFonts w:ascii="Symbol" w:hAnsi="Symbol" w:hint="default"/>
      </w:rPr>
    </w:lvl>
    <w:lvl w:ilvl="4" w:tplc="FFFFFFFF" w:tentative="1">
      <w:start w:val="1"/>
      <w:numFmt w:val="bullet"/>
      <w:lvlText w:val="o"/>
      <w:lvlJc w:val="left"/>
      <w:pPr>
        <w:tabs>
          <w:tab w:val="num" w:pos="5026"/>
        </w:tabs>
        <w:ind w:left="5026" w:hanging="360"/>
      </w:pPr>
      <w:rPr>
        <w:rFonts w:ascii="Courier New" w:hAnsi="Courier New" w:cs="Courier New" w:hint="default"/>
      </w:rPr>
    </w:lvl>
    <w:lvl w:ilvl="5" w:tplc="FFFFFFFF" w:tentative="1">
      <w:start w:val="1"/>
      <w:numFmt w:val="bullet"/>
      <w:lvlText w:val=""/>
      <w:lvlJc w:val="left"/>
      <w:pPr>
        <w:tabs>
          <w:tab w:val="num" w:pos="5746"/>
        </w:tabs>
        <w:ind w:left="5746" w:hanging="360"/>
      </w:pPr>
      <w:rPr>
        <w:rFonts w:ascii="Wingdings" w:hAnsi="Wingdings" w:hint="default"/>
      </w:rPr>
    </w:lvl>
    <w:lvl w:ilvl="6" w:tplc="FFFFFFFF" w:tentative="1">
      <w:start w:val="1"/>
      <w:numFmt w:val="bullet"/>
      <w:lvlText w:val=""/>
      <w:lvlJc w:val="left"/>
      <w:pPr>
        <w:tabs>
          <w:tab w:val="num" w:pos="6466"/>
        </w:tabs>
        <w:ind w:left="6466" w:hanging="360"/>
      </w:pPr>
      <w:rPr>
        <w:rFonts w:ascii="Symbol" w:hAnsi="Symbol" w:hint="default"/>
      </w:rPr>
    </w:lvl>
    <w:lvl w:ilvl="7" w:tplc="FFFFFFFF" w:tentative="1">
      <w:start w:val="1"/>
      <w:numFmt w:val="bullet"/>
      <w:lvlText w:val="o"/>
      <w:lvlJc w:val="left"/>
      <w:pPr>
        <w:tabs>
          <w:tab w:val="num" w:pos="7186"/>
        </w:tabs>
        <w:ind w:left="7186" w:hanging="360"/>
      </w:pPr>
      <w:rPr>
        <w:rFonts w:ascii="Courier New" w:hAnsi="Courier New" w:cs="Courier New" w:hint="default"/>
      </w:rPr>
    </w:lvl>
    <w:lvl w:ilvl="8" w:tplc="FFFFFFFF" w:tentative="1">
      <w:start w:val="1"/>
      <w:numFmt w:val="bullet"/>
      <w:lvlText w:val=""/>
      <w:lvlJc w:val="left"/>
      <w:pPr>
        <w:tabs>
          <w:tab w:val="num" w:pos="7906"/>
        </w:tabs>
        <w:ind w:left="7906" w:hanging="360"/>
      </w:pPr>
      <w:rPr>
        <w:rFonts w:ascii="Wingdings" w:hAnsi="Wingdings" w:hint="default"/>
      </w:rPr>
    </w:lvl>
  </w:abstractNum>
  <w:abstractNum w:abstractNumId="26" w15:restartNumberingAfterBreak="0">
    <w:nsid w:val="531768F3"/>
    <w:multiLevelType w:val="multilevel"/>
    <w:tmpl w:val="EE54CC76"/>
    <w:lvl w:ilvl="0">
      <w:start w:val="1"/>
      <w:numFmt w:val="bullet"/>
      <w:pStyle w:val="Lijstalinea"/>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7" w15:restartNumberingAfterBreak="0">
    <w:nsid w:val="53466FB3"/>
    <w:multiLevelType w:val="hybridMultilevel"/>
    <w:tmpl w:val="ED0EB3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6342FFB"/>
    <w:multiLevelType w:val="hybridMultilevel"/>
    <w:tmpl w:val="BC3830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94D7823"/>
    <w:multiLevelType w:val="hybridMultilevel"/>
    <w:tmpl w:val="AD16CD5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0" w15:restartNumberingAfterBreak="0">
    <w:nsid w:val="6AD70F1D"/>
    <w:multiLevelType w:val="multilevel"/>
    <w:tmpl w:val="C86A2FAE"/>
    <w:styleLink w:val="Opsommingstekens-meerdereniveaus"/>
    <w:lvl w:ilvl="0">
      <w:start w:val="1"/>
      <w:numFmt w:val="bullet"/>
      <w:lvlText w:val=""/>
      <w:lvlJc w:val="left"/>
      <w:pPr>
        <w:tabs>
          <w:tab w:val="num" w:pos="357"/>
        </w:tabs>
        <w:ind w:left="357" w:hanging="357"/>
      </w:pPr>
      <w:rPr>
        <w:rFonts w:ascii="Symbol" w:hAnsi="Symbol" w:hint="default"/>
        <w:color w:val="auto"/>
        <w:position w:val="-2"/>
        <w:sz w:val="24"/>
        <w:szCs w:val="24"/>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Symbol" w:hAnsi="Symbol"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
      <w:lvlJc w:val="left"/>
      <w:pPr>
        <w:tabs>
          <w:tab w:val="num" w:pos="1786"/>
        </w:tabs>
        <w:ind w:left="1786" w:hanging="357"/>
      </w:pPr>
      <w:rPr>
        <w:rFonts w:ascii="Wingdings" w:hAnsi="Wingdings" w:hint="default"/>
        <w:position w:val="-4"/>
        <w:sz w:val="28"/>
        <w:szCs w:val="28"/>
      </w:rPr>
    </w:lvl>
    <w:lvl w:ilvl="5">
      <w:start w:val="1"/>
      <w:numFmt w:val="bullet"/>
      <w:lvlText w:val=""/>
      <w:lvlJc w:val="left"/>
      <w:pPr>
        <w:tabs>
          <w:tab w:val="num" w:pos="2143"/>
        </w:tabs>
        <w:ind w:left="2143" w:hanging="357"/>
      </w:pPr>
      <w:rPr>
        <w:rFonts w:ascii="Wingdings" w:hAnsi="Wingdings" w:hint="default"/>
        <w:position w:val="-4"/>
        <w:sz w:val="30"/>
        <w:szCs w:val="30"/>
      </w:rPr>
    </w:lvl>
    <w:lvl w:ilvl="6">
      <w:start w:val="1"/>
      <w:numFmt w:val="bullet"/>
      <w:lvlText w:val=""/>
      <w:lvlJc w:val="left"/>
      <w:pPr>
        <w:tabs>
          <w:tab w:val="num" w:pos="2500"/>
        </w:tabs>
        <w:ind w:left="2500" w:hanging="357"/>
      </w:pPr>
      <w:rPr>
        <w:rFonts w:ascii="Symbol" w:hAnsi="Symbol" w:hint="default"/>
        <w:sz w:val="22"/>
      </w:rPr>
    </w:lvl>
    <w:lvl w:ilvl="7">
      <w:start w:val="1"/>
      <w:numFmt w:val="bullet"/>
      <w:lvlText w:val="o"/>
      <w:lvlJc w:val="left"/>
      <w:pPr>
        <w:tabs>
          <w:tab w:val="num" w:pos="2858"/>
        </w:tabs>
        <w:ind w:left="2858" w:hanging="358"/>
      </w:pPr>
      <w:rPr>
        <w:rFonts w:ascii="Courier New" w:hAnsi="Courier New" w:hint="default"/>
        <w:sz w:val="18"/>
        <w:szCs w:val="18"/>
      </w:rPr>
    </w:lvl>
    <w:lvl w:ilvl="8">
      <w:start w:val="1"/>
      <w:numFmt w:val="bullet"/>
      <w:lvlText w:val=""/>
      <w:lvlJc w:val="left"/>
      <w:pPr>
        <w:tabs>
          <w:tab w:val="num" w:pos="3215"/>
        </w:tabs>
        <w:ind w:left="3215" w:hanging="357"/>
      </w:pPr>
      <w:rPr>
        <w:rFonts w:ascii="Symbol" w:hAnsi="Symbol" w:hint="default"/>
        <w:sz w:val="20"/>
      </w:rPr>
    </w:lvl>
  </w:abstractNum>
  <w:abstractNum w:abstractNumId="31" w15:restartNumberingAfterBreak="0">
    <w:nsid w:val="6B0F5F86"/>
    <w:multiLevelType w:val="hybridMultilevel"/>
    <w:tmpl w:val="DA7EBE3A"/>
    <w:lvl w:ilvl="0" w:tplc="08130001">
      <w:start w:val="1"/>
      <w:numFmt w:val="bullet"/>
      <w:lvlText w:val=""/>
      <w:lvlJc w:val="left"/>
      <w:pPr>
        <w:ind w:left="1571" w:hanging="360"/>
      </w:pPr>
      <w:rPr>
        <w:rFonts w:ascii="Symbol" w:hAnsi="Symbol" w:hint="default"/>
      </w:rPr>
    </w:lvl>
    <w:lvl w:ilvl="1" w:tplc="08130003">
      <w:start w:val="1"/>
      <w:numFmt w:val="bullet"/>
      <w:lvlText w:val="o"/>
      <w:lvlJc w:val="left"/>
      <w:pPr>
        <w:ind w:left="2291" w:hanging="360"/>
      </w:pPr>
      <w:rPr>
        <w:rFonts w:ascii="Courier New" w:hAnsi="Courier New" w:cs="Courier New" w:hint="default"/>
      </w:rPr>
    </w:lvl>
    <w:lvl w:ilvl="2" w:tplc="08130005" w:tentative="1">
      <w:start w:val="1"/>
      <w:numFmt w:val="bullet"/>
      <w:lvlText w:val=""/>
      <w:lvlJc w:val="left"/>
      <w:pPr>
        <w:ind w:left="3011" w:hanging="360"/>
      </w:pPr>
      <w:rPr>
        <w:rFonts w:ascii="Wingdings" w:hAnsi="Wingdings" w:hint="default"/>
      </w:rPr>
    </w:lvl>
    <w:lvl w:ilvl="3" w:tplc="08130001" w:tentative="1">
      <w:start w:val="1"/>
      <w:numFmt w:val="bullet"/>
      <w:lvlText w:val=""/>
      <w:lvlJc w:val="left"/>
      <w:pPr>
        <w:ind w:left="3731" w:hanging="360"/>
      </w:pPr>
      <w:rPr>
        <w:rFonts w:ascii="Symbol" w:hAnsi="Symbol" w:hint="default"/>
      </w:rPr>
    </w:lvl>
    <w:lvl w:ilvl="4" w:tplc="08130003" w:tentative="1">
      <w:start w:val="1"/>
      <w:numFmt w:val="bullet"/>
      <w:lvlText w:val="o"/>
      <w:lvlJc w:val="left"/>
      <w:pPr>
        <w:ind w:left="4451" w:hanging="360"/>
      </w:pPr>
      <w:rPr>
        <w:rFonts w:ascii="Courier New" w:hAnsi="Courier New" w:cs="Courier New" w:hint="default"/>
      </w:rPr>
    </w:lvl>
    <w:lvl w:ilvl="5" w:tplc="08130005" w:tentative="1">
      <w:start w:val="1"/>
      <w:numFmt w:val="bullet"/>
      <w:lvlText w:val=""/>
      <w:lvlJc w:val="left"/>
      <w:pPr>
        <w:ind w:left="5171" w:hanging="360"/>
      </w:pPr>
      <w:rPr>
        <w:rFonts w:ascii="Wingdings" w:hAnsi="Wingdings" w:hint="default"/>
      </w:rPr>
    </w:lvl>
    <w:lvl w:ilvl="6" w:tplc="08130001" w:tentative="1">
      <w:start w:val="1"/>
      <w:numFmt w:val="bullet"/>
      <w:lvlText w:val=""/>
      <w:lvlJc w:val="left"/>
      <w:pPr>
        <w:ind w:left="5891" w:hanging="360"/>
      </w:pPr>
      <w:rPr>
        <w:rFonts w:ascii="Symbol" w:hAnsi="Symbol" w:hint="default"/>
      </w:rPr>
    </w:lvl>
    <w:lvl w:ilvl="7" w:tplc="08130003" w:tentative="1">
      <w:start w:val="1"/>
      <w:numFmt w:val="bullet"/>
      <w:lvlText w:val="o"/>
      <w:lvlJc w:val="left"/>
      <w:pPr>
        <w:ind w:left="6611" w:hanging="360"/>
      </w:pPr>
      <w:rPr>
        <w:rFonts w:ascii="Courier New" w:hAnsi="Courier New" w:cs="Courier New" w:hint="default"/>
      </w:rPr>
    </w:lvl>
    <w:lvl w:ilvl="8" w:tplc="08130005" w:tentative="1">
      <w:start w:val="1"/>
      <w:numFmt w:val="bullet"/>
      <w:lvlText w:val=""/>
      <w:lvlJc w:val="left"/>
      <w:pPr>
        <w:ind w:left="7331" w:hanging="360"/>
      </w:pPr>
      <w:rPr>
        <w:rFonts w:ascii="Wingdings" w:hAnsi="Wingdings" w:hint="default"/>
      </w:rPr>
    </w:lvl>
  </w:abstractNum>
  <w:abstractNum w:abstractNumId="32" w15:restartNumberingAfterBreak="0">
    <w:nsid w:val="6C0A04AF"/>
    <w:multiLevelType w:val="hybridMultilevel"/>
    <w:tmpl w:val="4074078E"/>
    <w:lvl w:ilvl="0" w:tplc="08090001">
      <w:start w:val="1"/>
      <w:numFmt w:val="bullet"/>
      <w:lvlText w:val=""/>
      <w:lvlJc w:val="left"/>
      <w:pPr>
        <w:ind w:left="1571" w:hanging="360"/>
      </w:pPr>
      <w:rPr>
        <w:rFonts w:ascii="Symbol" w:hAnsi="Symbol" w:hint="default"/>
      </w:rPr>
    </w:lvl>
    <w:lvl w:ilvl="1" w:tplc="2A520360">
      <w:numFmt w:val="bullet"/>
      <w:lvlText w:val="•"/>
      <w:lvlJc w:val="left"/>
      <w:pPr>
        <w:ind w:left="2486" w:hanging="555"/>
      </w:pPr>
      <w:rPr>
        <w:rFonts w:ascii="Calibri" w:eastAsia="Times New Roman" w:hAnsi="Calibri" w:cs="Times New Roman"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3" w15:restartNumberingAfterBreak="0">
    <w:nsid w:val="7C245573"/>
    <w:multiLevelType w:val="hybridMultilevel"/>
    <w:tmpl w:val="E2C2EC64"/>
    <w:lvl w:ilvl="0" w:tplc="3B245212">
      <w:numFmt w:val="bullet"/>
      <w:lvlText w:val="-"/>
      <w:lvlJc w:val="left"/>
      <w:pPr>
        <w:ind w:left="1211" w:hanging="360"/>
      </w:pPr>
      <w:rPr>
        <w:rFonts w:ascii="Tahoma" w:eastAsia="Times New Roman" w:hAnsi="Tahoma" w:cs="Tahoma"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4" w15:restartNumberingAfterBreak="0">
    <w:nsid w:val="7DCD68D3"/>
    <w:multiLevelType w:val="hybridMultilevel"/>
    <w:tmpl w:val="B0CC08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F3B54B7"/>
    <w:multiLevelType w:val="hybridMultilevel"/>
    <w:tmpl w:val="5E66E4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5"/>
  </w:num>
  <w:num w:numId="6">
    <w:abstractNumId w:val="17"/>
  </w:num>
  <w:num w:numId="7">
    <w:abstractNumId w:val="21"/>
  </w:num>
  <w:num w:numId="8">
    <w:abstractNumId w:val="23"/>
  </w:num>
  <w:num w:numId="9">
    <w:abstractNumId w:val="30"/>
  </w:num>
  <w:num w:numId="10">
    <w:abstractNumId w:val="12"/>
  </w:num>
  <w:num w:numId="11">
    <w:abstractNumId w:val="7"/>
  </w:num>
  <w:num w:numId="12">
    <w:abstractNumId w:val="24"/>
  </w:num>
  <w:num w:numId="13">
    <w:abstractNumId w:val="0"/>
  </w:num>
  <w:num w:numId="14">
    <w:abstractNumId w:val="22"/>
  </w:num>
  <w:num w:numId="15">
    <w:abstractNumId w:val="32"/>
  </w:num>
  <w:num w:numId="16">
    <w:abstractNumId w:val="18"/>
  </w:num>
  <w:num w:numId="17">
    <w:abstractNumId w:val="14"/>
  </w:num>
  <w:num w:numId="18">
    <w:abstractNumId w:val="29"/>
  </w:num>
  <w:num w:numId="19">
    <w:abstractNumId w:val="10"/>
  </w:num>
  <w:num w:numId="20">
    <w:abstractNumId w:val="20"/>
  </w:num>
  <w:num w:numId="21">
    <w:abstractNumId w:val="1"/>
  </w:num>
  <w:num w:numId="22">
    <w:abstractNumId w:val="33"/>
  </w:num>
  <w:num w:numId="23">
    <w:abstractNumId w:val="8"/>
  </w:num>
  <w:num w:numId="24">
    <w:abstractNumId w:val="5"/>
  </w:num>
  <w:num w:numId="25">
    <w:abstractNumId w:val="16"/>
  </w:num>
  <w:num w:numId="26">
    <w:abstractNumId w:val="31"/>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3"/>
  </w:num>
  <w:num w:numId="30">
    <w:abstractNumId w:val="28"/>
  </w:num>
  <w:num w:numId="31">
    <w:abstractNumId w:val="19"/>
  </w:num>
  <w:num w:numId="32">
    <w:abstractNumId w:val="6"/>
  </w:num>
  <w:num w:numId="33">
    <w:abstractNumId w:val="15"/>
  </w:num>
  <w:num w:numId="34">
    <w:abstractNumId w:val="4"/>
  </w:num>
  <w:num w:numId="35">
    <w:abstractNumId w:val="9"/>
  </w:num>
  <w:num w:numId="36">
    <w:abstractNumId w:val="13"/>
  </w:num>
  <w:num w:numId="37">
    <w:abstractNumId w:val="35"/>
  </w:num>
  <w:num w:numId="38">
    <w:abstractNumId w:val="2"/>
  </w:num>
  <w:num w:numId="39">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284"/>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7E5"/>
    <w:rsid w:val="00000B29"/>
    <w:rsid w:val="00000C8C"/>
    <w:rsid w:val="00002131"/>
    <w:rsid w:val="00002216"/>
    <w:rsid w:val="00002BC9"/>
    <w:rsid w:val="00003DE6"/>
    <w:rsid w:val="0000516A"/>
    <w:rsid w:val="00005392"/>
    <w:rsid w:val="00007486"/>
    <w:rsid w:val="00007B08"/>
    <w:rsid w:val="00012C80"/>
    <w:rsid w:val="000139BD"/>
    <w:rsid w:val="00015D62"/>
    <w:rsid w:val="00016CBD"/>
    <w:rsid w:val="00016F3F"/>
    <w:rsid w:val="00017CC0"/>
    <w:rsid w:val="00022B5F"/>
    <w:rsid w:val="00022E86"/>
    <w:rsid w:val="00025280"/>
    <w:rsid w:val="00025721"/>
    <w:rsid w:val="0002643C"/>
    <w:rsid w:val="000307B3"/>
    <w:rsid w:val="00032494"/>
    <w:rsid w:val="00032FAA"/>
    <w:rsid w:val="00034B4E"/>
    <w:rsid w:val="00034D0D"/>
    <w:rsid w:val="00034E73"/>
    <w:rsid w:val="00036660"/>
    <w:rsid w:val="00041558"/>
    <w:rsid w:val="00041789"/>
    <w:rsid w:val="0004236D"/>
    <w:rsid w:val="00042426"/>
    <w:rsid w:val="00042637"/>
    <w:rsid w:val="000435BE"/>
    <w:rsid w:val="00043C71"/>
    <w:rsid w:val="00043E79"/>
    <w:rsid w:val="000448CF"/>
    <w:rsid w:val="00044E7A"/>
    <w:rsid w:val="00046213"/>
    <w:rsid w:val="00052889"/>
    <w:rsid w:val="00052ECD"/>
    <w:rsid w:val="00055FA8"/>
    <w:rsid w:val="0005622A"/>
    <w:rsid w:val="0006028A"/>
    <w:rsid w:val="0006031F"/>
    <w:rsid w:val="000623D8"/>
    <w:rsid w:val="00064E12"/>
    <w:rsid w:val="0006721C"/>
    <w:rsid w:val="0006738F"/>
    <w:rsid w:val="00067658"/>
    <w:rsid w:val="00067E0A"/>
    <w:rsid w:val="0007148E"/>
    <w:rsid w:val="00071A6A"/>
    <w:rsid w:val="000720CB"/>
    <w:rsid w:val="000753B0"/>
    <w:rsid w:val="000753E8"/>
    <w:rsid w:val="000759C1"/>
    <w:rsid w:val="000767C2"/>
    <w:rsid w:val="00077CDA"/>
    <w:rsid w:val="00077DD3"/>
    <w:rsid w:val="00077F70"/>
    <w:rsid w:val="000804A3"/>
    <w:rsid w:val="00080601"/>
    <w:rsid w:val="0008089C"/>
    <w:rsid w:val="000813FF"/>
    <w:rsid w:val="00081DD5"/>
    <w:rsid w:val="000839A6"/>
    <w:rsid w:val="00083F17"/>
    <w:rsid w:val="000844A7"/>
    <w:rsid w:val="00084677"/>
    <w:rsid w:val="000848CF"/>
    <w:rsid w:val="000863E6"/>
    <w:rsid w:val="00086C4B"/>
    <w:rsid w:val="00090676"/>
    <w:rsid w:val="00092215"/>
    <w:rsid w:val="00092295"/>
    <w:rsid w:val="000926E4"/>
    <w:rsid w:val="0009694E"/>
    <w:rsid w:val="00097534"/>
    <w:rsid w:val="000A0313"/>
    <w:rsid w:val="000A1130"/>
    <w:rsid w:val="000A23A4"/>
    <w:rsid w:val="000A2C14"/>
    <w:rsid w:val="000A3893"/>
    <w:rsid w:val="000A3BC6"/>
    <w:rsid w:val="000A3F06"/>
    <w:rsid w:val="000A5A59"/>
    <w:rsid w:val="000A5CD6"/>
    <w:rsid w:val="000B0040"/>
    <w:rsid w:val="000B0720"/>
    <w:rsid w:val="000B1D89"/>
    <w:rsid w:val="000B1E1D"/>
    <w:rsid w:val="000B300A"/>
    <w:rsid w:val="000B45A5"/>
    <w:rsid w:val="000B588A"/>
    <w:rsid w:val="000C0289"/>
    <w:rsid w:val="000C0664"/>
    <w:rsid w:val="000C0CAF"/>
    <w:rsid w:val="000C182E"/>
    <w:rsid w:val="000C18B9"/>
    <w:rsid w:val="000C20F6"/>
    <w:rsid w:val="000C2603"/>
    <w:rsid w:val="000C29B6"/>
    <w:rsid w:val="000C5FBB"/>
    <w:rsid w:val="000C6EE3"/>
    <w:rsid w:val="000C7213"/>
    <w:rsid w:val="000C7FA0"/>
    <w:rsid w:val="000D0F8E"/>
    <w:rsid w:val="000D12C9"/>
    <w:rsid w:val="000D16D1"/>
    <w:rsid w:val="000D1CD5"/>
    <w:rsid w:val="000D468A"/>
    <w:rsid w:val="000D4756"/>
    <w:rsid w:val="000D47E5"/>
    <w:rsid w:val="000D5BFB"/>
    <w:rsid w:val="000E0399"/>
    <w:rsid w:val="000E1098"/>
    <w:rsid w:val="000E12A1"/>
    <w:rsid w:val="000E39B4"/>
    <w:rsid w:val="000E478A"/>
    <w:rsid w:val="000E5168"/>
    <w:rsid w:val="000E5C41"/>
    <w:rsid w:val="000E7C18"/>
    <w:rsid w:val="000F2541"/>
    <w:rsid w:val="000F366F"/>
    <w:rsid w:val="000F40B8"/>
    <w:rsid w:val="000F442C"/>
    <w:rsid w:val="000F5B50"/>
    <w:rsid w:val="000F64AE"/>
    <w:rsid w:val="0010292C"/>
    <w:rsid w:val="00103CF1"/>
    <w:rsid w:val="0010444A"/>
    <w:rsid w:val="00105B19"/>
    <w:rsid w:val="001076B9"/>
    <w:rsid w:val="00107788"/>
    <w:rsid w:val="001079F3"/>
    <w:rsid w:val="00111181"/>
    <w:rsid w:val="00113D10"/>
    <w:rsid w:val="00113DEE"/>
    <w:rsid w:val="001148DE"/>
    <w:rsid w:val="0011540F"/>
    <w:rsid w:val="001170F4"/>
    <w:rsid w:val="0012305C"/>
    <w:rsid w:val="00123CA8"/>
    <w:rsid w:val="00124B59"/>
    <w:rsid w:val="00125B92"/>
    <w:rsid w:val="00126780"/>
    <w:rsid w:val="0012689B"/>
    <w:rsid w:val="00127270"/>
    <w:rsid w:val="00130C9F"/>
    <w:rsid w:val="001338B9"/>
    <w:rsid w:val="00134894"/>
    <w:rsid w:val="001355A3"/>
    <w:rsid w:val="00140005"/>
    <w:rsid w:val="00140B93"/>
    <w:rsid w:val="00141820"/>
    <w:rsid w:val="001419AF"/>
    <w:rsid w:val="0014269D"/>
    <w:rsid w:val="00143B90"/>
    <w:rsid w:val="001440FB"/>
    <w:rsid w:val="0014471C"/>
    <w:rsid w:val="001466BD"/>
    <w:rsid w:val="001537E3"/>
    <w:rsid w:val="00154303"/>
    <w:rsid w:val="00155216"/>
    <w:rsid w:val="001552D9"/>
    <w:rsid w:val="00157C0F"/>
    <w:rsid w:val="00157FC0"/>
    <w:rsid w:val="0016082E"/>
    <w:rsid w:val="001615B0"/>
    <w:rsid w:val="00161817"/>
    <w:rsid w:val="00161A54"/>
    <w:rsid w:val="0016235B"/>
    <w:rsid w:val="00162513"/>
    <w:rsid w:val="001627B8"/>
    <w:rsid w:val="001628C2"/>
    <w:rsid w:val="00165CDE"/>
    <w:rsid w:val="001667D1"/>
    <w:rsid w:val="00167707"/>
    <w:rsid w:val="00167FC1"/>
    <w:rsid w:val="00170E0D"/>
    <w:rsid w:val="00172243"/>
    <w:rsid w:val="0017381A"/>
    <w:rsid w:val="00176011"/>
    <w:rsid w:val="001763F6"/>
    <w:rsid w:val="00176CF7"/>
    <w:rsid w:val="00177887"/>
    <w:rsid w:val="00181795"/>
    <w:rsid w:val="00181A44"/>
    <w:rsid w:val="00181DCA"/>
    <w:rsid w:val="00181E1C"/>
    <w:rsid w:val="00182E3D"/>
    <w:rsid w:val="00184981"/>
    <w:rsid w:val="001864C7"/>
    <w:rsid w:val="0018712C"/>
    <w:rsid w:val="00190215"/>
    <w:rsid w:val="00190F7F"/>
    <w:rsid w:val="00192655"/>
    <w:rsid w:val="00195584"/>
    <w:rsid w:val="001960FE"/>
    <w:rsid w:val="00196852"/>
    <w:rsid w:val="00196FD3"/>
    <w:rsid w:val="00197DF0"/>
    <w:rsid w:val="001A0268"/>
    <w:rsid w:val="001A0667"/>
    <w:rsid w:val="001A1136"/>
    <w:rsid w:val="001A11A7"/>
    <w:rsid w:val="001A2DA5"/>
    <w:rsid w:val="001A30C5"/>
    <w:rsid w:val="001A650E"/>
    <w:rsid w:val="001A6AFF"/>
    <w:rsid w:val="001B07E9"/>
    <w:rsid w:val="001B2494"/>
    <w:rsid w:val="001B276B"/>
    <w:rsid w:val="001B354F"/>
    <w:rsid w:val="001B3B65"/>
    <w:rsid w:val="001B4306"/>
    <w:rsid w:val="001B4CA5"/>
    <w:rsid w:val="001C113A"/>
    <w:rsid w:val="001C30ED"/>
    <w:rsid w:val="001C47A5"/>
    <w:rsid w:val="001C4C27"/>
    <w:rsid w:val="001C6AE4"/>
    <w:rsid w:val="001C7E97"/>
    <w:rsid w:val="001D0125"/>
    <w:rsid w:val="001D11B2"/>
    <w:rsid w:val="001D5499"/>
    <w:rsid w:val="001D5AD6"/>
    <w:rsid w:val="001D67EB"/>
    <w:rsid w:val="001D7CB5"/>
    <w:rsid w:val="001D7DD1"/>
    <w:rsid w:val="001E0570"/>
    <w:rsid w:val="001E0901"/>
    <w:rsid w:val="001E0E70"/>
    <w:rsid w:val="001E2500"/>
    <w:rsid w:val="001E2738"/>
    <w:rsid w:val="001E2CEB"/>
    <w:rsid w:val="001E308C"/>
    <w:rsid w:val="001E3110"/>
    <w:rsid w:val="001E38B3"/>
    <w:rsid w:val="001E5ECF"/>
    <w:rsid w:val="001E6E76"/>
    <w:rsid w:val="001E6EB9"/>
    <w:rsid w:val="001E764A"/>
    <w:rsid w:val="001E7CC0"/>
    <w:rsid w:val="001E7D67"/>
    <w:rsid w:val="001E7F46"/>
    <w:rsid w:val="001F1C4C"/>
    <w:rsid w:val="001F2195"/>
    <w:rsid w:val="001F238C"/>
    <w:rsid w:val="001F3C86"/>
    <w:rsid w:val="001F4870"/>
    <w:rsid w:val="001F4CC5"/>
    <w:rsid w:val="001F7290"/>
    <w:rsid w:val="002028CE"/>
    <w:rsid w:val="00202A57"/>
    <w:rsid w:val="0020425B"/>
    <w:rsid w:val="0020429F"/>
    <w:rsid w:val="00204B0A"/>
    <w:rsid w:val="00204DEB"/>
    <w:rsid w:val="0020661D"/>
    <w:rsid w:val="00206FD7"/>
    <w:rsid w:val="00207B06"/>
    <w:rsid w:val="00207DCF"/>
    <w:rsid w:val="00210267"/>
    <w:rsid w:val="00210CA1"/>
    <w:rsid w:val="00213F1E"/>
    <w:rsid w:val="00214700"/>
    <w:rsid w:val="002158A6"/>
    <w:rsid w:val="00217E5C"/>
    <w:rsid w:val="00221AE2"/>
    <w:rsid w:val="00223498"/>
    <w:rsid w:val="00223500"/>
    <w:rsid w:val="00223E57"/>
    <w:rsid w:val="00224193"/>
    <w:rsid w:val="002244CC"/>
    <w:rsid w:val="0022519A"/>
    <w:rsid w:val="0022573E"/>
    <w:rsid w:val="002259E8"/>
    <w:rsid w:val="0023021D"/>
    <w:rsid w:val="002306C7"/>
    <w:rsid w:val="00231D85"/>
    <w:rsid w:val="0023203F"/>
    <w:rsid w:val="00233045"/>
    <w:rsid w:val="002331B6"/>
    <w:rsid w:val="00233CEF"/>
    <w:rsid w:val="00236C4E"/>
    <w:rsid w:val="002370AD"/>
    <w:rsid w:val="00240790"/>
    <w:rsid w:val="002413FD"/>
    <w:rsid w:val="002416BD"/>
    <w:rsid w:val="00241A9F"/>
    <w:rsid w:val="00241EFB"/>
    <w:rsid w:val="00242CA5"/>
    <w:rsid w:val="00244DA8"/>
    <w:rsid w:val="002452E9"/>
    <w:rsid w:val="0024607B"/>
    <w:rsid w:val="00246ABF"/>
    <w:rsid w:val="00246C17"/>
    <w:rsid w:val="00247085"/>
    <w:rsid w:val="002502D1"/>
    <w:rsid w:val="0025382C"/>
    <w:rsid w:val="00253ADB"/>
    <w:rsid w:val="0025523B"/>
    <w:rsid w:val="002564BC"/>
    <w:rsid w:val="0025708C"/>
    <w:rsid w:val="00257F64"/>
    <w:rsid w:val="00260227"/>
    <w:rsid w:val="00260D8F"/>
    <w:rsid w:val="00261803"/>
    <w:rsid w:val="00261B15"/>
    <w:rsid w:val="0026383F"/>
    <w:rsid w:val="00264073"/>
    <w:rsid w:val="00264936"/>
    <w:rsid w:val="00265FE7"/>
    <w:rsid w:val="00272C73"/>
    <w:rsid w:val="00276322"/>
    <w:rsid w:val="00276FCF"/>
    <w:rsid w:val="00276FD6"/>
    <w:rsid w:val="00281BC2"/>
    <w:rsid w:val="0028486A"/>
    <w:rsid w:val="00284B8D"/>
    <w:rsid w:val="0028640C"/>
    <w:rsid w:val="00286DD0"/>
    <w:rsid w:val="00287C83"/>
    <w:rsid w:val="00290D2F"/>
    <w:rsid w:val="00291080"/>
    <w:rsid w:val="00291207"/>
    <w:rsid w:val="0029545D"/>
    <w:rsid w:val="002956A8"/>
    <w:rsid w:val="00297715"/>
    <w:rsid w:val="00297A2F"/>
    <w:rsid w:val="00297BEA"/>
    <w:rsid w:val="00297D77"/>
    <w:rsid w:val="002A1AC5"/>
    <w:rsid w:val="002A2637"/>
    <w:rsid w:val="002A2834"/>
    <w:rsid w:val="002A35A4"/>
    <w:rsid w:val="002A3B1E"/>
    <w:rsid w:val="002A45D9"/>
    <w:rsid w:val="002A6269"/>
    <w:rsid w:val="002A6C46"/>
    <w:rsid w:val="002A7DFF"/>
    <w:rsid w:val="002B0E3E"/>
    <w:rsid w:val="002B1672"/>
    <w:rsid w:val="002B167D"/>
    <w:rsid w:val="002B2045"/>
    <w:rsid w:val="002B410B"/>
    <w:rsid w:val="002B4703"/>
    <w:rsid w:val="002B4E7B"/>
    <w:rsid w:val="002B5073"/>
    <w:rsid w:val="002B5C1C"/>
    <w:rsid w:val="002B6771"/>
    <w:rsid w:val="002C0642"/>
    <w:rsid w:val="002C064F"/>
    <w:rsid w:val="002C3348"/>
    <w:rsid w:val="002C4860"/>
    <w:rsid w:val="002C73B0"/>
    <w:rsid w:val="002C7F38"/>
    <w:rsid w:val="002D1D15"/>
    <w:rsid w:val="002D3DC3"/>
    <w:rsid w:val="002D5A49"/>
    <w:rsid w:val="002E0576"/>
    <w:rsid w:val="002E0684"/>
    <w:rsid w:val="002E1F61"/>
    <w:rsid w:val="002E31AA"/>
    <w:rsid w:val="002E4D03"/>
    <w:rsid w:val="002E5986"/>
    <w:rsid w:val="002E64F8"/>
    <w:rsid w:val="002E6B16"/>
    <w:rsid w:val="002F04B0"/>
    <w:rsid w:val="002F141A"/>
    <w:rsid w:val="002F36DA"/>
    <w:rsid w:val="002F5B40"/>
    <w:rsid w:val="002F7AA5"/>
    <w:rsid w:val="002F7DD1"/>
    <w:rsid w:val="003008C7"/>
    <w:rsid w:val="003009FE"/>
    <w:rsid w:val="0030418E"/>
    <w:rsid w:val="00304606"/>
    <w:rsid w:val="003048A2"/>
    <w:rsid w:val="003061A0"/>
    <w:rsid w:val="00306A35"/>
    <w:rsid w:val="00307941"/>
    <w:rsid w:val="0031237A"/>
    <w:rsid w:val="00313463"/>
    <w:rsid w:val="003145C5"/>
    <w:rsid w:val="003154E2"/>
    <w:rsid w:val="00316E63"/>
    <w:rsid w:val="00320C92"/>
    <w:rsid w:val="003211D2"/>
    <w:rsid w:val="00322295"/>
    <w:rsid w:val="003226BC"/>
    <w:rsid w:val="0032492E"/>
    <w:rsid w:val="0032619E"/>
    <w:rsid w:val="003344BD"/>
    <w:rsid w:val="00334755"/>
    <w:rsid w:val="00334954"/>
    <w:rsid w:val="003350BD"/>
    <w:rsid w:val="00335B70"/>
    <w:rsid w:val="003374D3"/>
    <w:rsid w:val="00337FC0"/>
    <w:rsid w:val="00340394"/>
    <w:rsid w:val="00340EBB"/>
    <w:rsid w:val="0034188C"/>
    <w:rsid w:val="00344842"/>
    <w:rsid w:val="0034729F"/>
    <w:rsid w:val="003505D7"/>
    <w:rsid w:val="003510F5"/>
    <w:rsid w:val="003518D6"/>
    <w:rsid w:val="00352344"/>
    <w:rsid w:val="0035287A"/>
    <w:rsid w:val="00353D96"/>
    <w:rsid w:val="00356069"/>
    <w:rsid w:val="00356A1C"/>
    <w:rsid w:val="00356BC9"/>
    <w:rsid w:val="003572DE"/>
    <w:rsid w:val="003579B7"/>
    <w:rsid w:val="003601B7"/>
    <w:rsid w:val="003624F9"/>
    <w:rsid w:val="00363DCE"/>
    <w:rsid w:val="00365E9E"/>
    <w:rsid w:val="00366330"/>
    <w:rsid w:val="003704E0"/>
    <w:rsid w:val="00370DB2"/>
    <w:rsid w:val="00372376"/>
    <w:rsid w:val="00372C5A"/>
    <w:rsid w:val="00373346"/>
    <w:rsid w:val="00373F10"/>
    <w:rsid w:val="00374AB3"/>
    <w:rsid w:val="00380A1A"/>
    <w:rsid w:val="00380C0C"/>
    <w:rsid w:val="00384D03"/>
    <w:rsid w:val="0038573C"/>
    <w:rsid w:val="00385A78"/>
    <w:rsid w:val="00385F1F"/>
    <w:rsid w:val="00386C0C"/>
    <w:rsid w:val="003871F6"/>
    <w:rsid w:val="00390EA2"/>
    <w:rsid w:val="0039101F"/>
    <w:rsid w:val="00391524"/>
    <w:rsid w:val="00391875"/>
    <w:rsid w:val="0039748A"/>
    <w:rsid w:val="0039749A"/>
    <w:rsid w:val="003A19EF"/>
    <w:rsid w:val="003A204E"/>
    <w:rsid w:val="003A387B"/>
    <w:rsid w:val="003B0790"/>
    <w:rsid w:val="003B0A50"/>
    <w:rsid w:val="003B22C3"/>
    <w:rsid w:val="003B3632"/>
    <w:rsid w:val="003B443B"/>
    <w:rsid w:val="003B5505"/>
    <w:rsid w:val="003B5B3A"/>
    <w:rsid w:val="003B5DC1"/>
    <w:rsid w:val="003B6FDD"/>
    <w:rsid w:val="003C144F"/>
    <w:rsid w:val="003C2620"/>
    <w:rsid w:val="003C3A84"/>
    <w:rsid w:val="003C3DE4"/>
    <w:rsid w:val="003C6903"/>
    <w:rsid w:val="003D03BA"/>
    <w:rsid w:val="003D1037"/>
    <w:rsid w:val="003D3E75"/>
    <w:rsid w:val="003D7507"/>
    <w:rsid w:val="003E154E"/>
    <w:rsid w:val="003E2634"/>
    <w:rsid w:val="003E2781"/>
    <w:rsid w:val="003E2ECA"/>
    <w:rsid w:val="003F2DBA"/>
    <w:rsid w:val="003F4973"/>
    <w:rsid w:val="003F514D"/>
    <w:rsid w:val="003F686B"/>
    <w:rsid w:val="003F6F06"/>
    <w:rsid w:val="00402FA9"/>
    <w:rsid w:val="004036DA"/>
    <w:rsid w:val="00403930"/>
    <w:rsid w:val="004047B5"/>
    <w:rsid w:val="00405926"/>
    <w:rsid w:val="00407A41"/>
    <w:rsid w:val="00407C08"/>
    <w:rsid w:val="00413204"/>
    <w:rsid w:val="00413424"/>
    <w:rsid w:val="00415717"/>
    <w:rsid w:val="00415858"/>
    <w:rsid w:val="00415B5C"/>
    <w:rsid w:val="00415BCC"/>
    <w:rsid w:val="004163BF"/>
    <w:rsid w:val="0041778C"/>
    <w:rsid w:val="00417935"/>
    <w:rsid w:val="00420115"/>
    <w:rsid w:val="004214E1"/>
    <w:rsid w:val="004232F6"/>
    <w:rsid w:val="0042757C"/>
    <w:rsid w:val="00427769"/>
    <w:rsid w:val="00427D7F"/>
    <w:rsid w:val="004325F3"/>
    <w:rsid w:val="0043272F"/>
    <w:rsid w:val="004334AF"/>
    <w:rsid w:val="00433F5B"/>
    <w:rsid w:val="00434687"/>
    <w:rsid w:val="0043643E"/>
    <w:rsid w:val="00437545"/>
    <w:rsid w:val="004411A2"/>
    <w:rsid w:val="00443184"/>
    <w:rsid w:val="004447E5"/>
    <w:rsid w:val="00445E21"/>
    <w:rsid w:val="00446AA2"/>
    <w:rsid w:val="004477DE"/>
    <w:rsid w:val="004509B1"/>
    <w:rsid w:val="00453F9F"/>
    <w:rsid w:val="0045607A"/>
    <w:rsid w:val="00456297"/>
    <w:rsid w:val="00460037"/>
    <w:rsid w:val="00461273"/>
    <w:rsid w:val="004614DF"/>
    <w:rsid w:val="00461F9A"/>
    <w:rsid w:val="00463DC0"/>
    <w:rsid w:val="0046454C"/>
    <w:rsid w:val="00464E1A"/>
    <w:rsid w:val="004650C6"/>
    <w:rsid w:val="00466C98"/>
    <w:rsid w:val="00470B6D"/>
    <w:rsid w:val="00475703"/>
    <w:rsid w:val="00480232"/>
    <w:rsid w:val="004809CD"/>
    <w:rsid w:val="00480D42"/>
    <w:rsid w:val="00487D23"/>
    <w:rsid w:val="00491C1E"/>
    <w:rsid w:val="00493F1B"/>
    <w:rsid w:val="00495F10"/>
    <w:rsid w:val="004976A2"/>
    <w:rsid w:val="004A0482"/>
    <w:rsid w:val="004A13BC"/>
    <w:rsid w:val="004A32E3"/>
    <w:rsid w:val="004A3F47"/>
    <w:rsid w:val="004A7DAF"/>
    <w:rsid w:val="004B1167"/>
    <w:rsid w:val="004B1A78"/>
    <w:rsid w:val="004B265C"/>
    <w:rsid w:val="004B3E41"/>
    <w:rsid w:val="004B464E"/>
    <w:rsid w:val="004B4E7B"/>
    <w:rsid w:val="004B5175"/>
    <w:rsid w:val="004B52EF"/>
    <w:rsid w:val="004B5698"/>
    <w:rsid w:val="004B71B0"/>
    <w:rsid w:val="004B7F7D"/>
    <w:rsid w:val="004C11B9"/>
    <w:rsid w:val="004C259C"/>
    <w:rsid w:val="004C2B3C"/>
    <w:rsid w:val="004C2DB8"/>
    <w:rsid w:val="004C5061"/>
    <w:rsid w:val="004C5614"/>
    <w:rsid w:val="004C583C"/>
    <w:rsid w:val="004C7592"/>
    <w:rsid w:val="004C75DB"/>
    <w:rsid w:val="004C7C7D"/>
    <w:rsid w:val="004D1EA0"/>
    <w:rsid w:val="004D28D9"/>
    <w:rsid w:val="004D47A1"/>
    <w:rsid w:val="004D4B3E"/>
    <w:rsid w:val="004D69FB"/>
    <w:rsid w:val="004D6CE4"/>
    <w:rsid w:val="004D73F6"/>
    <w:rsid w:val="004E25AD"/>
    <w:rsid w:val="004E3C49"/>
    <w:rsid w:val="004E3DAB"/>
    <w:rsid w:val="004E3F3C"/>
    <w:rsid w:val="004E4275"/>
    <w:rsid w:val="004E4658"/>
    <w:rsid w:val="004E667E"/>
    <w:rsid w:val="004E67ED"/>
    <w:rsid w:val="004E795C"/>
    <w:rsid w:val="004E7B23"/>
    <w:rsid w:val="004F283A"/>
    <w:rsid w:val="004F2897"/>
    <w:rsid w:val="004F36FF"/>
    <w:rsid w:val="004F413C"/>
    <w:rsid w:val="0050077C"/>
    <w:rsid w:val="00500E5E"/>
    <w:rsid w:val="00501101"/>
    <w:rsid w:val="005017CF"/>
    <w:rsid w:val="005018D0"/>
    <w:rsid w:val="00501990"/>
    <w:rsid w:val="00501DC2"/>
    <w:rsid w:val="005039DF"/>
    <w:rsid w:val="005040D2"/>
    <w:rsid w:val="0050441F"/>
    <w:rsid w:val="00505162"/>
    <w:rsid w:val="00506DDF"/>
    <w:rsid w:val="005077E7"/>
    <w:rsid w:val="005078D3"/>
    <w:rsid w:val="005114C7"/>
    <w:rsid w:val="005115D4"/>
    <w:rsid w:val="005117FD"/>
    <w:rsid w:val="00511C4D"/>
    <w:rsid w:val="0051503D"/>
    <w:rsid w:val="005156D6"/>
    <w:rsid w:val="00520816"/>
    <w:rsid w:val="00521BAC"/>
    <w:rsid w:val="00521BB4"/>
    <w:rsid w:val="005233C5"/>
    <w:rsid w:val="00525CED"/>
    <w:rsid w:val="00526450"/>
    <w:rsid w:val="00532568"/>
    <w:rsid w:val="00533305"/>
    <w:rsid w:val="00533BAB"/>
    <w:rsid w:val="005340AC"/>
    <w:rsid w:val="00536636"/>
    <w:rsid w:val="005421FF"/>
    <w:rsid w:val="00542D26"/>
    <w:rsid w:val="00543103"/>
    <w:rsid w:val="005443D8"/>
    <w:rsid w:val="005452F4"/>
    <w:rsid w:val="00546A70"/>
    <w:rsid w:val="00546D40"/>
    <w:rsid w:val="00547562"/>
    <w:rsid w:val="00547803"/>
    <w:rsid w:val="00553352"/>
    <w:rsid w:val="0055462F"/>
    <w:rsid w:val="00555E62"/>
    <w:rsid w:val="005564D2"/>
    <w:rsid w:val="0056168B"/>
    <w:rsid w:val="00562245"/>
    <w:rsid w:val="00564538"/>
    <w:rsid w:val="00565418"/>
    <w:rsid w:val="0056794A"/>
    <w:rsid w:val="0057043F"/>
    <w:rsid w:val="005715D5"/>
    <w:rsid w:val="005722F6"/>
    <w:rsid w:val="00573BF2"/>
    <w:rsid w:val="005758BE"/>
    <w:rsid w:val="00576A32"/>
    <w:rsid w:val="00577637"/>
    <w:rsid w:val="005804E8"/>
    <w:rsid w:val="00580F00"/>
    <w:rsid w:val="005812D8"/>
    <w:rsid w:val="00582B70"/>
    <w:rsid w:val="00583995"/>
    <w:rsid w:val="00583DEF"/>
    <w:rsid w:val="00584291"/>
    <w:rsid w:val="00586623"/>
    <w:rsid w:val="00586A28"/>
    <w:rsid w:val="00591FBE"/>
    <w:rsid w:val="0059340B"/>
    <w:rsid w:val="00595186"/>
    <w:rsid w:val="0059728A"/>
    <w:rsid w:val="00597CC9"/>
    <w:rsid w:val="005A0901"/>
    <w:rsid w:val="005A155A"/>
    <w:rsid w:val="005A2ADF"/>
    <w:rsid w:val="005A39A5"/>
    <w:rsid w:val="005A3A25"/>
    <w:rsid w:val="005A3B01"/>
    <w:rsid w:val="005B0651"/>
    <w:rsid w:val="005B0A17"/>
    <w:rsid w:val="005B26B7"/>
    <w:rsid w:val="005B420D"/>
    <w:rsid w:val="005B5B53"/>
    <w:rsid w:val="005B5D95"/>
    <w:rsid w:val="005B7870"/>
    <w:rsid w:val="005B78F6"/>
    <w:rsid w:val="005C1609"/>
    <w:rsid w:val="005C276B"/>
    <w:rsid w:val="005C4D79"/>
    <w:rsid w:val="005C4E3D"/>
    <w:rsid w:val="005C585E"/>
    <w:rsid w:val="005D0A79"/>
    <w:rsid w:val="005D14FA"/>
    <w:rsid w:val="005D3126"/>
    <w:rsid w:val="005D34B3"/>
    <w:rsid w:val="005D4A56"/>
    <w:rsid w:val="005D4FB1"/>
    <w:rsid w:val="005D7F66"/>
    <w:rsid w:val="005E2A54"/>
    <w:rsid w:val="005E3D86"/>
    <w:rsid w:val="005E41C9"/>
    <w:rsid w:val="005E437D"/>
    <w:rsid w:val="005E5BC0"/>
    <w:rsid w:val="005E6D89"/>
    <w:rsid w:val="005E72B6"/>
    <w:rsid w:val="005E7C52"/>
    <w:rsid w:val="005F0070"/>
    <w:rsid w:val="005F13E4"/>
    <w:rsid w:val="005F14A8"/>
    <w:rsid w:val="005F28E2"/>
    <w:rsid w:val="005F2B71"/>
    <w:rsid w:val="005F4EC7"/>
    <w:rsid w:val="005F5E5C"/>
    <w:rsid w:val="005F63D6"/>
    <w:rsid w:val="005F7FB0"/>
    <w:rsid w:val="00604B0A"/>
    <w:rsid w:val="00607318"/>
    <w:rsid w:val="006074B9"/>
    <w:rsid w:val="00610E61"/>
    <w:rsid w:val="00613252"/>
    <w:rsid w:val="006133F9"/>
    <w:rsid w:val="00613A9A"/>
    <w:rsid w:val="00614CD1"/>
    <w:rsid w:val="00616704"/>
    <w:rsid w:val="00617277"/>
    <w:rsid w:val="00617490"/>
    <w:rsid w:val="00617605"/>
    <w:rsid w:val="006222CA"/>
    <w:rsid w:val="006251C3"/>
    <w:rsid w:val="00625689"/>
    <w:rsid w:val="00625D76"/>
    <w:rsid w:val="00632257"/>
    <w:rsid w:val="006323FC"/>
    <w:rsid w:val="0063357E"/>
    <w:rsid w:val="006346BC"/>
    <w:rsid w:val="006347A8"/>
    <w:rsid w:val="00634912"/>
    <w:rsid w:val="0063542D"/>
    <w:rsid w:val="006355CF"/>
    <w:rsid w:val="006357DF"/>
    <w:rsid w:val="00635E04"/>
    <w:rsid w:val="00636DA3"/>
    <w:rsid w:val="00641416"/>
    <w:rsid w:val="00641C34"/>
    <w:rsid w:val="00642118"/>
    <w:rsid w:val="0064273A"/>
    <w:rsid w:val="00644E5A"/>
    <w:rsid w:val="006460C6"/>
    <w:rsid w:val="0065015C"/>
    <w:rsid w:val="00650A1E"/>
    <w:rsid w:val="00651322"/>
    <w:rsid w:val="00651CFD"/>
    <w:rsid w:val="00651E13"/>
    <w:rsid w:val="00652DFF"/>
    <w:rsid w:val="006531EB"/>
    <w:rsid w:val="00653D71"/>
    <w:rsid w:val="006548AE"/>
    <w:rsid w:val="0066089B"/>
    <w:rsid w:val="0066162A"/>
    <w:rsid w:val="00662BEF"/>
    <w:rsid w:val="0066372B"/>
    <w:rsid w:val="006643A6"/>
    <w:rsid w:val="00665298"/>
    <w:rsid w:val="006655A9"/>
    <w:rsid w:val="0066633C"/>
    <w:rsid w:val="00666B95"/>
    <w:rsid w:val="00666CA0"/>
    <w:rsid w:val="00666FCA"/>
    <w:rsid w:val="00671105"/>
    <w:rsid w:val="00671220"/>
    <w:rsid w:val="00671BF4"/>
    <w:rsid w:val="006729B7"/>
    <w:rsid w:val="00673836"/>
    <w:rsid w:val="00673AC0"/>
    <w:rsid w:val="00673B70"/>
    <w:rsid w:val="00676048"/>
    <w:rsid w:val="00677573"/>
    <w:rsid w:val="006802F2"/>
    <w:rsid w:val="006805E3"/>
    <w:rsid w:val="006808D6"/>
    <w:rsid w:val="00680E8A"/>
    <w:rsid w:val="00681A87"/>
    <w:rsid w:val="00681BE4"/>
    <w:rsid w:val="006821F0"/>
    <w:rsid w:val="0068244F"/>
    <w:rsid w:val="00682754"/>
    <w:rsid w:val="006836FF"/>
    <w:rsid w:val="00685312"/>
    <w:rsid w:val="00686F58"/>
    <w:rsid w:val="006900EA"/>
    <w:rsid w:val="00691085"/>
    <w:rsid w:val="00691EEE"/>
    <w:rsid w:val="006924F3"/>
    <w:rsid w:val="00693667"/>
    <w:rsid w:val="006954D0"/>
    <w:rsid w:val="00695CFE"/>
    <w:rsid w:val="00696750"/>
    <w:rsid w:val="006A0D0B"/>
    <w:rsid w:val="006A1258"/>
    <w:rsid w:val="006A1285"/>
    <w:rsid w:val="006A1E11"/>
    <w:rsid w:val="006A31CE"/>
    <w:rsid w:val="006A48BA"/>
    <w:rsid w:val="006A4C5A"/>
    <w:rsid w:val="006A577A"/>
    <w:rsid w:val="006A6BEF"/>
    <w:rsid w:val="006A7731"/>
    <w:rsid w:val="006A7871"/>
    <w:rsid w:val="006B11CA"/>
    <w:rsid w:val="006B125E"/>
    <w:rsid w:val="006B17D3"/>
    <w:rsid w:val="006B2291"/>
    <w:rsid w:val="006B2F93"/>
    <w:rsid w:val="006B350E"/>
    <w:rsid w:val="006B390A"/>
    <w:rsid w:val="006B5FBA"/>
    <w:rsid w:val="006B62CD"/>
    <w:rsid w:val="006B7856"/>
    <w:rsid w:val="006C0CBD"/>
    <w:rsid w:val="006C113C"/>
    <w:rsid w:val="006C2D1E"/>
    <w:rsid w:val="006C35A8"/>
    <w:rsid w:val="006C4CAC"/>
    <w:rsid w:val="006C5CCA"/>
    <w:rsid w:val="006C7351"/>
    <w:rsid w:val="006D06A8"/>
    <w:rsid w:val="006D0B36"/>
    <w:rsid w:val="006D1E8F"/>
    <w:rsid w:val="006D3D16"/>
    <w:rsid w:val="006D56E5"/>
    <w:rsid w:val="006D71A6"/>
    <w:rsid w:val="006D77EA"/>
    <w:rsid w:val="006E0255"/>
    <w:rsid w:val="006E0E67"/>
    <w:rsid w:val="006E54E4"/>
    <w:rsid w:val="006E54FF"/>
    <w:rsid w:val="006F077F"/>
    <w:rsid w:val="006F0B0A"/>
    <w:rsid w:val="006F195C"/>
    <w:rsid w:val="006F459A"/>
    <w:rsid w:val="006F46AE"/>
    <w:rsid w:val="006F72A1"/>
    <w:rsid w:val="006F74DC"/>
    <w:rsid w:val="006F7B71"/>
    <w:rsid w:val="00700314"/>
    <w:rsid w:val="00700665"/>
    <w:rsid w:val="007010DB"/>
    <w:rsid w:val="00701914"/>
    <w:rsid w:val="007019F6"/>
    <w:rsid w:val="00701DE2"/>
    <w:rsid w:val="00701F84"/>
    <w:rsid w:val="0070359A"/>
    <w:rsid w:val="00703E7C"/>
    <w:rsid w:val="0070719B"/>
    <w:rsid w:val="00710287"/>
    <w:rsid w:val="00712497"/>
    <w:rsid w:val="0071268A"/>
    <w:rsid w:val="007126C8"/>
    <w:rsid w:val="00712C96"/>
    <w:rsid w:val="0071483B"/>
    <w:rsid w:val="00714FF6"/>
    <w:rsid w:val="00716587"/>
    <w:rsid w:val="00716CD9"/>
    <w:rsid w:val="0071729A"/>
    <w:rsid w:val="00722672"/>
    <w:rsid w:val="00723107"/>
    <w:rsid w:val="00723174"/>
    <w:rsid w:val="007231D5"/>
    <w:rsid w:val="00723F34"/>
    <w:rsid w:val="007251FD"/>
    <w:rsid w:val="0072602B"/>
    <w:rsid w:val="00726121"/>
    <w:rsid w:val="0072717F"/>
    <w:rsid w:val="007274A8"/>
    <w:rsid w:val="00730A56"/>
    <w:rsid w:val="00732097"/>
    <w:rsid w:val="0073454C"/>
    <w:rsid w:val="00735D94"/>
    <w:rsid w:val="00735E0C"/>
    <w:rsid w:val="00736FBF"/>
    <w:rsid w:val="00737668"/>
    <w:rsid w:val="007378B3"/>
    <w:rsid w:val="0074016F"/>
    <w:rsid w:val="00740414"/>
    <w:rsid w:val="007416B5"/>
    <w:rsid w:val="0074242C"/>
    <w:rsid w:val="00743232"/>
    <w:rsid w:val="00743527"/>
    <w:rsid w:val="00743AE1"/>
    <w:rsid w:val="00743B43"/>
    <w:rsid w:val="00743F43"/>
    <w:rsid w:val="007446CF"/>
    <w:rsid w:val="00744D43"/>
    <w:rsid w:val="00744ED5"/>
    <w:rsid w:val="00746302"/>
    <w:rsid w:val="00746B89"/>
    <w:rsid w:val="00746C2B"/>
    <w:rsid w:val="00747552"/>
    <w:rsid w:val="0075213E"/>
    <w:rsid w:val="00754C87"/>
    <w:rsid w:val="00755218"/>
    <w:rsid w:val="00756137"/>
    <w:rsid w:val="00756C4F"/>
    <w:rsid w:val="0075749A"/>
    <w:rsid w:val="007575B6"/>
    <w:rsid w:val="007576A8"/>
    <w:rsid w:val="00760BCD"/>
    <w:rsid w:val="007624B0"/>
    <w:rsid w:val="00765E8D"/>
    <w:rsid w:val="007679FE"/>
    <w:rsid w:val="00770613"/>
    <w:rsid w:val="00770DC5"/>
    <w:rsid w:val="00771393"/>
    <w:rsid w:val="0077229C"/>
    <w:rsid w:val="00772540"/>
    <w:rsid w:val="0077457B"/>
    <w:rsid w:val="00774D6C"/>
    <w:rsid w:val="00775178"/>
    <w:rsid w:val="007752BA"/>
    <w:rsid w:val="00780214"/>
    <w:rsid w:val="00780782"/>
    <w:rsid w:val="00780B12"/>
    <w:rsid w:val="00781111"/>
    <w:rsid w:val="0078209F"/>
    <w:rsid w:val="00786D46"/>
    <w:rsid w:val="007926C8"/>
    <w:rsid w:val="00793206"/>
    <w:rsid w:val="00795540"/>
    <w:rsid w:val="00795AA9"/>
    <w:rsid w:val="0079735C"/>
    <w:rsid w:val="007A0349"/>
    <w:rsid w:val="007A06FC"/>
    <w:rsid w:val="007A084F"/>
    <w:rsid w:val="007A214E"/>
    <w:rsid w:val="007A2BEA"/>
    <w:rsid w:val="007A3C55"/>
    <w:rsid w:val="007A41EE"/>
    <w:rsid w:val="007A60CA"/>
    <w:rsid w:val="007B202F"/>
    <w:rsid w:val="007B2DD0"/>
    <w:rsid w:val="007B3054"/>
    <w:rsid w:val="007B50AE"/>
    <w:rsid w:val="007B55E8"/>
    <w:rsid w:val="007B5E9B"/>
    <w:rsid w:val="007B6393"/>
    <w:rsid w:val="007B68FC"/>
    <w:rsid w:val="007B7616"/>
    <w:rsid w:val="007C0B82"/>
    <w:rsid w:val="007C1906"/>
    <w:rsid w:val="007C2FB7"/>
    <w:rsid w:val="007C3420"/>
    <w:rsid w:val="007C3756"/>
    <w:rsid w:val="007C37FE"/>
    <w:rsid w:val="007C425F"/>
    <w:rsid w:val="007C45CE"/>
    <w:rsid w:val="007C5168"/>
    <w:rsid w:val="007C6FA2"/>
    <w:rsid w:val="007C7537"/>
    <w:rsid w:val="007D0A11"/>
    <w:rsid w:val="007D3B3F"/>
    <w:rsid w:val="007D43CD"/>
    <w:rsid w:val="007D48F5"/>
    <w:rsid w:val="007D7782"/>
    <w:rsid w:val="007E0BCB"/>
    <w:rsid w:val="007E133C"/>
    <w:rsid w:val="007E136E"/>
    <w:rsid w:val="007E1461"/>
    <w:rsid w:val="007E1FF9"/>
    <w:rsid w:val="007E2FAB"/>
    <w:rsid w:val="007E385D"/>
    <w:rsid w:val="007E6081"/>
    <w:rsid w:val="007E6ECD"/>
    <w:rsid w:val="007F03A3"/>
    <w:rsid w:val="007F108D"/>
    <w:rsid w:val="007F2698"/>
    <w:rsid w:val="007F2FFC"/>
    <w:rsid w:val="007F362F"/>
    <w:rsid w:val="007F73CC"/>
    <w:rsid w:val="00800A04"/>
    <w:rsid w:val="00801346"/>
    <w:rsid w:val="00804D17"/>
    <w:rsid w:val="008051E1"/>
    <w:rsid w:val="00806580"/>
    <w:rsid w:val="008065D5"/>
    <w:rsid w:val="0080733A"/>
    <w:rsid w:val="00810064"/>
    <w:rsid w:val="00811066"/>
    <w:rsid w:val="00811AB5"/>
    <w:rsid w:val="00813697"/>
    <w:rsid w:val="008165CD"/>
    <w:rsid w:val="008174A8"/>
    <w:rsid w:val="00817595"/>
    <w:rsid w:val="0082056F"/>
    <w:rsid w:val="008206A3"/>
    <w:rsid w:val="00820E2B"/>
    <w:rsid w:val="0082155D"/>
    <w:rsid w:val="00821CF1"/>
    <w:rsid w:val="00822ECF"/>
    <w:rsid w:val="0082340F"/>
    <w:rsid w:val="00823D6D"/>
    <w:rsid w:val="008242C2"/>
    <w:rsid w:val="008246CE"/>
    <w:rsid w:val="008255B9"/>
    <w:rsid w:val="00825D22"/>
    <w:rsid w:val="008265B7"/>
    <w:rsid w:val="00826F0A"/>
    <w:rsid w:val="0082782E"/>
    <w:rsid w:val="0083125D"/>
    <w:rsid w:val="0083170B"/>
    <w:rsid w:val="008320F7"/>
    <w:rsid w:val="00834790"/>
    <w:rsid w:val="00834D8C"/>
    <w:rsid w:val="00835982"/>
    <w:rsid w:val="00835A17"/>
    <w:rsid w:val="008365BE"/>
    <w:rsid w:val="00836F3C"/>
    <w:rsid w:val="00840CF3"/>
    <w:rsid w:val="00840E6C"/>
    <w:rsid w:val="0084110C"/>
    <w:rsid w:val="008442FF"/>
    <w:rsid w:val="00845195"/>
    <w:rsid w:val="008464CA"/>
    <w:rsid w:val="008500C3"/>
    <w:rsid w:val="00851856"/>
    <w:rsid w:val="0085220C"/>
    <w:rsid w:val="008568B4"/>
    <w:rsid w:val="00856DDD"/>
    <w:rsid w:val="00861AA4"/>
    <w:rsid w:val="0086450B"/>
    <w:rsid w:val="00871BD7"/>
    <w:rsid w:val="00873C23"/>
    <w:rsid w:val="00873C77"/>
    <w:rsid w:val="00877604"/>
    <w:rsid w:val="00882765"/>
    <w:rsid w:val="00883C52"/>
    <w:rsid w:val="00886E55"/>
    <w:rsid w:val="00886EA4"/>
    <w:rsid w:val="00887906"/>
    <w:rsid w:val="00887A35"/>
    <w:rsid w:val="008910CF"/>
    <w:rsid w:val="00894380"/>
    <w:rsid w:val="00896671"/>
    <w:rsid w:val="008A1CF9"/>
    <w:rsid w:val="008A3186"/>
    <w:rsid w:val="008A47EF"/>
    <w:rsid w:val="008A55D6"/>
    <w:rsid w:val="008A78A6"/>
    <w:rsid w:val="008B1AED"/>
    <w:rsid w:val="008B27BD"/>
    <w:rsid w:val="008B2823"/>
    <w:rsid w:val="008B311A"/>
    <w:rsid w:val="008B370B"/>
    <w:rsid w:val="008B37AF"/>
    <w:rsid w:val="008B40B1"/>
    <w:rsid w:val="008B4363"/>
    <w:rsid w:val="008B4767"/>
    <w:rsid w:val="008B579C"/>
    <w:rsid w:val="008B5A36"/>
    <w:rsid w:val="008B6120"/>
    <w:rsid w:val="008B64B3"/>
    <w:rsid w:val="008B675E"/>
    <w:rsid w:val="008B67AA"/>
    <w:rsid w:val="008B68B4"/>
    <w:rsid w:val="008C21F2"/>
    <w:rsid w:val="008C3332"/>
    <w:rsid w:val="008C3566"/>
    <w:rsid w:val="008C4EB1"/>
    <w:rsid w:val="008D0063"/>
    <w:rsid w:val="008D56E3"/>
    <w:rsid w:val="008D6829"/>
    <w:rsid w:val="008D7AD3"/>
    <w:rsid w:val="008D7E5E"/>
    <w:rsid w:val="008E1BE4"/>
    <w:rsid w:val="008E1D9E"/>
    <w:rsid w:val="008E22F1"/>
    <w:rsid w:val="008E3632"/>
    <w:rsid w:val="008E3797"/>
    <w:rsid w:val="008E3A41"/>
    <w:rsid w:val="008E4253"/>
    <w:rsid w:val="008E49A3"/>
    <w:rsid w:val="008E5B20"/>
    <w:rsid w:val="008F009A"/>
    <w:rsid w:val="008F00EB"/>
    <w:rsid w:val="008F0ABC"/>
    <w:rsid w:val="008F2916"/>
    <w:rsid w:val="008F45D7"/>
    <w:rsid w:val="008F5D7A"/>
    <w:rsid w:val="008F7C9D"/>
    <w:rsid w:val="00900970"/>
    <w:rsid w:val="00900C30"/>
    <w:rsid w:val="00901494"/>
    <w:rsid w:val="00901F59"/>
    <w:rsid w:val="00902A9B"/>
    <w:rsid w:val="00904509"/>
    <w:rsid w:val="009051AD"/>
    <w:rsid w:val="00906146"/>
    <w:rsid w:val="00906AC7"/>
    <w:rsid w:val="009075F4"/>
    <w:rsid w:val="009079A2"/>
    <w:rsid w:val="00912A08"/>
    <w:rsid w:val="0091523E"/>
    <w:rsid w:val="00916E0C"/>
    <w:rsid w:val="0092013C"/>
    <w:rsid w:val="0092178A"/>
    <w:rsid w:val="009220A6"/>
    <w:rsid w:val="009224F6"/>
    <w:rsid w:val="009238E9"/>
    <w:rsid w:val="00926E25"/>
    <w:rsid w:val="00930123"/>
    <w:rsid w:val="00931F1A"/>
    <w:rsid w:val="009340A9"/>
    <w:rsid w:val="0093441C"/>
    <w:rsid w:val="00935907"/>
    <w:rsid w:val="00936D23"/>
    <w:rsid w:val="00940005"/>
    <w:rsid w:val="00940D32"/>
    <w:rsid w:val="0094196F"/>
    <w:rsid w:val="0094263D"/>
    <w:rsid w:val="00942E58"/>
    <w:rsid w:val="00943355"/>
    <w:rsid w:val="009433D3"/>
    <w:rsid w:val="00945022"/>
    <w:rsid w:val="00946AD2"/>
    <w:rsid w:val="009509B7"/>
    <w:rsid w:val="00950AEF"/>
    <w:rsid w:val="00951E96"/>
    <w:rsid w:val="00952E1A"/>
    <w:rsid w:val="00955E85"/>
    <w:rsid w:val="009573FD"/>
    <w:rsid w:val="00957425"/>
    <w:rsid w:val="009574D4"/>
    <w:rsid w:val="0096108D"/>
    <w:rsid w:val="00961157"/>
    <w:rsid w:val="00961708"/>
    <w:rsid w:val="00964FA9"/>
    <w:rsid w:val="009659C5"/>
    <w:rsid w:val="00965D36"/>
    <w:rsid w:val="009712DB"/>
    <w:rsid w:val="0097350F"/>
    <w:rsid w:val="00974A93"/>
    <w:rsid w:val="009817C1"/>
    <w:rsid w:val="00981814"/>
    <w:rsid w:val="00981ABC"/>
    <w:rsid w:val="00984647"/>
    <w:rsid w:val="00984693"/>
    <w:rsid w:val="00990302"/>
    <w:rsid w:val="0099065F"/>
    <w:rsid w:val="009915A5"/>
    <w:rsid w:val="009919ED"/>
    <w:rsid w:val="00992AB4"/>
    <w:rsid w:val="00993A86"/>
    <w:rsid w:val="00995116"/>
    <w:rsid w:val="00995C11"/>
    <w:rsid w:val="00995C64"/>
    <w:rsid w:val="00997131"/>
    <w:rsid w:val="009A090F"/>
    <w:rsid w:val="009A282E"/>
    <w:rsid w:val="009A3E33"/>
    <w:rsid w:val="009A5CF6"/>
    <w:rsid w:val="009A6DB0"/>
    <w:rsid w:val="009A7E81"/>
    <w:rsid w:val="009B0F87"/>
    <w:rsid w:val="009B1CD4"/>
    <w:rsid w:val="009B3287"/>
    <w:rsid w:val="009C0A3B"/>
    <w:rsid w:val="009C0B61"/>
    <w:rsid w:val="009C120B"/>
    <w:rsid w:val="009C1973"/>
    <w:rsid w:val="009C2922"/>
    <w:rsid w:val="009C2C2F"/>
    <w:rsid w:val="009C3DF7"/>
    <w:rsid w:val="009C4304"/>
    <w:rsid w:val="009C699F"/>
    <w:rsid w:val="009C7156"/>
    <w:rsid w:val="009D0638"/>
    <w:rsid w:val="009D082C"/>
    <w:rsid w:val="009D1DB1"/>
    <w:rsid w:val="009D36E4"/>
    <w:rsid w:val="009D638B"/>
    <w:rsid w:val="009D6C4F"/>
    <w:rsid w:val="009E0463"/>
    <w:rsid w:val="009E067F"/>
    <w:rsid w:val="009E1391"/>
    <w:rsid w:val="009E368E"/>
    <w:rsid w:val="009E6FA7"/>
    <w:rsid w:val="009F04B9"/>
    <w:rsid w:val="009F0E8E"/>
    <w:rsid w:val="009F0EDB"/>
    <w:rsid w:val="009F2684"/>
    <w:rsid w:val="009F3522"/>
    <w:rsid w:val="009F3F9A"/>
    <w:rsid w:val="009F62E7"/>
    <w:rsid w:val="009F6E88"/>
    <w:rsid w:val="009F709A"/>
    <w:rsid w:val="009F75FD"/>
    <w:rsid w:val="009F7AD2"/>
    <w:rsid w:val="00A007A6"/>
    <w:rsid w:val="00A025E2"/>
    <w:rsid w:val="00A05809"/>
    <w:rsid w:val="00A06F36"/>
    <w:rsid w:val="00A108B5"/>
    <w:rsid w:val="00A12EAD"/>
    <w:rsid w:val="00A138C3"/>
    <w:rsid w:val="00A14CA8"/>
    <w:rsid w:val="00A14D2B"/>
    <w:rsid w:val="00A177CD"/>
    <w:rsid w:val="00A20826"/>
    <w:rsid w:val="00A20998"/>
    <w:rsid w:val="00A21B75"/>
    <w:rsid w:val="00A223E0"/>
    <w:rsid w:val="00A2260A"/>
    <w:rsid w:val="00A227DA"/>
    <w:rsid w:val="00A22D54"/>
    <w:rsid w:val="00A2311C"/>
    <w:rsid w:val="00A26286"/>
    <w:rsid w:val="00A268F0"/>
    <w:rsid w:val="00A272A2"/>
    <w:rsid w:val="00A27984"/>
    <w:rsid w:val="00A302B9"/>
    <w:rsid w:val="00A317E4"/>
    <w:rsid w:val="00A319D1"/>
    <w:rsid w:val="00A3270D"/>
    <w:rsid w:val="00A32C59"/>
    <w:rsid w:val="00A32E9C"/>
    <w:rsid w:val="00A33A5F"/>
    <w:rsid w:val="00A40D59"/>
    <w:rsid w:val="00A425B5"/>
    <w:rsid w:val="00A4265B"/>
    <w:rsid w:val="00A42F5E"/>
    <w:rsid w:val="00A43D15"/>
    <w:rsid w:val="00A47796"/>
    <w:rsid w:val="00A47E9E"/>
    <w:rsid w:val="00A5028D"/>
    <w:rsid w:val="00A51D00"/>
    <w:rsid w:val="00A522B0"/>
    <w:rsid w:val="00A528ED"/>
    <w:rsid w:val="00A55CB6"/>
    <w:rsid w:val="00A56160"/>
    <w:rsid w:val="00A574FD"/>
    <w:rsid w:val="00A617C9"/>
    <w:rsid w:val="00A625BA"/>
    <w:rsid w:val="00A62DA1"/>
    <w:rsid w:val="00A6309A"/>
    <w:rsid w:val="00A65F1B"/>
    <w:rsid w:val="00A65FBB"/>
    <w:rsid w:val="00A6618A"/>
    <w:rsid w:val="00A66A3D"/>
    <w:rsid w:val="00A67892"/>
    <w:rsid w:val="00A67D59"/>
    <w:rsid w:val="00A7091C"/>
    <w:rsid w:val="00A70C28"/>
    <w:rsid w:val="00A70F0C"/>
    <w:rsid w:val="00A720E8"/>
    <w:rsid w:val="00A721A6"/>
    <w:rsid w:val="00A72240"/>
    <w:rsid w:val="00A72603"/>
    <w:rsid w:val="00A732CF"/>
    <w:rsid w:val="00A7678E"/>
    <w:rsid w:val="00A767BB"/>
    <w:rsid w:val="00A81677"/>
    <w:rsid w:val="00A81787"/>
    <w:rsid w:val="00A82832"/>
    <w:rsid w:val="00A8467C"/>
    <w:rsid w:val="00A85B35"/>
    <w:rsid w:val="00A85DA6"/>
    <w:rsid w:val="00A868B1"/>
    <w:rsid w:val="00A878BE"/>
    <w:rsid w:val="00A91563"/>
    <w:rsid w:val="00A91C36"/>
    <w:rsid w:val="00A91C82"/>
    <w:rsid w:val="00A92A52"/>
    <w:rsid w:val="00A93268"/>
    <w:rsid w:val="00A94C63"/>
    <w:rsid w:val="00A958C7"/>
    <w:rsid w:val="00AA06E1"/>
    <w:rsid w:val="00AA09CB"/>
    <w:rsid w:val="00AA2C43"/>
    <w:rsid w:val="00AA3492"/>
    <w:rsid w:val="00AA4B3A"/>
    <w:rsid w:val="00AB05F6"/>
    <w:rsid w:val="00AB401A"/>
    <w:rsid w:val="00AB4927"/>
    <w:rsid w:val="00AB4ABE"/>
    <w:rsid w:val="00AB60A3"/>
    <w:rsid w:val="00AB6ED9"/>
    <w:rsid w:val="00AC06E2"/>
    <w:rsid w:val="00AC2E7E"/>
    <w:rsid w:val="00AC3AD7"/>
    <w:rsid w:val="00AC61CC"/>
    <w:rsid w:val="00AC7482"/>
    <w:rsid w:val="00AD0A7D"/>
    <w:rsid w:val="00AD2926"/>
    <w:rsid w:val="00AD29E0"/>
    <w:rsid w:val="00AD3892"/>
    <w:rsid w:val="00AD417F"/>
    <w:rsid w:val="00AD5518"/>
    <w:rsid w:val="00AD5570"/>
    <w:rsid w:val="00AE00C7"/>
    <w:rsid w:val="00AE13B4"/>
    <w:rsid w:val="00AE1514"/>
    <w:rsid w:val="00AE1EC9"/>
    <w:rsid w:val="00AE254A"/>
    <w:rsid w:val="00AE2636"/>
    <w:rsid w:val="00AE7E3F"/>
    <w:rsid w:val="00AF0DED"/>
    <w:rsid w:val="00AF1BC4"/>
    <w:rsid w:val="00AF492E"/>
    <w:rsid w:val="00AF4F36"/>
    <w:rsid w:val="00AF52BE"/>
    <w:rsid w:val="00AF5CE7"/>
    <w:rsid w:val="00AF5FA9"/>
    <w:rsid w:val="00AF6667"/>
    <w:rsid w:val="00B044A3"/>
    <w:rsid w:val="00B0453A"/>
    <w:rsid w:val="00B06BFC"/>
    <w:rsid w:val="00B13F6C"/>
    <w:rsid w:val="00B143D6"/>
    <w:rsid w:val="00B146A6"/>
    <w:rsid w:val="00B16982"/>
    <w:rsid w:val="00B16F0E"/>
    <w:rsid w:val="00B17465"/>
    <w:rsid w:val="00B178C7"/>
    <w:rsid w:val="00B203C2"/>
    <w:rsid w:val="00B207B3"/>
    <w:rsid w:val="00B22C7F"/>
    <w:rsid w:val="00B23C7D"/>
    <w:rsid w:val="00B241DA"/>
    <w:rsid w:val="00B242A9"/>
    <w:rsid w:val="00B24526"/>
    <w:rsid w:val="00B24A4E"/>
    <w:rsid w:val="00B2545E"/>
    <w:rsid w:val="00B31F3F"/>
    <w:rsid w:val="00B32185"/>
    <w:rsid w:val="00B32DED"/>
    <w:rsid w:val="00B360F5"/>
    <w:rsid w:val="00B36B8D"/>
    <w:rsid w:val="00B3751B"/>
    <w:rsid w:val="00B37C78"/>
    <w:rsid w:val="00B403C6"/>
    <w:rsid w:val="00B41472"/>
    <w:rsid w:val="00B432E4"/>
    <w:rsid w:val="00B4571D"/>
    <w:rsid w:val="00B45FA8"/>
    <w:rsid w:val="00B4674C"/>
    <w:rsid w:val="00B47891"/>
    <w:rsid w:val="00B478C4"/>
    <w:rsid w:val="00B5128D"/>
    <w:rsid w:val="00B512E4"/>
    <w:rsid w:val="00B52B06"/>
    <w:rsid w:val="00B545F2"/>
    <w:rsid w:val="00B54B13"/>
    <w:rsid w:val="00B56E5D"/>
    <w:rsid w:val="00B5790F"/>
    <w:rsid w:val="00B60AC7"/>
    <w:rsid w:val="00B61308"/>
    <w:rsid w:val="00B630BF"/>
    <w:rsid w:val="00B6388A"/>
    <w:rsid w:val="00B64FC8"/>
    <w:rsid w:val="00B671AD"/>
    <w:rsid w:val="00B71209"/>
    <w:rsid w:val="00B72953"/>
    <w:rsid w:val="00B7295C"/>
    <w:rsid w:val="00B72D13"/>
    <w:rsid w:val="00B732D1"/>
    <w:rsid w:val="00B743F3"/>
    <w:rsid w:val="00B75906"/>
    <w:rsid w:val="00B760BE"/>
    <w:rsid w:val="00B77A86"/>
    <w:rsid w:val="00B80DF6"/>
    <w:rsid w:val="00B828CF"/>
    <w:rsid w:val="00B83C02"/>
    <w:rsid w:val="00B83FD7"/>
    <w:rsid w:val="00B84590"/>
    <w:rsid w:val="00B86D88"/>
    <w:rsid w:val="00B86E8A"/>
    <w:rsid w:val="00B923EE"/>
    <w:rsid w:val="00B9414E"/>
    <w:rsid w:val="00B95684"/>
    <w:rsid w:val="00B97B1B"/>
    <w:rsid w:val="00BA0156"/>
    <w:rsid w:val="00BA1D05"/>
    <w:rsid w:val="00BA3722"/>
    <w:rsid w:val="00BA4742"/>
    <w:rsid w:val="00BA6CC6"/>
    <w:rsid w:val="00BA785C"/>
    <w:rsid w:val="00BB056D"/>
    <w:rsid w:val="00BB086A"/>
    <w:rsid w:val="00BB1796"/>
    <w:rsid w:val="00BB1ABD"/>
    <w:rsid w:val="00BB2FA5"/>
    <w:rsid w:val="00BB3707"/>
    <w:rsid w:val="00BB4977"/>
    <w:rsid w:val="00BB5F03"/>
    <w:rsid w:val="00BB6A3A"/>
    <w:rsid w:val="00BB6E0F"/>
    <w:rsid w:val="00BB74A1"/>
    <w:rsid w:val="00BC0D1C"/>
    <w:rsid w:val="00BC1CA0"/>
    <w:rsid w:val="00BC381C"/>
    <w:rsid w:val="00BC3FA1"/>
    <w:rsid w:val="00BC4C69"/>
    <w:rsid w:val="00BC4CB0"/>
    <w:rsid w:val="00BD0FBB"/>
    <w:rsid w:val="00BD14C9"/>
    <w:rsid w:val="00BD1FE5"/>
    <w:rsid w:val="00BD2120"/>
    <w:rsid w:val="00BD31ED"/>
    <w:rsid w:val="00BD40C3"/>
    <w:rsid w:val="00BD4234"/>
    <w:rsid w:val="00BD6659"/>
    <w:rsid w:val="00BD6BC5"/>
    <w:rsid w:val="00BD72FA"/>
    <w:rsid w:val="00BE06CE"/>
    <w:rsid w:val="00BE1293"/>
    <w:rsid w:val="00BE19A1"/>
    <w:rsid w:val="00BE1B2F"/>
    <w:rsid w:val="00BE64A0"/>
    <w:rsid w:val="00BF1490"/>
    <w:rsid w:val="00BF17B0"/>
    <w:rsid w:val="00BF6028"/>
    <w:rsid w:val="00BF741E"/>
    <w:rsid w:val="00BF793F"/>
    <w:rsid w:val="00C016BE"/>
    <w:rsid w:val="00C02997"/>
    <w:rsid w:val="00C031C0"/>
    <w:rsid w:val="00C06202"/>
    <w:rsid w:val="00C06494"/>
    <w:rsid w:val="00C076B3"/>
    <w:rsid w:val="00C11847"/>
    <w:rsid w:val="00C127ED"/>
    <w:rsid w:val="00C138BD"/>
    <w:rsid w:val="00C14413"/>
    <w:rsid w:val="00C14A5E"/>
    <w:rsid w:val="00C166AF"/>
    <w:rsid w:val="00C17E04"/>
    <w:rsid w:val="00C20112"/>
    <w:rsid w:val="00C21167"/>
    <w:rsid w:val="00C212B0"/>
    <w:rsid w:val="00C24C4E"/>
    <w:rsid w:val="00C258F3"/>
    <w:rsid w:val="00C25E7F"/>
    <w:rsid w:val="00C26E87"/>
    <w:rsid w:val="00C27324"/>
    <w:rsid w:val="00C27664"/>
    <w:rsid w:val="00C3086C"/>
    <w:rsid w:val="00C3142E"/>
    <w:rsid w:val="00C3170A"/>
    <w:rsid w:val="00C31CA4"/>
    <w:rsid w:val="00C4020C"/>
    <w:rsid w:val="00C40E90"/>
    <w:rsid w:val="00C43927"/>
    <w:rsid w:val="00C458FE"/>
    <w:rsid w:val="00C45FAD"/>
    <w:rsid w:val="00C46A4D"/>
    <w:rsid w:val="00C46D61"/>
    <w:rsid w:val="00C5001F"/>
    <w:rsid w:val="00C5055B"/>
    <w:rsid w:val="00C509CD"/>
    <w:rsid w:val="00C50A93"/>
    <w:rsid w:val="00C51706"/>
    <w:rsid w:val="00C5444A"/>
    <w:rsid w:val="00C552AD"/>
    <w:rsid w:val="00C55D19"/>
    <w:rsid w:val="00C56C85"/>
    <w:rsid w:val="00C60924"/>
    <w:rsid w:val="00C61632"/>
    <w:rsid w:val="00C6556F"/>
    <w:rsid w:val="00C656CA"/>
    <w:rsid w:val="00C65D07"/>
    <w:rsid w:val="00C66DAE"/>
    <w:rsid w:val="00C723E9"/>
    <w:rsid w:val="00C72617"/>
    <w:rsid w:val="00C72900"/>
    <w:rsid w:val="00C73391"/>
    <w:rsid w:val="00C7415D"/>
    <w:rsid w:val="00C77651"/>
    <w:rsid w:val="00C8288E"/>
    <w:rsid w:val="00C82CC8"/>
    <w:rsid w:val="00C8471F"/>
    <w:rsid w:val="00C85577"/>
    <w:rsid w:val="00C8595C"/>
    <w:rsid w:val="00C859DC"/>
    <w:rsid w:val="00C85CA2"/>
    <w:rsid w:val="00C86148"/>
    <w:rsid w:val="00C86E95"/>
    <w:rsid w:val="00C9486B"/>
    <w:rsid w:val="00C95884"/>
    <w:rsid w:val="00C966EB"/>
    <w:rsid w:val="00C969F7"/>
    <w:rsid w:val="00C97DE6"/>
    <w:rsid w:val="00CA5F6E"/>
    <w:rsid w:val="00CA791E"/>
    <w:rsid w:val="00CB0B1C"/>
    <w:rsid w:val="00CB0FA6"/>
    <w:rsid w:val="00CB0FC9"/>
    <w:rsid w:val="00CB35D9"/>
    <w:rsid w:val="00CB4E37"/>
    <w:rsid w:val="00CB5975"/>
    <w:rsid w:val="00CB67DB"/>
    <w:rsid w:val="00CB7E96"/>
    <w:rsid w:val="00CC1243"/>
    <w:rsid w:val="00CC1C6A"/>
    <w:rsid w:val="00CC2FB6"/>
    <w:rsid w:val="00CC35E1"/>
    <w:rsid w:val="00CC362D"/>
    <w:rsid w:val="00CC4706"/>
    <w:rsid w:val="00CC7E02"/>
    <w:rsid w:val="00CD1823"/>
    <w:rsid w:val="00CD18C6"/>
    <w:rsid w:val="00CD1EE3"/>
    <w:rsid w:val="00CD4B13"/>
    <w:rsid w:val="00CD4DC1"/>
    <w:rsid w:val="00CD54B4"/>
    <w:rsid w:val="00CD6882"/>
    <w:rsid w:val="00CD7528"/>
    <w:rsid w:val="00CD781D"/>
    <w:rsid w:val="00CE06D3"/>
    <w:rsid w:val="00CE06D9"/>
    <w:rsid w:val="00CE0740"/>
    <w:rsid w:val="00CE1360"/>
    <w:rsid w:val="00CE1B0A"/>
    <w:rsid w:val="00CE2C05"/>
    <w:rsid w:val="00CE4979"/>
    <w:rsid w:val="00CE4C26"/>
    <w:rsid w:val="00CE5993"/>
    <w:rsid w:val="00CF0323"/>
    <w:rsid w:val="00CF0551"/>
    <w:rsid w:val="00CF1366"/>
    <w:rsid w:val="00CF1A38"/>
    <w:rsid w:val="00CF286D"/>
    <w:rsid w:val="00CF3070"/>
    <w:rsid w:val="00CF3B73"/>
    <w:rsid w:val="00CF4424"/>
    <w:rsid w:val="00CF4AA0"/>
    <w:rsid w:val="00CF6252"/>
    <w:rsid w:val="00CF7FF3"/>
    <w:rsid w:val="00D00BB9"/>
    <w:rsid w:val="00D00C02"/>
    <w:rsid w:val="00D0165B"/>
    <w:rsid w:val="00D03658"/>
    <w:rsid w:val="00D04356"/>
    <w:rsid w:val="00D102E4"/>
    <w:rsid w:val="00D1159E"/>
    <w:rsid w:val="00D1416B"/>
    <w:rsid w:val="00D14B55"/>
    <w:rsid w:val="00D14D5D"/>
    <w:rsid w:val="00D1594D"/>
    <w:rsid w:val="00D1596E"/>
    <w:rsid w:val="00D15B9A"/>
    <w:rsid w:val="00D2116F"/>
    <w:rsid w:val="00D22426"/>
    <w:rsid w:val="00D22433"/>
    <w:rsid w:val="00D22EE7"/>
    <w:rsid w:val="00D23B77"/>
    <w:rsid w:val="00D23C56"/>
    <w:rsid w:val="00D24A8C"/>
    <w:rsid w:val="00D257AB"/>
    <w:rsid w:val="00D267B7"/>
    <w:rsid w:val="00D26E5A"/>
    <w:rsid w:val="00D31383"/>
    <w:rsid w:val="00D318DE"/>
    <w:rsid w:val="00D32562"/>
    <w:rsid w:val="00D336B9"/>
    <w:rsid w:val="00D33F2A"/>
    <w:rsid w:val="00D36DB2"/>
    <w:rsid w:val="00D3719C"/>
    <w:rsid w:val="00D372D9"/>
    <w:rsid w:val="00D37701"/>
    <w:rsid w:val="00D40ED9"/>
    <w:rsid w:val="00D43341"/>
    <w:rsid w:val="00D435CF"/>
    <w:rsid w:val="00D44BC3"/>
    <w:rsid w:val="00D45C9A"/>
    <w:rsid w:val="00D46806"/>
    <w:rsid w:val="00D47F55"/>
    <w:rsid w:val="00D52050"/>
    <w:rsid w:val="00D52C73"/>
    <w:rsid w:val="00D52EC5"/>
    <w:rsid w:val="00D576F3"/>
    <w:rsid w:val="00D60299"/>
    <w:rsid w:val="00D610B6"/>
    <w:rsid w:val="00D62431"/>
    <w:rsid w:val="00D624C0"/>
    <w:rsid w:val="00D6439A"/>
    <w:rsid w:val="00D6447C"/>
    <w:rsid w:val="00D644C5"/>
    <w:rsid w:val="00D64660"/>
    <w:rsid w:val="00D64C02"/>
    <w:rsid w:val="00D64EF5"/>
    <w:rsid w:val="00D6680D"/>
    <w:rsid w:val="00D715DC"/>
    <w:rsid w:val="00D720FB"/>
    <w:rsid w:val="00D72552"/>
    <w:rsid w:val="00D726AF"/>
    <w:rsid w:val="00D740C7"/>
    <w:rsid w:val="00D74A68"/>
    <w:rsid w:val="00D76F25"/>
    <w:rsid w:val="00D80884"/>
    <w:rsid w:val="00D81EA2"/>
    <w:rsid w:val="00D82674"/>
    <w:rsid w:val="00D839FE"/>
    <w:rsid w:val="00D84F65"/>
    <w:rsid w:val="00D85EB1"/>
    <w:rsid w:val="00D86D98"/>
    <w:rsid w:val="00D9077E"/>
    <w:rsid w:val="00D9106B"/>
    <w:rsid w:val="00D93517"/>
    <w:rsid w:val="00D95F3F"/>
    <w:rsid w:val="00D961A4"/>
    <w:rsid w:val="00D97CD3"/>
    <w:rsid w:val="00DA1866"/>
    <w:rsid w:val="00DA1DFD"/>
    <w:rsid w:val="00DA2738"/>
    <w:rsid w:val="00DA32B3"/>
    <w:rsid w:val="00DA34EE"/>
    <w:rsid w:val="00DA4AF2"/>
    <w:rsid w:val="00DB029B"/>
    <w:rsid w:val="00DB0888"/>
    <w:rsid w:val="00DB2595"/>
    <w:rsid w:val="00DB3D40"/>
    <w:rsid w:val="00DB715A"/>
    <w:rsid w:val="00DC04FC"/>
    <w:rsid w:val="00DC235C"/>
    <w:rsid w:val="00DC2D32"/>
    <w:rsid w:val="00DC648E"/>
    <w:rsid w:val="00DC64E7"/>
    <w:rsid w:val="00DC6767"/>
    <w:rsid w:val="00DD04A9"/>
    <w:rsid w:val="00DD1429"/>
    <w:rsid w:val="00DD1737"/>
    <w:rsid w:val="00DD1D43"/>
    <w:rsid w:val="00DD2281"/>
    <w:rsid w:val="00DD2727"/>
    <w:rsid w:val="00DD2A6A"/>
    <w:rsid w:val="00DD2AFE"/>
    <w:rsid w:val="00DD3551"/>
    <w:rsid w:val="00DD3E60"/>
    <w:rsid w:val="00DD5B7B"/>
    <w:rsid w:val="00DD5F32"/>
    <w:rsid w:val="00DD7971"/>
    <w:rsid w:val="00DD7A2E"/>
    <w:rsid w:val="00DD7D88"/>
    <w:rsid w:val="00DE1513"/>
    <w:rsid w:val="00DE219F"/>
    <w:rsid w:val="00DE33F9"/>
    <w:rsid w:val="00DE5383"/>
    <w:rsid w:val="00DE76BE"/>
    <w:rsid w:val="00DE7BC8"/>
    <w:rsid w:val="00DE7FF8"/>
    <w:rsid w:val="00DF0920"/>
    <w:rsid w:val="00DF0F94"/>
    <w:rsid w:val="00DF26C9"/>
    <w:rsid w:val="00DF2C6C"/>
    <w:rsid w:val="00DF30B9"/>
    <w:rsid w:val="00DF30EC"/>
    <w:rsid w:val="00DF4DBD"/>
    <w:rsid w:val="00DF57C1"/>
    <w:rsid w:val="00DF6D81"/>
    <w:rsid w:val="00DF72FF"/>
    <w:rsid w:val="00DF7528"/>
    <w:rsid w:val="00DF78C9"/>
    <w:rsid w:val="00E01312"/>
    <w:rsid w:val="00E021AC"/>
    <w:rsid w:val="00E02A8E"/>
    <w:rsid w:val="00E02D55"/>
    <w:rsid w:val="00E03C72"/>
    <w:rsid w:val="00E0422E"/>
    <w:rsid w:val="00E04D64"/>
    <w:rsid w:val="00E0697E"/>
    <w:rsid w:val="00E0756E"/>
    <w:rsid w:val="00E10E68"/>
    <w:rsid w:val="00E10E7B"/>
    <w:rsid w:val="00E12E42"/>
    <w:rsid w:val="00E130E7"/>
    <w:rsid w:val="00E13493"/>
    <w:rsid w:val="00E147C7"/>
    <w:rsid w:val="00E15E6F"/>
    <w:rsid w:val="00E163C7"/>
    <w:rsid w:val="00E16BA3"/>
    <w:rsid w:val="00E17E18"/>
    <w:rsid w:val="00E17F35"/>
    <w:rsid w:val="00E203E3"/>
    <w:rsid w:val="00E207AE"/>
    <w:rsid w:val="00E20CCC"/>
    <w:rsid w:val="00E212A1"/>
    <w:rsid w:val="00E22924"/>
    <w:rsid w:val="00E23BC8"/>
    <w:rsid w:val="00E25242"/>
    <w:rsid w:val="00E278B1"/>
    <w:rsid w:val="00E308E4"/>
    <w:rsid w:val="00E30A82"/>
    <w:rsid w:val="00E35DCD"/>
    <w:rsid w:val="00E422E7"/>
    <w:rsid w:val="00E42DD3"/>
    <w:rsid w:val="00E42F9E"/>
    <w:rsid w:val="00E46004"/>
    <w:rsid w:val="00E517CE"/>
    <w:rsid w:val="00E54052"/>
    <w:rsid w:val="00E553DD"/>
    <w:rsid w:val="00E55650"/>
    <w:rsid w:val="00E55DA6"/>
    <w:rsid w:val="00E615F2"/>
    <w:rsid w:val="00E62CFA"/>
    <w:rsid w:val="00E6572E"/>
    <w:rsid w:val="00E65D48"/>
    <w:rsid w:val="00E66523"/>
    <w:rsid w:val="00E7177D"/>
    <w:rsid w:val="00E71EEC"/>
    <w:rsid w:val="00E72738"/>
    <w:rsid w:val="00E738D4"/>
    <w:rsid w:val="00E76D15"/>
    <w:rsid w:val="00E77387"/>
    <w:rsid w:val="00E77996"/>
    <w:rsid w:val="00E80CA2"/>
    <w:rsid w:val="00E80D9F"/>
    <w:rsid w:val="00E81301"/>
    <w:rsid w:val="00E82856"/>
    <w:rsid w:val="00E85B10"/>
    <w:rsid w:val="00E87E0C"/>
    <w:rsid w:val="00E9077E"/>
    <w:rsid w:val="00E9209E"/>
    <w:rsid w:val="00E93636"/>
    <w:rsid w:val="00E95350"/>
    <w:rsid w:val="00E9564A"/>
    <w:rsid w:val="00E958DE"/>
    <w:rsid w:val="00E95BE3"/>
    <w:rsid w:val="00E975E2"/>
    <w:rsid w:val="00EA06CC"/>
    <w:rsid w:val="00EA080F"/>
    <w:rsid w:val="00EA10BB"/>
    <w:rsid w:val="00EA1702"/>
    <w:rsid w:val="00EA2436"/>
    <w:rsid w:val="00EA31DF"/>
    <w:rsid w:val="00EA4789"/>
    <w:rsid w:val="00EA4E97"/>
    <w:rsid w:val="00EA6957"/>
    <w:rsid w:val="00EA7C6B"/>
    <w:rsid w:val="00EB0A21"/>
    <w:rsid w:val="00EB14A2"/>
    <w:rsid w:val="00EB17FA"/>
    <w:rsid w:val="00EB31BE"/>
    <w:rsid w:val="00EB3884"/>
    <w:rsid w:val="00EB40E7"/>
    <w:rsid w:val="00EB534B"/>
    <w:rsid w:val="00EB5836"/>
    <w:rsid w:val="00EB6625"/>
    <w:rsid w:val="00EB7216"/>
    <w:rsid w:val="00EC107B"/>
    <w:rsid w:val="00EC16B0"/>
    <w:rsid w:val="00EC1A89"/>
    <w:rsid w:val="00EC22B2"/>
    <w:rsid w:val="00EC2ECE"/>
    <w:rsid w:val="00EC32E2"/>
    <w:rsid w:val="00EC5F16"/>
    <w:rsid w:val="00ED0072"/>
    <w:rsid w:val="00ED0AF5"/>
    <w:rsid w:val="00ED1657"/>
    <w:rsid w:val="00ED1BF0"/>
    <w:rsid w:val="00ED4479"/>
    <w:rsid w:val="00ED4524"/>
    <w:rsid w:val="00EE0632"/>
    <w:rsid w:val="00EE14F1"/>
    <w:rsid w:val="00EE15EE"/>
    <w:rsid w:val="00EE2B0F"/>
    <w:rsid w:val="00EE2FFA"/>
    <w:rsid w:val="00EE3438"/>
    <w:rsid w:val="00EE4311"/>
    <w:rsid w:val="00EE5CD7"/>
    <w:rsid w:val="00EF2817"/>
    <w:rsid w:val="00EF4F75"/>
    <w:rsid w:val="00EF5CF6"/>
    <w:rsid w:val="00EF6615"/>
    <w:rsid w:val="00F00540"/>
    <w:rsid w:val="00F02F28"/>
    <w:rsid w:val="00F104F7"/>
    <w:rsid w:val="00F111CD"/>
    <w:rsid w:val="00F115A2"/>
    <w:rsid w:val="00F11601"/>
    <w:rsid w:val="00F1234E"/>
    <w:rsid w:val="00F15327"/>
    <w:rsid w:val="00F1557B"/>
    <w:rsid w:val="00F209AD"/>
    <w:rsid w:val="00F214AB"/>
    <w:rsid w:val="00F218FD"/>
    <w:rsid w:val="00F22068"/>
    <w:rsid w:val="00F255B6"/>
    <w:rsid w:val="00F27E0E"/>
    <w:rsid w:val="00F30F8B"/>
    <w:rsid w:val="00F32321"/>
    <w:rsid w:val="00F355E1"/>
    <w:rsid w:val="00F3679B"/>
    <w:rsid w:val="00F3700E"/>
    <w:rsid w:val="00F37D70"/>
    <w:rsid w:val="00F416D4"/>
    <w:rsid w:val="00F41AF9"/>
    <w:rsid w:val="00F42729"/>
    <w:rsid w:val="00F434EC"/>
    <w:rsid w:val="00F43675"/>
    <w:rsid w:val="00F44141"/>
    <w:rsid w:val="00F51329"/>
    <w:rsid w:val="00F52F2D"/>
    <w:rsid w:val="00F57414"/>
    <w:rsid w:val="00F61060"/>
    <w:rsid w:val="00F62197"/>
    <w:rsid w:val="00F6308D"/>
    <w:rsid w:val="00F63A61"/>
    <w:rsid w:val="00F66390"/>
    <w:rsid w:val="00F6642E"/>
    <w:rsid w:val="00F704CD"/>
    <w:rsid w:val="00F71174"/>
    <w:rsid w:val="00F7130B"/>
    <w:rsid w:val="00F71EBD"/>
    <w:rsid w:val="00F72E02"/>
    <w:rsid w:val="00F73A05"/>
    <w:rsid w:val="00F77973"/>
    <w:rsid w:val="00F80860"/>
    <w:rsid w:val="00F82017"/>
    <w:rsid w:val="00F8208D"/>
    <w:rsid w:val="00F83276"/>
    <w:rsid w:val="00F83C91"/>
    <w:rsid w:val="00F85308"/>
    <w:rsid w:val="00F8549F"/>
    <w:rsid w:val="00F859F3"/>
    <w:rsid w:val="00F8757C"/>
    <w:rsid w:val="00F87A25"/>
    <w:rsid w:val="00F9049D"/>
    <w:rsid w:val="00F90F31"/>
    <w:rsid w:val="00F914D5"/>
    <w:rsid w:val="00F91A3B"/>
    <w:rsid w:val="00F9425D"/>
    <w:rsid w:val="00F950D9"/>
    <w:rsid w:val="00F95908"/>
    <w:rsid w:val="00F9691F"/>
    <w:rsid w:val="00F97E06"/>
    <w:rsid w:val="00FA05EC"/>
    <w:rsid w:val="00FA0D5B"/>
    <w:rsid w:val="00FA18D6"/>
    <w:rsid w:val="00FA196D"/>
    <w:rsid w:val="00FA1BAA"/>
    <w:rsid w:val="00FA28F5"/>
    <w:rsid w:val="00FA412C"/>
    <w:rsid w:val="00FA48E5"/>
    <w:rsid w:val="00FA4EF8"/>
    <w:rsid w:val="00FA5569"/>
    <w:rsid w:val="00FA5D64"/>
    <w:rsid w:val="00FA698C"/>
    <w:rsid w:val="00FA6B89"/>
    <w:rsid w:val="00FA7AF5"/>
    <w:rsid w:val="00FA7F7D"/>
    <w:rsid w:val="00FB0C4F"/>
    <w:rsid w:val="00FB219E"/>
    <w:rsid w:val="00FB4310"/>
    <w:rsid w:val="00FB5984"/>
    <w:rsid w:val="00FB7A69"/>
    <w:rsid w:val="00FC1D21"/>
    <w:rsid w:val="00FC2CA5"/>
    <w:rsid w:val="00FC32DF"/>
    <w:rsid w:val="00FC540E"/>
    <w:rsid w:val="00FC6545"/>
    <w:rsid w:val="00FC6EED"/>
    <w:rsid w:val="00FC7C32"/>
    <w:rsid w:val="00FD0206"/>
    <w:rsid w:val="00FD0218"/>
    <w:rsid w:val="00FD0A81"/>
    <w:rsid w:val="00FD0E20"/>
    <w:rsid w:val="00FD71E7"/>
    <w:rsid w:val="00FD7F2F"/>
    <w:rsid w:val="00FE050A"/>
    <w:rsid w:val="00FE09EE"/>
    <w:rsid w:val="00FE37D3"/>
    <w:rsid w:val="00FE403E"/>
    <w:rsid w:val="00FE6965"/>
    <w:rsid w:val="00FE7B60"/>
    <w:rsid w:val="00FE7E0D"/>
    <w:rsid w:val="00FF2138"/>
    <w:rsid w:val="00FF288F"/>
    <w:rsid w:val="00FF2920"/>
    <w:rsid w:val="00FF2BEF"/>
    <w:rsid w:val="00FF3299"/>
    <w:rsid w:val="00FF3A72"/>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3E64B32"/>
  <w15:chartTrackingRefBased/>
  <w15:docId w15:val="{51A31985-B190-4913-9015-F85E9B41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44CC"/>
    <w:pPr>
      <w:spacing w:before="284" w:after="0" w:line="260" w:lineRule="atLeast"/>
    </w:pPr>
  </w:style>
  <w:style w:type="paragraph" w:styleId="Kop1">
    <w:name w:val="heading 1"/>
    <w:next w:val="Standaard"/>
    <w:link w:val="Kop1Char"/>
    <w:qFormat/>
    <w:rsid w:val="00C966EB"/>
    <w:pPr>
      <w:numPr>
        <w:numId w:val="4"/>
      </w:numPr>
      <w:tabs>
        <w:tab w:val="left" w:pos="2127"/>
      </w:tabs>
      <w:spacing w:before="850" w:line="288" w:lineRule="auto"/>
      <w:outlineLvl w:val="0"/>
    </w:pPr>
    <w:rPr>
      <w:rFonts w:asciiTheme="majorHAnsi" w:hAnsiTheme="majorHAnsi" w:cstheme="majorHAnsi"/>
      <w:b/>
      <w:bCs/>
      <w:color w:val="EE7700" w:themeColor="accent1"/>
      <w:sz w:val="36"/>
      <w:szCs w:val="36"/>
    </w:rPr>
  </w:style>
  <w:style w:type="paragraph" w:styleId="Kop2">
    <w:name w:val="heading 2"/>
    <w:next w:val="Standaard"/>
    <w:link w:val="Kop2Char"/>
    <w:unhideWhenUsed/>
    <w:qFormat/>
    <w:rsid w:val="00C966EB"/>
    <w:pPr>
      <w:numPr>
        <w:ilvl w:val="1"/>
        <w:numId w:val="4"/>
      </w:numPr>
      <w:spacing w:before="567" w:line="260" w:lineRule="atLeast"/>
      <w:outlineLvl w:val="1"/>
    </w:pPr>
    <w:rPr>
      <w:rFonts w:cs="Calibri-Bold"/>
      <w:b/>
      <w:bCs/>
      <w:color w:val="95AABB" w:themeColor="accent2"/>
      <w:sz w:val="28"/>
      <w:szCs w:val="28"/>
    </w:rPr>
  </w:style>
  <w:style w:type="paragraph" w:styleId="Kop3">
    <w:name w:val="heading 3"/>
    <w:aliases w:val="Kop 3 Char Char"/>
    <w:next w:val="Standaard"/>
    <w:link w:val="Kop3Char"/>
    <w:unhideWhenUsed/>
    <w:qFormat/>
    <w:rsid w:val="00C966EB"/>
    <w:pPr>
      <w:numPr>
        <w:ilvl w:val="2"/>
        <w:numId w:val="4"/>
      </w:numPr>
      <w:tabs>
        <w:tab w:val="clear" w:pos="1561"/>
        <w:tab w:val="num" w:pos="284"/>
      </w:tabs>
      <w:spacing w:before="283" w:line="260" w:lineRule="atLeast"/>
      <w:ind w:left="737"/>
      <w:outlineLvl w:val="2"/>
    </w:pPr>
    <w:rPr>
      <w:rFonts w:asciiTheme="majorHAnsi" w:hAnsiTheme="majorHAnsi" w:cs="Calibri-Bold"/>
      <w:b/>
      <w:bCs/>
      <w:color w:val="000000"/>
      <w:sz w:val="24"/>
      <w:szCs w:val="24"/>
    </w:rPr>
  </w:style>
  <w:style w:type="paragraph" w:styleId="Kop4">
    <w:name w:val="heading 4"/>
    <w:next w:val="Geenafstand"/>
    <w:link w:val="Kop4Char"/>
    <w:unhideWhenUsed/>
    <w:qFormat/>
    <w:rsid w:val="00C966EB"/>
    <w:pPr>
      <w:numPr>
        <w:ilvl w:val="3"/>
        <w:numId w:val="4"/>
      </w:numPr>
      <w:spacing w:before="283" w:after="0" w:line="260" w:lineRule="atLeast"/>
      <w:outlineLvl w:val="3"/>
    </w:pPr>
    <w:rPr>
      <w:rFonts w:asciiTheme="majorHAnsi" w:hAnsiTheme="majorHAnsi" w:cs="Calibri-Italic"/>
      <w:i/>
      <w:iCs/>
      <w:color w:val="000000"/>
      <w:sz w:val="24"/>
      <w:szCs w:val="24"/>
    </w:rPr>
  </w:style>
  <w:style w:type="paragraph" w:styleId="Kop5">
    <w:name w:val="heading 5"/>
    <w:basedOn w:val="Standaard"/>
    <w:next w:val="Geenafstand"/>
    <w:link w:val="Kop5Char"/>
    <w:unhideWhenUsed/>
    <w:qFormat/>
    <w:rsid w:val="00C966EB"/>
    <w:pPr>
      <w:keepNext/>
      <w:keepLines/>
      <w:numPr>
        <w:ilvl w:val="4"/>
        <w:numId w:val="4"/>
      </w:numPr>
      <w:spacing w:before="142"/>
      <w:outlineLvl w:val="4"/>
    </w:pPr>
    <w:rPr>
      <w:rFonts w:asciiTheme="majorHAnsi" w:eastAsiaTheme="majorEastAsia" w:hAnsiTheme="majorHAnsi" w:cstheme="majorHAnsi"/>
      <w:color w:val="000000" w:themeColor="text1"/>
      <w:sz w:val="24"/>
      <w:szCs w:val="24"/>
    </w:rPr>
  </w:style>
  <w:style w:type="paragraph" w:styleId="Kop6">
    <w:name w:val="heading 6"/>
    <w:basedOn w:val="Standaard"/>
    <w:next w:val="Standaard"/>
    <w:link w:val="Kop6Char"/>
    <w:unhideWhenUsed/>
    <w:qFormat/>
    <w:rsid w:val="00C966EB"/>
    <w:pPr>
      <w:keepNext/>
      <w:keepLines/>
      <w:numPr>
        <w:ilvl w:val="5"/>
        <w:numId w:val="4"/>
      </w:numPr>
      <w:spacing w:before="40"/>
      <w:outlineLvl w:val="5"/>
    </w:pPr>
    <w:rPr>
      <w:rFonts w:asciiTheme="majorHAnsi" w:eastAsiaTheme="majorEastAsia" w:hAnsiTheme="majorHAnsi" w:cstheme="majorBidi"/>
      <w:color w:val="763A00" w:themeColor="accent1" w:themeShade="7F"/>
    </w:rPr>
  </w:style>
  <w:style w:type="paragraph" w:styleId="Kop7">
    <w:name w:val="heading 7"/>
    <w:basedOn w:val="Standaard"/>
    <w:next w:val="Standaard"/>
    <w:link w:val="Kop7Char"/>
    <w:unhideWhenUsed/>
    <w:qFormat/>
    <w:rsid w:val="00C966EB"/>
    <w:pPr>
      <w:keepNext/>
      <w:keepLines/>
      <w:numPr>
        <w:ilvl w:val="6"/>
        <w:numId w:val="4"/>
      </w:numPr>
      <w:spacing w:before="40"/>
      <w:outlineLvl w:val="6"/>
    </w:pPr>
    <w:rPr>
      <w:rFonts w:asciiTheme="majorHAnsi" w:eastAsiaTheme="majorEastAsia" w:hAnsiTheme="majorHAnsi" w:cstheme="majorBidi"/>
      <w:i/>
      <w:iCs/>
      <w:color w:val="763A00" w:themeColor="accent1" w:themeShade="7F"/>
    </w:rPr>
  </w:style>
  <w:style w:type="paragraph" w:styleId="Kop8">
    <w:name w:val="heading 8"/>
    <w:basedOn w:val="Standaard"/>
    <w:next w:val="Standaard"/>
    <w:link w:val="Kop8Char"/>
    <w:uiPriority w:val="9"/>
    <w:semiHidden/>
    <w:unhideWhenUsed/>
    <w:qFormat/>
    <w:rsid w:val="00C966EB"/>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C966EB"/>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A080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A080F"/>
  </w:style>
  <w:style w:type="paragraph" w:styleId="Voettekst">
    <w:name w:val="footer"/>
    <w:basedOn w:val="Geenafstand"/>
    <w:link w:val="VoettekstChar"/>
    <w:uiPriority w:val="99"/>
    <w:unhideWhenUsed/>
    <w:rsid w:val="00686F58"/>
    <w:pPr>
      <w:tabs>
        <w:tab w:val="center" w:pos="4395"/>
        <w:tab w:val="right" w:pos="8789"/>
      </w:tabs>
    </w:pPr>
    <w:rPr>
      <w:sz w:val="16"/>
      <w:szCs w:val="16"/>
    </w:rPr>
  </w:style>
  <w:style w:type="character" w:customStyle="1" w:styleId="VoettekstChar">
    <w:name w:val="Voettekst Char"/>
    <w:basedOn w:val="Standaardalinea-lettertype"/>
    <w:link w:val="Voettekst"/>
    <w:uiPriority w:val="99"/>
    <w:rsid w:val="00686F58"/>
    <w:rPr>
      <w:sz w:val="16"/>
      <w:szCs w:val="16"/>
    </w:rPr>
  </w:style>
  <w:style w:type="table" w:styleId="Tabelraster">
    <w:name w:val="Table Grid"/>
    <w:basedOn w:val="Standaardtabel"/>
    <w:rsid w:val="00582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73454C"/>
    <w:pPr>
      <w:spacing w:after="0" w:line="260" w:lineRule="atLeast"/>
    </w:pPr>
  </w:style>
  <w:style w:type="paragraph" w:styleId="Ballontekst">
    <w:name w:val="Balloon Text"/>
    <w:basedOn w:val="Standaard"/>
    <w:link w:val="BallontekstChar"/>
    <w:semiHidden/>
    <w:unhideWhenUsed/>
    <w:rsid w:val="003145C5"/>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145C5"/>
    <w:rPr>
      <w:rFonts w:ascii="Segoe UI" w:hAnsi="Segoe UI" w:cs="Segoe UI"/>
      <w:sz w:val="18"/>
      <w:szCs w:val="18"/>
    </w:rPr>
  </w:style>
  <w:style w:type="character" w:customStyle="1" w:styleId="Kop1Char">
    <w:name w:val="Kop 1 Char"/>
    <w:basedOn w:val="Standaardalinea-lettertype"/>
    <w:link w:val="Kop1"/>
    <w:rsid w:val="00C966EB"/>
    <w:rPr>
      <w:rFonts w:asciiTheme="majorHAnsi" w:hAnsiTheme="majorHAnsi" w:cstheme="majorHAnsi"/>
      <w:b/>
      <w:bCs/>
      <w:color w:val="EE7700" w:themeColor="accent1"/>
      <w:sz w:val="36"/>
      <w:szCs w:val="36"/>
    </w:rPr>
  </w:style>
  <w:style w:type="paragraph" w:styleId="Lijstalinea">
    <w:name w:val="List Paragraph"/>
    <w:aliases w:val="Lijstalinea bullets"/>
    <w:basedOn w:val="Standaard"/>
    <w:link w:val="LijstalineaChar"/>
    <w:uiPriority w:val="34"/>
    <w:qFormat/>
    <w:rsid w:val="005804E8"/>
    <w:pPr>
      <w:numPr>
        <w:numId w:val="1"/>
      </w:numPr>
      <w:contextualSpacing/>
    </w:pPr>
  </w:style>
  <w:style w:type="paragraph" w:customStyle="1" w:styleId="Lijstalineagenummerd">
    <w:name w:val="Lijstalinea genummerd"/>
    <w:basedOn w:val="Lijstalinea"/>
    <w:link w:val="LijstalineagenummerdChar"/>
    <w:qFormat/>
    <w:rsid w:val="00851856"/>
    <w:pPr>
      <w:numPr>
        <w:numId w:val="2"/>
      </w:numPr>
    </w:pPr>
  </w:style>
  <w:style w:type="paragraph" w:styleId="Voetnoottekst">
    <w:name w:val="footnote text"/>
    <w:aliases w:val="DTE-Voetnoottekst,Note de bas de page, Carattere,Car Char,Car, Car Char, Car,Footnote text,Carattere"/>
    <w:basedOn w:val="Standaard"/>
    <w:link w:val="VoetnoottekstChar"/>
    <w:unhideWhenUsed/>
    <w:rsid w:val="00F72E02"/>
    <w:pPr>
      <w:spacing w:before="0" w:line="200" w:lineRule="atLeast"/>
      <w:ind w:left="284" w:hanging="284"/>
    </w:pPr>
    <w:rPr>
      <w:sz w:val="18"/>
      <w:szCs w:val="20"/>
    </w:rPr>
  </w:style>
  <w:style w:type="character" w:customStyle="1" w:styleId="LijstalineaChar">
    <w:name w:val="Lijstalinea Char"/>
    <w:aliases w:val="Lijstalinea bullets Char"/>
    <w:basedOn w:val="Standaardalinea-lettertype"/>
    <w:link w:val="Lijstalinea"/>
    <w:uiPriority w:val="34"/>
    <w:rsid w:val="005804E8"/>
  </w:style>
  <w:style w:type="character" w:customStyle="1" w:styleId="LijstalineagenummerdChar">
    <w:name w:val="Lijstalinea genummerd Char"/>
    <w:basedOn w:val="LijstalineaChar"/>
    <w:link w:val="Lijstalineagenummerd"/>
    <w:rsid w:val="00851856"/>
  </w:style>
  <w:style w:type="character" w:customStyle="1" w:styleId="VoetnoottekstChar">
    <w:name w:val="Voetnoottekst Char"/>
    <w:aliases w:val="DTE-Voetnoottekst Char,Note de bas de page Char, Carattere Char,Car Char Char,Car Char1, Car Char Char, Car Char1,Footnote text Char,Carattere Char"/>
    <w:basedOn w:val="Standaardalinea-lettertype"/>
    <w:link w:val="Voetnoottekst"/>
    <w:rsid w:val="00F72E02"/>
    <w:rPr>
      <w:sz w:val="18"/>
      <w:szCs w:val="20"/>
    </w:rPr>
  </w:style>
  <w:style w:type="character" w:styleId="Voetnootmarkering">
    <w:name w:val="footnote reference"/>
    <w:aliases w:val=" Char Char1, Char Char3,Char Char3,Ref,de nota al pie,Footnote Reference Superscript,Footnote symbol,Times 10 Point,Exposant 3 Point,Appel note de bas de p,PBO Footnote Reference,FR + (Complex) Arial,Char Car Char Char,Char Car Char"/>
    <w:basedOn w:val="Standaardalinea-lettertype"/>
    <w:link w:val="CharCarCharCharCarCarCarCar"/>
    <w:unhideWhenUsed/>
    <w:qFormat/>
    <w:rsid w:val="005804E8"/>
    <w:rPr>
      <w:vertAlign w:val="superscript"/>
    </w:rPr>
  </w:style>
  <w:style w:type="character" w:styleId="Tekstvantijdelijkeaanduiding">
    <w:name w:val="Placeholder Text"/>
    <w:basedOn w:val="Standaardalinea-lettertype"/>
    <w:uiPriority w:val="99"/>
    <w:semiHidden/>
    <w:rsid w:val="0034188C"/>
    <w:rPr>
      <w:color w:val="808080"/>
    </w:rPr>
  </w:style>
  <w:style w:type="paragraph" w:styleId="Plattetekst">
    <w:name w:val="Body Text"/>
    <w:basedOn w:val="Standaard"/>
    <w:link w:val="PlattetekstChar"/>
    <w:uiPriority w:val="99"/>
    <w:rsid w:val="001537E3"/>
    <w:pPr>
      <w:autoSpaceDE w:val="0"/>
      <w:autoSpaceDN w:val="0"/>
      <w:adjustRightInd w:val="0"/>
      <w:spacing w:before="283"/>
      <w:ind w:left="1701"/>
      <w:textAlignment w:val="center"/>
    </w:pPr>
    <w:rPr>
      <w:rFonts w:ascii="Calibri" w:hAnsi="Calibri" w:cs="Calibri"/>
      <w:color w:val="000000"/>
      <w:lang w:val="nl-NL"/>
    </w:rPr>
  </w:style>
  <w:style w:type="character" w:customStyle="1" w:styleId="PlattetekstChar">
    <w:name w:val="Platte tekst Char"/>
    <w:basedOn w:val="Standaardalinea-lettertype"/>
    <w:link w:val="Plattetekst"/>
    <w:uiPriority w:val="99"/>
    <w:rsid w:val="001537E3"/>
    <w:rPr>
      <w:rFonts w:ascii="Calibri" w:hAnsi="Calibri" w:cs="Calibri"/>
      <w:color w:val="000000"/>
      <w:lang w:val="nl-NL"/>
    </w:rPr>
  </w:style>
  <w:style w:type="paragraph" w:customStyle="1" w:styleId="voetnoot">
    <w:name w:val="voetnoot"/>
    <w:basedOn w:val="Standaard"/>
    <w:uiPriority w:val="99"/>
    <w:rsid w:val="00223500"/>
    <w:pPr>
      <w:suppressAutoHyphens/>
      <w:autoSpaceDE w:val="0"/>
      <w:autoSpaceDN w:val="0"/>
      <w:adjustRightInd w:val="0"/>
      <w:spacing w:before="0" w:line="200" w:lineRule="atLeast"/>
      <w:ind w:left="284" w:hanging="283"/>
      <w:textAlignment w:val="center"/>
    </w:pPr>
    <w:rPr>
      <w:rFonts w:ascii="Calibri" w:hAnsi="Calibri" w:cs="Calibri"/>
      <w:color w:val="000000"/>
      <w:sz w:val="18"/>
      <w:szCs w:val="18"/>
      <w:lang w:val="nl-NL"/>
    </w:rPr>
  </w:style>
  <w:style w:type="character" w:customStyle="1" w:styleId="voetnootintekst">
    <w:name w:val="voetnoot in tekst"/>
    <w:uiPriority w:val="99"/>
    <w:rsid w:val="001537E3"/>
    <w:rPr>
      <w:vertAlign w:val="superscript"/>
    </w:rPr>
  </w:style>
  <w:style w:type="character" w:customStyle="1" w:styleId="italic">
    <w:name w:val="italic"/>
    <w:uiPriority w:val="99"/>
    <w:rsid w:val="001537E3"/>
    <w:rPr>
      <w:i/>
      <w:iCs/>
    </w:rPr>
  </w:style>
  <w:style w:type="character" w:customStyle="1" w:styleId="Kop2Char">
    <w:name w:val="Kop 2 Char"/>
    <w:basedOn w:val="Standaardalinea-lettertype"/>
    <w:link w:val="Kop2"/>
    <w:rsid w:val="00C966EB"/>
    <w:rPr>
      <w:rFonts w:cs="Calibri-Bold"/>
      <w:b/>
      <w:bCs/>
      <w:color w:val="95AABB" w:themeColor="accent2"/>
      <w:sz w:val="28"/>
      <w:szCs w:val="28"/>
    </w:rPr>
  </w:style>
  <w:style w:type="character" w:customStyle="1" w:styleId="Kop3Char">
    <w:name w:val="Kop 3 Char"/>
    <w:aliases w:val="Kop 3 Char Char Char"/>
    <w:basedOn w:val="Standaardalinea-lettertype"/>
    <w:link w:val="Kop3"/>
    <w:rsid w:val="00C966EB"/>
    <w:rPr>
      <w:rFonts w:asciiTheme="majorHAnsi" w:hAnsiTheme="majorHAnsi" w:cs="Calibri-Bold"/>
      <w:b/>
      <w:bCs/>
      <w:color w:val="000000"/>
      <w:sz w:val="24"/>
      <w:szCs w:val="24"/>
    </w:rPr>
  </w:style>
  <w:style w:type="character" w:customStyle="1" w:styleId="Kop4Char">
    <w:name w:val="Kop 4 Char"/>
    <w:basedOn w:val="Standaardalinea-lettertype"/>
    <w:link w:val="Kop4"/>
    <w:rsid w:val="00C966EB"/>
    <w:rPr>
      <w:rFonts w:asciiTheme="majorHAnsi" w:hAnsiTheme="majorHAnsi" w:cs="Calibri-Italic"/>
      <w:i/>
      <w:iCs/>
      <w:color w:val="000000"/>
      <w:sz w:val="24"/>
      <w:szCs w:val="24"/>
    </w:rPr>
  </w:style>
  <w:style w:type="character" w:customStyle="1" w:styleId="Kop5Char">
    <w:name w:val="Kop 5 Char"/>
    <w:basedOn w:val="Standaardalinea-lettertype"/>
    <w:link w:val="Kop5"/>
    <w:rsid w:val="00C966EB"/>
    <w:rPr>
      <w:rFonts w:asciiTheme="majorHAnsi" w:eastAsiaTheme="majorEastAsia" w:hAnsiTheme="majorHAnsi" w:cstheme="majorHAnsi"/>
      <w:color w:val="000000" w:themeColor="text1"/>
      <w:sz w:val="24"/>
      <w:szCs w:val="24"/>
    </w:rPr>
  </w:style>
  <w:style w:type="character" w:customStyle="1" w:styleId="Kop6Char">
    <w:name w:val="Kop 6 Char"/>
    <w:basedOn w:val="Standaardalinea-lettertype"/>
    <w:link w:val="Kop6"/>
    <w:rsid w:val="00C966EB"/>
    <w:rPr>
      <w:rFonts w:asciiTheme="majorHAnsi" w:eastAsiaTheme="majorEastAsia" w:hAnsiTheme="majorHAnsi" w:cstheme="majorBidi"/>
      <w:color w:val="763A00" w:themeColor="accent1" w:themeShade="7F"/>
    </w:rPr>
  </w:style>
  <w:style w:type="character" w:customStyle="1" w:styleId="Kop7Char">
    <w:name w:val="Kop 7 Char"/>
    <w:basedOn w:val="Standaardalinea-lettertype"/>
    <w:link w:val="Kop7"/>
    <w:rsid w:val="00C966EB"/>
    <w:rPr>
      <w:rFonts w:asciiTheme="majorHAnsi" w:eastAsiaTheme="majorEastAsia" w:hAnsiTheme="majorHAnsi" w:cstheme="majorBidi"/>
      <w:i/>
      <w:iCs/>
      <w:color w:val="763A00" w:themeColor="accent1" w:themeShade="7F"/>
    </w:rPr>
  </w:style>
  <w:style w:type="character" w:customStyle="1" w:styleId="Kop8Char">
    <w:name w:val="Kop 8 Char"/>
    <w:basedOn w:val="Standaardalinea-lettertype"/>
    <w:link w:val="Kop8"/>
    <w:uiPriority w:val="9"/>
    <w:semiHidden/>
    <w:rsid w:val="00C966EB"/>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C966EB"/>
    <w:rPr>
      <w:rFonts w:asciiTheme="majorHAnsi" w:eastAsiaTheme="majorEastAsia" w:hAnsiTheme="majorHAnsi" w:cstheme="majorBidi"/>
      <w:i/>
      <w:iCs/>
      <w:color w:val="272727" w:themeColor="text1" w:themeTint="D8"/>
      <w:sz w:val="21"/>
      <w:szCs w:val="21"/>
    </w:rPr>
  </w:style>
  <w:style w:type="paragraph" w:styleId="Kopvaninhoudsopgave">
    <w:name w:val="TOC Heading"/>
    <w:basedOn w:val="Kop1"/>
    <w:next w:val="Standaard"/>
    <w:uiPriority w:val="39"/>
    <w:unhideWhenUsed/>
    <w:qFormat/>
    <w:rsid w:val="00736FBF"/>
    <w:pPr>
      <w:numPr>
        <w:numId w:val="0"/>
      </w:numPr>
      <w:tabs>
        <w:tab w:val="clear" w:pos="2127"/>
      </w:tabs>
      <w:spacing w:before="240" w:line="320" w:lineRule="atLeast"/>
      <w:outlineLvl w:val="9"/>
    </w:pPr>
    <w:rPr>
      <w:rFonts w:eastAsiaTheme="majorEastAsia" w:cstheme="majorBidi"/>
      <w:bCs w:val="0"/>
      <w:lang w:val="nl-NL" w:eastAsia="nl-BE"/>
    </w:rPr>
  </w:style>
  <w:style w:type="paragraph" w:styleId="Inhopg1">
    <w:name w:val="toc 1"/>
    <w:basedOn w:val="Standaard"/>
    <w:next w:val="Standaard"/>
    <w:autoRedefine/>
    <w:uiPriority w:val="39"/>
    <w:unhideWhenUsed/>
    <w:qFormat/>
    <w:rsid w:val="00780214"/>
    <w:pPr>
      <w:tabs>
        <w:tab w:val="left" w:pos="709"/>
        <w:tab w:val="right" w:leader="dot" w:pos="8777"/>
      </w:tabs>
    </w:pPr>
    <w:rPr>
      <w:b/>
      <w:noProof/>
    </w:rPr>
  </w:style>
  <w:style w:type="paragraph" w:styleId="Inhopg2">
    <w:name w:val="toc 2"/>
    <w:basedOn w:val="Standaard"/>
    <w:next w:val="Standaard"/>
    <w:autoRedefine/>
    <w:uiPriority w:val="39"/>
    <w:unhideWhenUsed/>
    <w:qFormat/>
    <w:rsid w:val="00022B5F"/>
    <w:pPr>
      <w:tabs>
        <w:tab w:val="left" w:pos="709"/>
        <w:tab w:val="right" w:leader="dot" w:pos="8777"/>
      </w:tabs>
      <w:spacing w:before="170"/>
    </w:pPr>
    <w:rPr>
      <w:noProof/>
    </w:rPr>
  </w:style>
  <w:style w:type="paragraph" w:styleId="Inhopg3">
    <w:name w:val="toc 3"/>
    <w:basedOn w:val="Standaard"/>
    <w:next w:val="Standaard"/>
    <w:autoRedefine/>
    <w:uiPriority w:val="39"/>
    <w:unhideWhenUsed/>
    <w:qFormat/>
    <w:rsid w:val="00780214"/>
    <w:pPr>
      <w:tabs>
        <w:tab w:val="left" w:pos="709"/>
        <w:tab w:val="right" w:leader="dot" w:pos="8777"/>
      </w:tabs>
      <w:spacing w:before="0"/>
    </w:pPr>
    <w:rPr>
      <w:noProof/>
      <w:sz w:val="18"/>
      <w:szCs w:val="18"/>
    </w:rPr>
  </w:style>
  <w:style w:type="character" w:styleId="Hyperlink">
    <w:name w:val="Hyperlink"/>
    <w:basedOn w:val="Standaardalinea-lettertype"/>
    <w:uiPriority w:val="99"/>
    <w:unhideWhenUsed/>
    <w:rsid w:val="00022B5F"/>
    <w:rPr>
      <w:color w:val="0066BB" w:themeColor="hyperlink"/>
      <w:u w:val="single"/>
    </w:rPr>
  </w:style>
  <w:style w:type="paragraph" w:styleId="Inhopg4">
    <w:name w:val="toc 4"/>
    <w:basedOn w:val="Standaard"/>
    <w:next w:val="Standaard"/>
    <w:autoRedefine/>
    <w:uiPriority w:val="39"/>
    <w:unhideWhenUsed/>
    <w:rsid w:val="00F416D4"/>
    <w:pPr>
      <w:tabs>
        <w:tab w:val="left" w:pos="709"/>
        <w:tab w:val="right" w:leader="dot" w:pos="8777"/>
      </w:tabs>
      <w:spacing w:before="0"/>
    </w:pPr>
    <w:rPr>
      <w:i/>
      <w:noProof/>
      <w:sz w:val="18"/>
      <w:szCs w:val="18"/>
    </w:rPr>
  </w:style>
  <w:style w:type="paragraph" w:styleId="Titel">
    <w:name w:val="Title"/>
    <w:basedOn w:val="Standaard"/>
    <w:next w:val="Standaard"/>
    <w:link w:val="TitelChar"/>
    <w:qFormat/>
    <w:rsid w:val="00686F58"/>
    <w:pPr>
      <w:spacing w:before="0" w:line="1200" w:lineRule="atLeast"/>
    </w:pPr>
    <w:rPr>
      <w:color w:val="FFFFFF" w:themeColor="background1"/>
      <w:sz w:val="120"/>
      <w:szCs w:val="120"/>
    </w:rPr>
  </w:style>
  <w:style w:type="character" w:customStyle="1" w:styleId="TitelChar">
    <w:name w:val="Titel Char"/>
    <w:basedOn w:val="Standaardalinea-lettertype"/>
    <w:link w:val="Titel"/>
    <w:uiPriority w:val="10"/>
    <w:rsid w:val="00686F58"/>
    <w:rPr>
      <w:color w:val="FFFFFF" w:themeColor="background1"/>
      <w:sz w:val="120"/>
      <w:szCs w:val="120"/>
    </w:rPr>
  </w:style>
  <w:style w:type="paragraph" w:styleId="Ondertitel">
    <w:name w:val="Subtitle"/>
    <w:basedOn w:val="Standaard"/>
    <w:next w:val="Standaard"/>
    <w:link w:val="OndertitelChar"/>
    <w:qFormat/>
    <w:rsid w:val="008A47EF"/>
    <w:rPr>
      <w:b/>
      <w:sz w:val="28"/>
      <w:szCs w:val="28"/>
    </w:rPr>
  </w:style>
  <w:style w:type="character" w:customStyle="1" w:styleId="OndertitelChar">
    <w:name w:val="Ondertitel Char"/>
    <w:basedOn w:val="Standaardalinea-lettertype"/>
    <w:link w:val="Ondertitel"/>
    <w:uiPriority w:val="11"/>
    <w:rsid w:val="008A47EF"/>
    <w:rPr>
      <w:b/>
      <w:sz w:val="28"/>
      <w:szCs w:val="28"/>
    </w:rPr>
  </w:style>
  <w:style w:type="paragraph" w:styleId="Tekstopmerking">
    <w:name w:val="annotation text"/>
    <w:basedOn w:val="Standaard"/>
    <w:link w:val="TekstopmerkingChar"/>
    <w:semiHidden/>
    <w:unhideWhenUsed/>
    <w:rsid w:val="008A47E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A47EF"/>
    <w:rPr>
      <w:sz w:val="20"/>
      <w:szCs w:val="20"/>
    </w:rPr>
  </w:style>
  <w:style w:type="paragraph" w:styleId="Onderwerpvanopmerking">
    <w:name w:val="annotation subject"/>
    <w:basedOn w:val="Standaard"/>
    <w:next w:val="Tekstopmerking"/>
    <w:link w:val="OnderwerpvanopmerkingChar"/>
    <w:unhideWhenUsed/>
    <w:rsid w:val="00B146A6"/>
    <w:pPr>
      <w:spacing w:before="120" w:line="480" w:lineRule="exact"/>
    </w:pPr>
    <w:rPr>
      <w:sz w:val="24"/>
      <w:szCs w:val="24"/>
    </w:rPr>
  </w:style>
  <w:style w:type="character" w:customStyle="1" w:styleId="OnderwerpvanopmerkingChar">
    <w:name w:val="Onderwerp van opmerking Char"/>
    <w:basedOn w:val="TekstopmerkingChar"/>
    <w:link w:val="Onderwerpvanopmerking"/>
    <w:uiPriority w:val="99"/>
    <w:rsid w:val="00B146A6"/>
    <w:rPr>
      <w:sz w:val="24"/>
      <w:szCs w:val="24"/>
    </w:rPr>
  </w:style>
  <w:style w:type="paragraph" w:customStyle="1" w:styleId="Onderwerp">
    <w:name w:val="Onderwerp"/>
    <w:basedOn w:val="Standaard"/>
    <w:qFormat/>
    <w:rsid w:val="00851856"/>
    <w:pPr>
      <w:spacing w:before="60" w:line="480" w:lineRule="exact"/>
    </w:pPr>
  </w:style>
  <w:style w:type="paragraph" w:customStyle="1" w:styleId="voetnootscheidingsteken">
    <w:name w:val="voetnootscheidingsteken"/>
    <w:basedOn w:val="Standaard"/>
    <w:rsid w:val="00B146A6"/>
    <w:rPr>
      <w:b/>
      <w:color w:val="EE7700"/>
      <w:sz w:val="32"/>
      <w:szCs w:val="32"/>
    </w:rPr>
  </w:style>
  <w:style w:type="paragraph" w:styleId="Inhopg5">
    <w:name w:val="toc 5"/>
    <w:basedOn w:val="Standaard"/>
    <w:next w:val="Standaard"/>
    <w:autoRedefine/>
    <w:uiPriority w:val="39"/>
    <w:unhideWhenUsed/>
    <w:rsid w:val="00CA5F6E"/>
    <w:pPr>
      <w:tabs>
        <w:tab w:val="right" w:leader="dot" w:pos="8777"/>
      </w:tabs>
      <w:spacing w:before="0"/>
      <w:ind w:left="709"/>
    </w:pPr>
    <w:rPr>
      <w:noProof/>
      <w:sz w:val="18"/>
      <w:szCs w:val="18"/>
    </w:rPr>
  </w:style>
  <w:style w:type="table" w:styleId="Rastertabel5donker-Accent1">
    <w:name w:val="Grid Table 5 Dark Accent 1"/>
    <w:basedOn w:val="Standaardtabel"/>
    <w:uiPriority w:val="50"/>
    <w:rsid w:val="00CA5F6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C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77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77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77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7700" w:themeFill="accent1"/>
      </w:tcPr>
    </w:tblStylePr>
    <w:tblStylePr w:type="band1Vert">
      <w:tblPr/>
      <w:tcPr>
        <w:shd w:val="clear" w:color="auto" w:fill="FFC892" w:themeFill="accent1" w:themeFillTint="66"/>
      </w:tcPr>
    </w:tblStylePr>
    <w:tblStylePr w:type="band1Horz">
      <w:tblPr/>
      <w:tcPr>
        <w:shd w:val="clear" w:color="auto" w:fill="FFC892" w:themeFill="accent1" w:themeFillTint="66"/>
      </w:tcPr>
    </w:tblStylePr>
  </w:style>
  <w:style w:type="paragraph" w:styleId="Documentstructuur">
    <w:name w:val="Document Map"/>
    <w:basedOn w:val="Standaard"/>
    <w:link w:val="DocumentstructuurChar"/>
    <w:semiHidden/>
    <w:rsid w:val="000D47E5"/>
    <w:pPr>
      <w:shd w:val="clear" w:color="auto" w:fill="000080"/>
      <w:spacing w:before="0" w:line="240" w:lineRule="auto"/>
      <w:jc w:val="both"/>
    </w:pPr>
    <w:rPr>
      <w:rFonts w:ascii="Tahoma" w:eastAsia="Times New Roman" w:hAnsi="Tahoma" w:cs="Tahoma"/>
      <w:sz w:val="20"/>
      <w:szCs w:val="20"/>
      <w:lang w:val="nl-NL" w:eastAsia="nl-BE"/>
    </w:rPr>
  </w:style>
  <w:style w:type="character" w:customStyle="1" w:styleId="DocumentstructuurChar">
    <w:name w:val="Documentstructuur Char"/>
    <w:basedOn w:val="Standaardalinea-lettertype"/>
    <w:link w:val="Documentstructuur"/>
    <w:semiHidden/>
    <w:rsid w:val="000D47E5"/>
    <w:rPr>
      <w:rFonts w:ascii="Tahoma" w:eastAsia="Times New Roman" w:hAnsi="Tahoma" w:cs="Tahoma"/>
      <w:sz w:val="20"/>
      <w:szCs w:val="20"/>
      <w:shd w:val="clear" w:color="auto" w:fill="000080"/>
      <w:lang w:val="nl-NL" w:eastAsia="nl-BE"/>
    </w:rPr>
  </w:style>
  <w:style w:type="paragraph" w:styleId="Aanhef">
    <w:name w:val="Salutation"/>
    <w:basedOn w:val="Standaard"/>
    <w:next w:val="Standaard"/>
    <w:link w:val="AanhefChar"/>
    <w:semiHidden/>
    <w:rsid w:val="000D47E5"/>
    <w:pPr>
      <w:spacing w:before="0" w:line="240" w:lineRule="auto"/>
      <w:jc w:val="both"/>
    </w:pPr>
    <w:rPr>
      <w:rFonts w:ascii="Tahoma" w:eastAsia="Times New Roman" w:hAnsi="Tahoma" w:cs="Times New Roman"/>
      <w:sz w:val="20"/>
      <w:szCs w:val="20"/>
      <w:lang w:val="nl-NL" w:eastAsia="nl-BE"/>
    </w:rPr>
  </w:style>
  <w:style w:type="character" w:customStyle="1" w:styleId="AanhefChar">
    <w:name w:val="Aanhef Char"/>
    <w:basedOn w:val="Standaardalinea-lettertype"/>
    <w:link w:val="Aanhef"/>
    <w:semiHidden/>
    <w:rsid w:val="000D47E5"/>
    <w:rPr>
      <w:rFonts w:ascii="Tahoma" w:eastAsia="Times New Roman" w:hAnsi="Tahoma" w:cs="Times New Roman"/>
      <w:sz w:val="20"/>
      <w:szCs w:val="20"/>
      <w:lang w:val="nl-NL" w:eastAsia="nl-BE"/>
    </w:rPr>
  </w:style>
  <w:style w:type="paragraph" w:styleId="Afsluiting">
    <w:name w:val="Closing"/>
    <w:basedOn w:val="Standaard"/>
    <w:link w:val="AfsluitingChar"/>
    <w:semiHidden/>
    <w:rsid w:val="000D47E5"/>
    <w:pPr>
      <w:spacing w:before="0" w:line="240" w:lineRule="auto"/>
      <w:jc w:val="both"/>
    </w:pPr>
    <w:rPr>
      <w:rFonts w:ascii="Tahoma" w:eastAsia="Times New Roman" w:hAnsi="Tahoma" w:cs="Times New Roman"/>
      <w:sz w:val="20"/>
      <w:szCs w:val="20"/>
      <w:lang w:val="nl-NL" w:eastAsia="nl-BE"/>
    </w:rPr>
  </w:style>
  <w:style w:type="character" w:customStyle="1" w:styleId="AfsluitingChar">
    <w:name w:val="Afsluiting Char"/>
    <w:basedOn w:val="Standaardalinea-lettertype"/>
    <w:link w:val="Afsluiting"/>
    <w:semiHidden/>
    <w:rsid w:val="000D47E5"/>
    <w:rPr>
      <w:rFonts w:ascii="Tahoma" w:eastAsia="Times New Roman" w:hAnsi="Tahoma" w:cs="Times New Roman"/>
      <w:sz w:val="20"/>
      <w:szCs w:val="20"/>
      <w:lang w:val="nl-NL" w:eastAsia="nl-BE"/>
    </w:rPr>
  </w:style>
  <w:style w:type="paragraph" w:styleId="Afzender">
    <w:name w:val="envelope return"/>
    <w:basedOn w:val="Standaard"/>
    <w:semiHidden/>
    <w:rsid w:val="000D47E5"/>
    <w:pPr>
      <w:spacing w:before="0" w:line="240" w:lineRule="auto"/>
      <w:jc w:val="both"/>
    </w:pPr>
    <w:rPr>
      <w:rFonts w:ascii="Tahoma" w:eastAsia="Times New Roman" w:hAnsi="Tahoma" w:cs="Arial"/>
      <w:sz w:val="20"/>
      <w:szCs w:val="20"/>
      <w:lang w:val="nl-NL" w:eastAsia="nl-BE"/>
    </w:rPr>
  </w:style>
  <w:style w:type="paragraph" w:styleId="Bronvermelding">
    <w:name w:val="table of authorities"/>
    <w:basedOn w:val="Standaard"/>
    <w:next w:val="Standaard"/>
    <w:semiHidden/>
    <w:rsid w:val="000D47E5"/>
    <w:pPr>
      <w:spacing w:before="0" w:line="240" w:lineRule="auto"/>
      <w:ind w:left="581" w:hanging="581"/>
      <w:jc w:val="both"/>
    </w:pPr>
    <w:rPr>
      <w:rFonts w:ascii="Tahoma" w:eastAsia="Times New Roman" w:hAnsi="Tahoma" w:cs="Times New Roman"/>
      <w:b/>
      <w:sz w:val="16"/>
      <w:szCs w:val="20"/>
      <w:lang w:val="nl-NL" w:eastAsia="nl-BE"/>
    </w:rPr>
  </w:style>
  <w:style w:type="paragraph" w:styleId="Datum">
    <w:name w:val="Date"/>
    <w:basedOn w:val="Standaard"/>
    <w:next w:val="Standaard"/>
    <w:link w:val="DatumChar"/>
    <w:rsid w:val="000D47E5"/>
    <w:pPr>
      <w:spacing w:before="0" w:line="240" w:lineRule="auto"/>
      <w:jc w:val="both"/>
    </w:pPr>
    <w:rPr>
      <w:rFonts w:ascii="Tahoma" w:eastAsia="Times New Roman" w:hAnsi="Tahoma" w:cs="Times New Roman"/>
      <w:sz w:val="20"/>
      <w:szCs w:val="20"/>
      <w:lang w:val="nl-NL" w:eastAsia="nl-BE"/>
    </w:rPr>
  </w:style>
  <w:style w:type="character" w:customStyle="1" w:styleId="DatumChar">
    <w:name w:val="Datum Char"/>
    <w:basedOn w:val="Standaardalinea-lettertype"/>
    <w:link w:val="Datum"/>
    <w:rsid w:val="000D47E5"/>
    <w:rPr>
      <w:rFonts w:ascii="Tahoma" w:eastAsia="Times New Roman" w:hAnsi="Tahoma" w:cs="Times New Roman"/>
      <w:sz w:val="20"/>
      <w:szCs w:val="20"/>
      <w:lang w:val="nl-NL" w:eastAsia="nl-BE"/>
    </w:rPr>
  </w:style>
  <w:style w:type="character" w:styleId="Eindnootmarkering">
    <w:name w:val="endnote reference"/>
    <w:rsid w:val="000D47E5"/>
    <w:rPr>
      <w:vertAlign w:val="superscript"/>
    </w:rPr>
  </w:style>
  <w:style w:type="paragraph" w:styleId="Eindnoottekst">
    <w:name w:val="endnote text"/>
    <w:basedOn w:val="Standaard"/>
    <w:link w:val="EindnoottekstChar"/>
    <w:rsid w:val="000D47E5"/>
    <w:pPr>
      <w:spacing w:before="0" w:line="240" w:lineRule="auto"/>
      <w:jc w:val="both"/>
    </w:pPr>
    <w:rPr>
      <w:rFonts w:ascii="Tahoma" w:eastAsia="Times New Roman" w:hAnsi="Tahoma" w:cs="Times New Roman"/>
      <w:sz w:val="16"/>
      <w:szCs w:val="20"/>
      <w:lang w:val="nl-NL" w:eastAsia="nl-BE"/>
    </w:rPr>
  </w:style>
  <w:style w:type="character" w:customStyle="1" w:styleId="EindnoottekstChar">
    <w:name w:val="Eindnoottekst Char"/>
    <w:basedOn w:val="Standaardalinea-lettertype"/>
    <w:link w:val="Eindnoottekst"/>
    <w:rsid w:val="000D47E5"/>
    <w:rPr>
      <w:rFonts w:ascii="Tahoma" w:eastAsia="Times New Roman" w:hAnsi="Tahoma" w:cs="Times New Roman"/>
      <w:sz w:val="16"/>
      <w:szCs w:val="20"/>
      <w:lang w:val="nl-NL" w:eastAsia="nl-BE"/>
    </w:rPr>
  </w:style>
  <w:style w:type="paragraph" w:styleId="E-mailhandtekening">
    <w:name w:val="E-mail Signature"/>
    <w:basedOn w:val="Standaard"/>
    <w:link w:val="E-mailhandtekeningChar"/>
    <w:semiHidden/>
    <w:rsid w:val="000D47E5"/>
    <w:pPr>
      <w:spacing w:before="0" w:line="240" w:lineRule="auto"/>
      <w:jc w:val="both"/>
    </w:pPr>
    <w:rPr>
      <w:rFonts w:ascii="Tahoma" w:eastAsia="Times New Roman" w:hAnsi="Tahoma" w:cs="Times New Roman"/>
      <w:sz w:val="20"/>
      <w:szCs w:val="20"/>
      <w:lang w:val="nl-NL" w:eastAsia="nl-BE"/>
    </w:rPr>
  </w:style>
  <w:style w:type="character" w:customStyle="1" w:styleId="E-mailhandtekeningChar">
    <w:name w:val="E-mailhandtekening Char"/>
    <w:basedOn w:val="Standaardalinea-lettertype"/>
    <w:link w:val="E-mailhandtekening"/>
    <w:semiHidden/>
    <w:rsid w:val="000D47E5"/>
    <w:rPr>
      <w:rFonts w:ascii="Tahoma" w:eastAsia="Times New Roman" w:hAnsi="Tahoma" w:cs="Times New Roman"/>
      <w:sz w:val="20"/>
      <w:szCs w:val="20"/>
      <w:lang w:val="nl-NL" w:eastAsia="nl-BE"/>
    </w:rPr>
  </w:style>
  <w:style w:type="character" w:styleId="GevolgdeHyperlink">
    <w:name w:val="FollowedHyperlink"/>
    <w:semiHidden/>
    <w:rsid w:val="000D47E5"/>
    <w:rPr>
      <w:color w:val="800080"/>
      <w:u w:val="single"/>
    </w:rPr>
  </w:style>
  <w:style w:type="paragraph" w:styleId="Handtekening">
    <w:name w:val="Signature"/>
    <w:basedOn w:val="Standaard"/>
    <w:link w:val="HandtekeningChar"/>
    <w:rsid w:val="000D47E5"/>
    <w:pPr>
      <w:spacing w:before="0" w:line="240" w:lineRule="auto"/>
      <w:jc w:val="both"/>
    </w:pPr>
    <w:rPr>
      <w:rFonts w:ascii="Tahoma" w:eastAsia="Times New Roman" w:hAnsi="Tahoma" w:cs="Times New Roman"/>
      <w:sz w:val="20"/>
      <w:szCs w:val="20"/>
      <w:lang w:val="nl-NL" w:eastAsia="nl-BE"/>
    </w:rPr>
  </w:style>
  <w:style w:type="character" w:customStyle="1" w:styleId="HandtekeningChar">
    <w:name w:val="Handtekening Char"/>
    <w:basedOn w:val="Standaardalinea-lettertype"/>
    <w:link w:val="Handtekening"/>
    <w:rsid w:val="000D47E5"/>
    <w:rPr>
      <w:rFonts w:ascii="Tahoma" w:eastAsia="Times New Roman" w:hAnsi="Tahoma" w:cs="Times New Roman"/>
      <w:sz w:val="20"/>
      <w:szCs w:val="20"/>
      <w:lang w:val="nl-NL" w:eastAsia="nl-BE"/>
    </w:rPr>
  </w:style>
  <w:style w:type="paragraph" w:styleId="Index1">
    <w:name w:val="index 1"/>
    <w:basedOn w:val="Standaard"/>
    <w:next w:val="Standaard"/>
    <w:autoRedefine/>
    <w:semiHidden/>
    <w:rsid w:val="000D47E5"/>
    <w:pPr>
      <w:spacing w:before="0" w:line="240" w:lineRule="auto"/>
      <w:ind w:left="200" w:hanging="200"/>
      <w:jc w:val="both"/>
    </w:pPr>
    <w:rPr>
      <w:rFonts w:ascii="Tahoma" w:eastAsia="Times New Roman" w:hAnsi="Tahoma" w:cs="Times New Roman"/>
      <w:sz w:val="20"/>
      <w:szCs w:val="20"/>
      <w:lang w:val="nl-NL" w:eastAsia="nl-BE"/>
    </w:rPr>
  </w:style>
  <w:style w:type="paragraph" w:styleId="Index2">
    <w:name w:val="index 2"/>
    <w:basedOn w:val="Standaard"/>
    <w:next w:val="Standaard"/>
    <w:autoRedefine/>
    <w:semiHidden/>
    <w:rsid w:val="000D47E5"/>
    <w:pPr>
      <w:spacing w:before="0" w:line="240" w:lineRule="auto"/>
      <w:ind w:left="400" w:hanging="200"/>
      <w:jc w:val="both"/>
    </w:pPr>
    <w:rPr>
      <w:rFonts w:ascii="Tahoma" w:eastAsia="Times New Roman" w:hAnsi="Tahoma" w:cs="Times New Roman"/>
      <w:sz w:val="20"/>
      <w:szCs w:val="20"/>
      <w:lang w:val="nl-NL" w:eastAsia="nl-BE"/>
    </w:rPr>
  </w:style>
  <w:style w:type="paragraph" w:styleId="Index3">
    <w:name w:val="index 3"/>
    <w:basedOn w:val="Standaard"/>
    <w:next w:val="Standaard"/>
    <w:autoRedefine/>
    <w:semiHidden/>
    <w:rsid w:val="000D47E5"/>
    <w:pPr>
      <w:spacing w:before="0" w:line="240" w:lineRule="auto"/>
      <w:ind w:left="600" w:hanging="200"/>
      <w:jc w:val="both"/>
    </w:pPr>
    <w:rPr>
      <w:rFonts w:ascii="Tahoma" w:eastAsia="Times New Roman" w:hAnsi="Tahoma" w:cs="Times New Roman"/>
      <w:sz w:val="20"/>
      <w:szCs w:val="20"/>
      <w:lang w:val="nl-NL" w:eastAsia="nl-BE"/>
    </w:rPr>
  </w:style>
  <w:style w:type="paragraph" w:styleId="Index4">
    <w:name w:val="index 4"/>
    <w:basedOn w:val="Standaard"/>
    <w:next w:val="Standaard"/>
    <w:autoRedefine/>
    <w:semiHidden/>
    <w:rsid w:val="000D47E5"/>
    <w:pPr>
      <w:spacing w:before="0" w:line="240" w:lineRule="auto"/>
      <w:ind w:left="800" w:hanging="200"/>
      <w:jc w:val="both"/>
    </w:pPr>
    <w:rPr>
      <w:rFonts w:ascii="Tahoma" w:eastAsia="Times New Roman" w:hAnsi="Tahoma" w:cs="Times New Roman"/>
      <w:sz w:val="20"/>
      <w:szCs w:val="20"/>
      <w:lang w:val="nl-NL" w:eastAsia="nl-BE"/>
    </w:rPr>
  </w:style>
  <w:style w:type="paragraph" w:styleId="Index5">
    <w:name w:val="index 5"/>
    <w:basedOn w:val="Standaard"/>
    <w:next w:val="Standaard"/>
    <w:autoRedefine/>
    <w:semiHidden/>
    <w:rsid w:val="000D47E5"/>
    <w:pPr>
      <w:spacing w:before="0" w:line="240" w:lineRule="auto"/>
      <w:ind w:left="1000" w:hanging="200"/>
      <w:jc w:val="both"/>
    </w:pPr>
    <w:rPr>
      <w:rFonts w:ascii="Tahoma" w:eastAsia="Times New Roman" w:hAnsi="Tahoma" w:cs="Times New Roman"/>
      <w:sz w:val="20"/>
      <w:szCs w:val="20"/>
      <w:lang w:val="nl-NL" w:eastAsia="nl-BE"/>
    </w:rPr>
  </w:style>
  <w:style w:type="paragraph" w:styleId="Index6">
    <w:name w:val="index 6"/>
    <w:basedOn w:val="Standaard"/>
    <w:next w:val="Standaard"/>
    <w:autoRedefine/>
    <w:semiHidden/>
    <w:rsid w:val="000D47E5"/>
    <w:pPr>
      <w:spacing w:before="0" w:line="240" w:lineRule="auto"/>
      <w:ind w:left="1200" w:hanging="200"/>
      <w:jc w:val="both"/>
    </w:pPr>
    <w:rPr>
      <w:rFonts w:ascii="Tahoma" w:eastAsia="Times New Roman" w:hAnsi="Tahoma" w:cs="Times New Roman"/>
      <w:sz w:val="20"/>
      <w:szCs w:val="20"/>
      <w:lang w:val="nl-NL" w:eastAsia="nl-BE"/>
    </w:rPr>
  </w:style>
  <w:style w:type="paragraph" w:styleId="Index7">
    <w:name w:val="index 7"/>
    <w:basedOn w:val="Standaard"/>
    <w:next w:val="Standaard"/>
    <w:autoRedefine/>
    <w:semiHidden/>
    <w:rsid w:val="000D47E5"/>
    <w:pPr>
      <w:spacing w:before="0" w:line="240" w:lineRule="auto"/>
      <w:ind w:left="1400" w:hanging="200"/>
      <w:jc w:val="both"/>
    </w:pPr>
    <w:rPr>
      <w:rFonts w:ascii="Tahoma" w:eastAsia="Times New Roman" w:hAnsi="Tahoma" w:cs="Times New Roman"/>
      <w:sz w:val="20"/>
      <w:szCs w:val="20"/>
      <w:lang w:val="nl-NL" w:eastAsia="nl-BE"/>
    </w:rPr>
  </w:style>
  <w:style w:type="paragraph" w:styleId="Index8">
    <w:name w:val="index 8"/>
    <w:basedOn w:val="Standaard"/>
    <w:next w:val="Standaard"/>
    <w:autoRedefine/>
    <w:semiHidden/>
    <w:rsid w:val="000D47E5"/>
    <w:pPr>
      <w:spacing w:before="0" w:line="240" w:lineRule="auto"/>
      <w:ind w:left="1600" w:hanging="200"/>
      <w:jc w:val="both"/>
    </w:pPr>
    <w:rPr>
      <w:rFonts w:ascii="Tahoma" w:eastAsia="Times New Roman" w:hAnsi="Tahoma" w:cs="Times New Roman"/>
      <w:sz w:val="20"/>
      <w:szCs w:val="20"/>
      <w:lang w:val="nl-NL" w:eastAsia="nl-BE"/>
    </w:rPr>
  </w:style>
  <w:style w:type="paragraph" w:styleId="Index9">
    <w:name w:val="index 9"/>
    <w:basedOn w:val="Standaard"/>
    <w:next w:val="Standaard"/>
    <w:autoRedefine/>
    <w:semiHidden/>
    <w:rsid w:val="000D47E5"/>
    <w:pPr>
      <w:spacing w:before="0" w:line="240" w:lineRule="auto"/>
      <w:ind w:left="1800" w:hanging="200"/>
      <w:jc w:val="both"/>
    </w:pPr>
    <w:rPr>
      <w:rFonts w:ascii="Tahoma" w:eastAsia="Times New Roman" w:hAnsi="Tahoma" w:cs="Times New Roman"/>
      <w:sz w:val="20"/>
      <w:szCs w:val="20"/>
      <w:lang w:val="nl-NL" w:eastAsia="nl-BE"/>
    </w:rPr>
  </w:style>
  <w:style w:type="paragraph" w:styleId="Indexkop">
    <w:name w:val="index heading"/>
    <w:basedOn w:val="Standaard"/>
    <w:next w:val="Index1"/>
    <w:semiHidden/>
    <w:rsid w:val="000D47E5"/>
    <w:pPr>
      <w:spacing w:before="0" w:line="240" w:lineRule="auto"/>
      <w:jc w:val="both"/>
    </w:pPr>
    <w:rPr>
      <w:rFonts w:ascii="Tahoma" w:eastAsia="Times New Roman" w:hAnsi="Tahoma" w:cs="Arial"/>
      <w:b/>
      <w:bCs/>
      <w:sz w:val="20"/>
      <w:szCs w:val="20"/>
      <w:lang w:val="nl-NL" w:eastAsia="nl-BE"/>
    </w:rPr>
  </w:style>
  <w:style w:type="paragraph" w:styleId="Inhopg6">
    <w:name w:val="toc 6"/>
    <w:basedOn w:val="Standaard"/>
    <w:next w:val="Standaard"/>
    <w:autoRedefine/>
    <w:uiPriority w:val="39"/>
    <w:rsid w:val="000D47E5"/>
    <w:pPr>
      <w:tabs>
        <w:tab w:val="left" w:pos="2028"/>
        <w:tab w:val="right" w:leader="dot" w:pos="9062"/>
      </w:tabs>
      <w:spacing w:before="0" w:line="240" w:lineRule="auto"/>
      <w:ind w:left="2030" w:hanging="1032"/>
    </w:pPr>
    <w:rPr>
      <w:rFonts w:ascii="Tahoma" w:eastAsia="Times New Roman" w:hAnsi="Tahoma" w:cs="Times New Roman"/>
      <w:sz w:val="20"/>
      <w:szCs w:val="20"/>
      <w:lang w:val="nl-NL" w:eastAsia="nl-BE"/>
    </w:rPr>
  </w:style>
  <w:style w:type="paragraph" w:styleId="Inhopg7">
    <w:name w:val="toc 7"/>
    <w:basedOn w:val="Standaard"/>
    <w:next w:val="Standaard"/>
    <w:autoRedefine/>
    <w:uiPriority w:val="39"/>
    <w:rsid w:val="000D47E5"/>
    <w:pPr>
      <w:tabs>
        <w:tab w:val="left" w:pos="2398"/>
        <w:tab w:val="right" w:leader="dot" w:pos="9062"/>
      </w:tabs>
      <w:spacing w:before="0" w:line="240" w:lineRule="auto"/>
      <w:ind w:left="2404" w:hanging="1202"/>
    </w:pPr>
    <w:rPr>
      <w:rFonts w:ascii="Tahoma" w:eastAsia="Times New Roman" w:hAnsi="Tahoma" w:cs="Times New Roman"/>
      <w:sz w:val="20"/>
      <w:szCs w:val="20"/>
      <w:lang w:val="nl-NL" w:eastAsia="nl-BE"/>
    </w:rPr>
  </w:style>
  <w:style w:type="paragraph" w:styleId="Inhopg8">
    <w:name w:val="toc 8"/>
    <w:basedOn w:val="Standaard"/>
    <w:next w:val="Standaard"/>
    <w:autoRedefine/>
    <w:uiPriority w:val="39"/>
    <w:rsid w:val="000D47E5"/>
    <w:pPr>
      <w:spacing w:before="0" w:line="240" w:lineRule="auto"/>
      <w:ind w:left="1400"/>
    </w:pPr>
    <w:rPr>
      <w:rFonts w:ascii="Tahoma" w:eastAsia="Times New Roman" w:hAnsi="Tahoma" w:cs="Times New Roman"/>
      <w:sz w:val="20"/>
      <w:szCs w:val="20"/>
      <w:lang w:val="nl-NL" w:eastAsia="nl-BE"/>
    </w:rPr>
  </w:style>
  <w:style w:type="paragraph" w:styleId="Inhopg9">
    <w:name w:val="toc 9"/>
    <w:basedOn w:val="Standaard"/>
    <w:next w:val="Standaard"/>
    <w:autoRedefine/>
    <w:uiPriority w:val="39"/>
    <w:rsid w:val="000D47E5"/>
    <w:pPr>
      <w:spacing w:before="0" w:line="240" w:lineRule="auto"/>
      <w:ind w:left="1600"/>
    </w:pPr>
    <w:rPr>
      <w:rFonts w:ascii="Tahoma" w:eastAsia="Times New Roman" w:hAnsi="Tahoma" w:cs="Times New Roman"/>
      <w:sz w:val="20"/>
      <w:szCs w:val="20"/>
      <w:lang w:val="nl-NL" w:eastAsia="nl-BE"/>
    </w:rPr>
  </w:style>
  <w:style w:type="paragraph" w:styleId="Kopbronvermelding">
    <w:name w:val="toa heading"/>
    <w:basedOn w:val="Standaard"/>
    <w:next w:val="Standaard"/>
    <w:semiHidden/>
    <w:rsid w:val="000D47E5"/>
    <w:pPr>
      <w:spacing w:before="120" w:line="240" w:lineRule="auto"/>
      <w:jc w:val="both"/>
    </w:pPr>
    <w:rPr>
      <w:rFonts w:ascii="Tahoma" w:eastAsia="Times New Roman" w:hAnsi="Tahoma" w:cs="Arial"/>
      <w:b/>
      <w:bCs/>
      <w:sz w:val="24"/>
      <w:szCs w:val="24"/>
      <w:lang w:val="nl-NL" w:eastAsia="nl-BE"/>
    </w:rPr>
  </w:style>
  <w:style w:type="paragraph" w:styleId="Lijst">
    <w:name w:val="List"/>
    <w:basedOn w:val="Standaard"/>
    <w:semiHidden/>
    <w:rsid w:val="000D47E5"/>
    <w:pPr>
      <w:spacing w:before="0" w:line="240" w:lineRule="auto"/>
      <w:ind w:left="357" w:hanging="357"/>
      <w:jc w:val="both"/>
    </w:pPr>
    <w:rPr>
      <w:rFonts w:ascii="Tahoma" w:eastAsia="Times New Roman" w:hAnsi="Tahoma" w:cs="Times New Roman"/>
      <w:sz w:val="20"/>
      <w:szCs w:val="20"/>
      <w:lang w:val="nl-NL" w:eastAsia="nl-BE"/>
    </w:rPr>
  </w:style>
  <w:style w:type="paragraph" w:styleId="Lijst2">
    <w:name w:val="List 2"/>
    <w:basedOn w:val="Standaard"/>
    <w:semiHidden/>
    <w:rsid w:val="000D47E5"/>
    <w:pPr>
      <w:spacing w:before="0" w:line="240" w:lineRule="auto"/>
      <w:ind w:left="714" w:hanging="357"/>
      <w:jc w:val="both"/>
    </w:pPr>
    <w:rPr>
      <w:rFonts w:ascii="Tahoma" w:eastAsia="Times New Roman" w:hAnsi="Tahoma" w:cs="Times New Roman"/>
      <w:sz w:val="20"/>
      <w:szCs w:val="20"/>
      <w:lang w:val="nl-NL" w:eastAsia="nl-BE"/>
    </w:rPr>
  </w:style>
  <w:style w:type="paragraph" w:styleId="Lijst3">
    <w:name w:val="List 3"/>
    <w:basedOn w:val="Standaard"/>
    <w:semiHidden/>
    <w:rsid w:val="000D47E5"/>
    <w:pPr>
      <w:spacing w:before="0" w:line="240" w:lineRule="auto"/>
      <w:ind w:left="1071" w:hanging="357"/>
      <w:jc w:val="both"/>
    </w:pPr>
    <w:rPr>
      <w:rFonts w:ascii="Tahoma" w:eastAsia="Times New Roman" w:hAnsi="Tahoma" w:cs="Times New Roman"/>
      <w:sz w:val="20"/>
      <w:szCs w:val="20"/>
      <w:lang w:val="nl-NL" w:eastAsia="nl-BE"/>
    </w:rPr>
  </w:style>
  <w:style w:type="paragraph" w:styleId="Lijst4">
    <w:name w:val="List 4"/>
    <w:basedOn w:val="Standaard"/>
    <w:semiHidden/>
    <w:rsid w:val="000D47E5"/>
    <w:pPr>
      <w:spacing w:before="0" w:line="240" w:lineRule="auto"/>
      <w:ind w:left="1429" w:hanging="357"/>
      <w:jc w:val="both"/>
    </w:pPr>
    <w:rPr>
      <w:rFonts w:ascii="Tahoma" w:eastAsia="Times New Roman" w:hAnsi="Tahoma" w:cs="Times New Roman"/>
      <w:sz w:val="20"/>
      <w:szCs w:val="20"/>
      <w:lang w:val="nl-NL" w:eastAsia="nl-BE"/>
    </w:rPr>
  </w:style>
  <w:style w:type="paragraph" w:styleId="Lijst5">
    <w:name w:val="List 5"/>
    <w:basedOn w:val="Standaard"/>
    <w:semiHidden/>
    <w:rsid w:val="000D47E5"/>
    <w:pPr>
      <w:spacing w:before="0" w:line="240" w:lineRule="auto"/>
      <w:ind w:left="1786" w:hanging="357"/>
      <w:jc w:val="both"/>
    </w:pPr>
    <w:rPr>
      <w:rFonts w:ascii="Tahoma" w:eastAsia="Times New Roman" w:hAnsi="Tahoma" w:cs="Times New Roman"/>
      <w:sz w:val="20"/>
      <w:szCs w:val="20"/>
      <w:lang w:val="nl-NL" w:eastAsia="nl-BE"/>
    </w:rPr>
  </w:style>
  <w:style w:type="paragraph" w:styleId="Lijstopsomteken">
    <w:name w:val="List Bullet"/>
    <w:basedOn w:val="Standaard"/>
    <w:semiHidden/>
    <w:rsid w:val="000D47E5"/>
    <w:pPr>
      <w:tabs>
        <w:tab w:val="num" w:pos="360"/>
      </w:tabs>
      <w:spacing w:before="0" w:line="240" w:lineRule="auto"/>
      <w:jc w:val="both"/>
    </w:pPr>
    <w:rPr>
      <w:rFonts w:ascii="Tahoma" w:eastAsia="Times New Roman" w:hAnsi="Tahoma" w:cs="Times New Roman"/>
      <w:sz w:val="20"/>
      <w:szCs w:val="20"/>
      <w:lang w:val="nl-NL" w:eastAsia="nl-BE"/>
    </w:rPr>
  </w:style>
  <w:style w:type="paragraph" w:styleId="Lijstopsomteken2">
    <w:name w:val="List Bullet 2"/>
    <w:basedOn w:val="Standaard"/>
    <w:semiHidden/>
    <w:rsid w:val="000D47E5"/>
    <w:pPr>
      <w:tabs>
        <w:tab w:val="num" w:pos="360"/>
      </w:tabs>
      <w:spacing w:before="0" w:line="240" w:lineRule="auto"/>
      <w:jc w:val="both"/>
    </w:pPr>
    <w:rPr>
      <w:rFonts w:ascii="Tahoma" w:eastAsia="Times New Roman" w:hAnsi="Tahoma" w:cs="Times New Roman"/>
      <w:sz w:val="20"/>
      <w:szCs w:val="20"/>
      <w:lang w:val="nl-NL" w:eastAsia="nl-BE"/>
    </w:rPr>
  </w:style>
  <w:style w:type="paragraph" w:styleId="Lijstopsomteken3">
    <w:name w:val="List Bullet 3"/>
    <w:basedOn w:val="Standaard"/>
    <w:semiHidden/>
    <w:rsid w:val="000D47E5"/>
    <w:pPr>
      <w:tabs>
        <w:tab w:val="num" w:pos="360"/>
        <w:tab w:val="left" w:pos="714"/>
      </w:tabs>
      <w:spacing w:before="0" w:line="240" w:lineRule="auto"/>
      <w:jc w:val="both"/>
    </w:pPr>
    <w:rPr>
      <w:rFonts w:ascii="Tahoma" w:eastAsia="Times New Roman" w:hAnsi="Tahoma" w:cs="Times New Roman"/>
      <w:sz w:val="20"/>
      <w:szCs w:val="20"/>
      <w:lang w:val="nl-NL" w:eastAsia="nl-BE"/>
    </w:rPr>
  </w:style>
  <w:style w:type="paragraph" w:styleId="Lijstopsomteken4">
    <w:name w:val="List Bullet 4"/>
    <w:basedOn w:val="Standaard"/>
    <w:semiHidden/>
    <w:rsid w:val="000D47E5"/>
    <w:pPr>
      <w:tabs>
        <w:tab w:val="num" w:pos="360"/>
        <w:tab w:val="left" w:pos="1072"/>
      </w:tabs>
      <w:spacing w:before="0" w:line="240" w:lineRule="auto"/>
      <w:jc w:val="both"/>
    </w:pPr>
    <w:rPr>
      <w:rFonts w:ascii="Tahoma" w:eastAsia="Times New Roman" w:hAnsi="Tahoma" w:cs="Times New Roman"/>
      <w:sz w:val="20"/>
      <w:szCs w:val="20"/>
      <w:lang w:val="nl-NL" w:eastAsia="nl-BE"/>
    </w:rPr>
  </w:style>
  <w:style w:type="paragraph" w:styleId="Lijstopsomteken5">
    <w:name w:val="List Bullet 5"/>
    <w:basedOn w:val="Standaard"/>
    <w:semiHidden/>
    <w:rsid w:val="000D47E5"/>
    <w:pPr>
      <w:numPr>
        <w:numId w:val="5"/>
      </w:numPr>
      <w:tabs>
        <w:tab w:val="clear" w:pos="1786"/>
        <w:tab w:val="num" w:pos="360"/>
      </w:tabs>
      <w:spacing w:before="0" w:line="240" w:lineRule="auto"/>
      <w:ind w:left="0" w:firstLine="0"/>
      <w:jc w:val="both"/>
    </w:pPr>
    <w:rPr>
      <w:rFonts w:ascii="Tahoma" w:eastAsia="Times New Roman" w:hAnsi="Tahoma" w:cs="Times New Roman"/>
      <w:sz w:val="20"/>
      <w:szCs w:val="20"/>
      <w:lang w:val="nl-NL" w:eastAsia="nl-BE"/>
    </w:rPr>
  </w:style>
  <w:style w:type="paragraph" w:styleId="Lijstnummering">
    <w:name w:val="List Number"/>
    <w:basedOn w:val="Standaard"/>
    <w:semiHidden/>
    <w:rsid w:val="000D47E5"/>
    <w:pPr>
      <w:tabs>
        <w:tab w:val="num" w:pos="360"/>
      </w:tabs>
      <w:spacing w:before="0" w:line="240" w:lineRule="auto"/>
      <w:jc w:val="both"/>
    </w:pPr>
    <w:rPr>
      <w:rFonts w:ascii="Tahoma" w:eastAsia="Times New Roman" w:hAnsi="Tahoma" w:cs="Times New Roman"/>
      <w:sz w:val="20"/>
      <w:szCs w:val="20"/>
      <w:lang w:val="nl-NL" w:eastAsia="nl-BE"/>
    </w:rPr>
  </w:style>
  <w:style w:type="paragraph" w:styleId="Lijstnummering2">
    <w:name w:val="List Number 2"/>
    <w:basedOn w:val="Standaard"/>
    <w:semiHidden/>
    <w:rsid w:val="000D47E5"/>
    <w:pPr>
      <w:tabs>
        <w:tab w:val="num" w:pos="360"/>
      </w:tabs>
      <w:spacing w:before="0" w:line="240" w:lineRule="auto"/>
      <w:jc w:val="both"/>
    </w:pPr>
    <w:rPr>
      <w:rFonts w:ascii="Tahoma" w:eastAsia="Times New Roman" w:hAnsi="Tahoma" w:cs="Times New Roman"/>
      <w:sz w:val="20"/>
      <w:szCs w:val="20"/>
      <w:lang w:val="nl-NL" w:eastAsia="nl-BE"/>
    </w:rPr>
  </w:style>
  <w:style w:type="paragraph" w:styleId="Lijstnummering3">
    <w:name w:val="List Number 3"/>
    <w:basedOn w:val="Standaard"/>
    <w:semiHidden/>
    <w:rsid w:val="000D47E5"/>
    <w:pPr>
      <w:tabs>
        <w:tab w:val="num" w:pos="360"/>
      </w:tabs>
      <w:spacing w:before="0" w:line="240" w:lineRule="auto"/>
      <w:jc w:val="both"/>
    </w:pPr>
    <w:rPr>
      <w:rFonts w:ascii="Tahoma" w:eastAsia="Times New Roman" w:hAnsi="Tahoma" w:cs="Times New Roman"/>
      <w:sz w:val="20"/>
      <w:szCs w:val="20"/>
      <w:lang w:eastAsia="nl-BE"/>
    </w:rPr>
  </w:style>
  <w:style w:type="paragraph" w:styleId="Lijstnummering4">
    <w:name w:val="List Number 4"/>
    <w:basedOn w:val="Standaard"/>
    <w:semiHidden/>
    <w:rsid w:val="000D47E5"/>
    <w:pPr>
      <w:tabs>
        <w:tab w:val="num" w:pos="360"/>
        <w:tab w:val="left" w:pos="1072"/>
      </w:tabs>
      <w:spacing w:before="0" w:line="240" w:lineRule="auto"/>
      <w:jc w:val="both"/>
    </w:pPr>
    <w:rPr>
      <w:rFonts w:ascii="Tahoma" w:eastAsia="Times New Roman" w:hAnsi="Tahoma" w:cs="Times New Roman"/>
      <w:sz w:val="20"/>
      <w:szCs w:val="20"/>
      <w:lang w:val="nl-NL" w:eastAsia="nl-BE"/>
    </w:rPr>
  </w:style>
  <w:style w:type="paragraph" w:styleId="Lijstnummering5">
    <w:name w:val="List Number 5"/>
    <w:basedOn w:val="Standaard"/>
    <w:semiHidden/>
    <w:rsid w:val="000D47E5"/>
    <w:pPr>
      <w:tabs>
        <w:tab w:val="num" w:pos="360"/>
      </w:tabs>
      <w:spacing w:before="0" w:line="240" w:lineRule="auto"/>
      <w:jc w:val="both"/>
    </w:pPr>
    <w:rPr>
      <w:rFonts w:ascii="Tahoma" w:eastAsia="Times New Roman" w:hAnsi="Tahoma" w:cs="Times New Roman"/>
      <w:sz w:val="20"/>
      <w:szCs w:val="20"/>
      <w:lang w:eastAsia="nl-BE"/>
    </w:rPr>
  </w:style>
  <w:style w:type="paragraph" w:styleId="Lijstvoortzetting">
    <w:name w:val="List Continue"/>
    <w:basedOn w:val="Standaard"/>
    <w:semiHidden/>
    <w:rsid w:val="000D47E5"/>
    <w:pPr>
      <w:spacing w:before="0" w:after="120" w:line="240" w:lineRule="auto"/>
      <w:ind w:left="357"/>
      <w:jc w:val="both"/>
    </w:pPr>
    <w:rPr>
      <w:rFonts w:ascii="Tahoma" w:eastAsia="Times New Roman" w:hAnsi="Tahoma" w:cs="Times New Roman"/>
      <w:sz w:val="20"/>
      <w:szCs w:val="20"/>
      <w:lang w:val="nl-NL" w:eastAsia="nl-BE"/>
    </w:rPr>
  </w:style>
  <w:style w:type="paragraph" w:styleId="Lijstvoortzetting2">
    <w:name w:val="List Continue 2"/>
    <w:basedOn w:val="Standaard"/>
    <w:semiHidden/>
    <w:rsid w:val="000D47E5"/>
    <w:pPr>
      <w:spacing w:before="0" w:after="120" w:line="240" w:lineRule="auto"/>
      <w:ind w:left="714"/>
      <w:jc w:val="both"/>
    </w:pPr>
    <w:rPr>
      <w:rFonts w:ascii="Tahoma" w:eastAsia="Times New Roman" w:hAnsi="Tahoma" w:cs="Times New Roman"/>
      <w:sz w:val="20"/>
      <w:szCs w:val="20"/>
      <w:lang w:val="nl-NL" w:eastAsia="nl-BE"/>
    </w:rPr>
  </w:style>
  <w:style w:type="paragraph" w:styleId="Lijstvoortzetting3">
    <w:name w:val="List Continue 3"/>
    <w:basedOn w:val="Standaard"/>
    <w:semiHidden/>
    <w:rsid w:val="000D47E5"/>
    <w:pPr>
      <w:spacing w:before="0" w:after="120" w:line="240" w:lineRule="auto"/>
      <w:ind w:left="1072"/>
      <w:jc w:val="both"/>
    </w:pPr>
    <w:rPr>
      <w:rFonts w:ascii="Tahoma" w:eastAsia="Times New Roman" w:hAnsi="Tahoma" w:cs="Times New Roman"/>
      <w:sz w:val="20"/>
      <w:szCs w:val="20"/>
      <w:lang w:val="nl-NL" w:eastAsia="nl-BE"/>
    </w:rPr>
  </w:style>
  <w:style w:type="paragraph" w:styleId="Lijstvoortzetting4">
    <w:name w:val="List Continue 4"/>
    <w:basedOn w:val="Standaard"/>
    <w:semiHidden/>
    <w:rsid w:val="000D47E5"/>
    <w:pPr>
      <w:spacing w:before="0" w:after="120" w:line="240" w:lineRule="auto"/>
      <w:ind w:left="1429"/>
      <w:jc w:val="both"/>
    </w:pPr>
    <w:rPr>
      <w:rFonts w:ascii="Tahoma" w:eastAsia="Times New Roman" w:hAnsi="Tahoma" w:cs="Times New Roman"/>
      <w:sz w:val="20"/>
      <w:szCs w:val="20"/>
      <w:lang w:val="nl-NL" w:eastAsia="nl-BE"/>
    </w:rPr>
  </w:style>
  <w:style w:type="paragraph" w:styleId="Lijstvoortzetting5">
    <w:name w:val="List Continue 5"/>
    <w:basedOn w:val="Standaard"/>
    <w:semiHidden/>
    <w:rsid w:val="000D47E5"/>
    <w:pPr>
      <w:spacing w:before="0" w:after="120" w:line="240" w:lineRule="auto"/>
      <w:ind w:left="1786"/>
      <w:jc w:val="both"/>
    </w:pPr>
    <w:rPr>
      <w:rFonts w:ascii="Tahoma" w:eastAsia="Times New Roman" w:hAnsi="Tahoma" w:cs="Times New Roman"/>
      <w:sz w:val="20"/>
      <w:szCs w:val="20"/>
      <w:lang w:val="nl-NL" w:eastAsia="nl-BE"/>
    </w:rPr>
  </w:style>
  <w:style w:type="paragraph" w:styleId="Normaalweb">
    <w:name w:val="Normal (Web)"/>
    <w:basedOn w:val="Standaard"/>
    <w:uiPriority w:val="99"/>
    <w:semiHidden/>
    <w:rsid w:val="000D47E5"/>
    <w:pPr>
      <w:spacing w:before="0" w:line="240" w:lineRule="auto"/>
      <w:jc w:val="both"/>
    </w:pPr>
    <w:rPr>
      <w:rFonts w:ascii="Tahoma" w:eastAsia="Times New Roman" w:hAnsi="Tahoma" w:cs="Times New Roman"/>
      <w:sz w:val="20"/>
      <w:szCs w:val="24"/>
      <w:lang w:val="nl-NL" w:eastAsia="nl-BE"/>
    </w:rPr>
  </w:style>
  <w:style w:type="paragraph" w:styleId="Notitiekop">
    <w:name w:val="Note Heading"/>
    <w:basedOn w:val="Standaard"/>
    <w:next w:val="Standaard"/>
    <w:link w:val="NotitiekopChar"/>
    <w:semiHidden/>
    <w:rsid w:val="000D47E5"/>
    <w:pPr>
      <w:spacing w:before="0" w:line="240" w:lineRule="auto"/>
      <w:jc w:val="both"/>
    </w:pPr>
    <w:rPr>
      <w:rFonts w:ascii="Tahoma" w:eastAsia="Times New Roman" w:hAnsi="Tahoma" w:cs="Times New Roman"/>
      <w:sz w:val="20"/>
      <w:szCs w:val="20"/>
      <w:lang w:val="nl-NL" w:eastAsia="nl-BE"/>
    </w:rPr>
  </w:style>
  <w:style w:type="character" w:customStyle="1" w:styleId="NotitiekopChar">
    <w:name w:val="Notitiekop Char"/>
    <w:basedOn w:val="Standaardalinea-lettertype"/>
    <w:link w:val="Notitiekop"/>
    <w:semiHidden/>
    <w:rsid w:val="000D47E5"/>
    <w:rPr>
      <w:rFonts w:ascii="Tahoma" w:eastAsia="Times New Roman" w:hAnsi="Tahoma" w:cs="Times New Roman"/>
      <w:sz w:val="20"/>
      <w:szCs w:val="20"/>
      <w:lang w:val="nl-NL" w:eastAsia="nl-BE"/>
    </w:rPr>
  </w:style>
  <w:style w:type="numbering" w:customStyle="1" w:styleId="Nummering-meerdereniveaus">
    <w:name w:val="Nummering - meerdere niveaus"/>
    <w:basedOn w:val="Geenlijst"/>
    <w:rsid w:val="000D47E5"/>
    <w:pPr>
      <w:numPr>
        <w:numId w:val="6"/>
      </w:numPr>
    </w:pPr>
  </w:style>
  <w:style w:type="numbering" w:customStyle="1" w:styleId="Nummering-Linksuitgelijnd">
    <w:name w:val="Nummering  - Links uitgelijnd"/>
    <w:basedOn w:val="Nummering-meerdereniveaus"/>
    <w:rsid w:val="000D47E5"/>
    <w:pPr>
      <w:numPr>
        <w:numId w:val="7"/>
      </w:numPr>
    </w:pPr>
  </w:style>
  <w:style w:type="numbering" w:customStyle="1" w:styleId="OpmaakprofielMetopsommingstekensSymbolsymbool12ptLinks0cm">
    <w:name w:val="Opmaakprofiel Met opsommingstekens Symbol (symbool) 12 pt Links:  0 cm ..."/>
    <w:basedOn w:val="Geenlijst"/>
    <w:semiHidden/>
    <w:rsid w:val="000D47E5"/>
    <w:pPr>
      <w:numPr>
        <w:numId w:val="8"/>
      </w:numPr>
    </w:pPr>
  </w:style>
  <w:style w:type="numbering" w:customStyle="1" w:styleId="Opsommingstekens-meerdereniveaus">
    <w:name w:val="Opsommingstekens - meerdere niveaus"/>
    <w:rsid w:val="000D47E5"/>
    <w:pPr>
      <w:numPr>
        <w:numId w:val="9"/>
      </w:numPr>
    </w:pPr>
  </w:style>
  <w:style w:type="character" w:styleId="Paginanummer">
    <w:name w:val="page number"/>
    <w:rsid w:val="000D47E5"/>
    <w:rPr>
      <w:rFonts w:ascii="Tahoma" w:hAnsi="Tahoma"/>
      <w:sz w:val="16"/>
    </w:rPr>
  </w:style>
  <w:style w:type="character" w:styleId="Verwijzingopmerking">
    <w:name w:val="annotation reference"/>
    <w:semiHidden/>
    <w:rsid w:val="000D47E5"/>
    <w:rPr>
      <w:sz w:val="16"/>
      <w:szCs w:val="16"/>
    </w:rPr>
  </w:style>
  <w:style w:type="paragraph" w:styleId="Tekstzonderopmaak">
    <w:name w:val="Plain Text"/>
    <w:basedOn w:val="Standaard"/>
    <w:link w:val="TekstzonderopmaakChar"/>
    <w:rsid w:val="000D47E5"/>
    <w:pPr>
      <w:spacing w:before="0" w:line="240" w:lineRule="auto"/>
    </w:pPr>
    <w:rPr>
      <w:rFonts w:ascii="Courier New" w:eastAsia="Times New Roman" w:hAnsi="Courier New" w:cs="Courier New"/>
      <w:sz w:val="20"/>
      <w:szCs w:val="20"/>
      <w:lang w:eastAsia="nl-BE"/>
    </w:rPr>
  </w:style>
  <w:style w:type="character" w:customStyle="1" w:styleId="TekstzonderopmaakChar">
    <w:name w:val="Tekst zonder opmaak Char"/>
    <w:basedOn w:val="Standaardalinea-lettertype"/>
    <w:link w:val="Tekstzonderopmaak"/>
    <w:rsid w:val="000D47E5"/>
    <w:rPr>
      <w:rFonts w:ascii="Courier New" w:eastAsia="Times New Roman" w:hAnsi="Courier New" w:cs="Courier New"/>
      <w:sz w:val="20"/>
      <w:szCs w:val="20"/>
      <w:lang w:eastAsia="nl-BE"/>
    </w:rPr>
  </w:style>
  <w:style w:type="character" w:customStyle="1" w:styleId="emailstijl118">
    <w:name w:val="emailstijl118"/>
    <w:semiHidden/>
    <w:rsid w:val="000D47E5"/>
    <w:rPr>
      <w:rFonts w:ascii="Tahoma" w:hAnsi="Tahoma" w:cs="Tahoma" w:hint="default"/>
      <w:b w:val="0"/>
      <w:bCs w:val="0"/>
      <w:i w:val="0"/>
      <w:iCs w:val="0"/>
      <w:strike w:val="0"/>
      <w:dstrike w:val="0"/>
      <w:color w:val="auto"/>
      <w:sz w:val="20"/>
      <w:szCs w:val="20"/>
      <w:u w:val="none"/>
      <w:effect w:val="none"/>
    </w:rPr>
  </w:style>
  <w:style w:type="paragraph" w:customStyle="1" w:styleId="CharChar">
    <w:name w:val="Char Char"/>
    <w:basedOn w:val="Standaard"/>
    <w:rsid w:val="000D47E5"/>
    <w:pPr>
      <w:spacing w:before="0" w:after="160" w:line="240" w:lineRule="exact"/>
    </w:pPr>
    <w:rPr>
      <w:rFonts w:ascii="Verdana" w:eastAsia="Times New Roman" w:hAnsi="Verdana" w:cs="Times New Roman"/>
      <w:sz w:val="20"/>
      <w:szCs w:val="20"/>
      <w:lang w:val="en-US"/>
    </w:rPr>
  </w:style>
  <w:style w:type="paragraph" w:customStyle="1" w:styleId="CharChar1CharCarCharCharCharChar">
    <w:name w:val="Char Char1 Char Car Char Char Char Char"/>
    <w:basedOn w:val="Standaard"/>
    <w:rsid w:val="000D47E5"/>
    <w:pPr>
      <w:spacing w:before="0" w:after="160" w:line="240" w:lineRule="exact"/>
    </w:pPr>
    <w:rPr>
      <w:rFonts w:ascii="Verdana" w:eastAsia="Times New Roman" w:hAnsi="Verdana" w:cs="Times New Roman"/>
      <w:sz w:val="24"/>
      <w:szCs w:val="24"/>
    </w:rPr>
  </w:style>
  <w:style w:type="character" w:customStyle="1" w:styleId="apple-style-span">
    <w:name w:val="apple-style-span"/>
    <w:rsid w:val="000D47E5"/>
  </w:style>
  <w:style w:type="character" w:customStyle="1" w:styleId="apple-converted-space">
    <w:name w:val="apple-converted-space"/>
    <w:rsid w:val="000D47E5"/>
  </w:style>
  <w:style w:type="character" w:styleId="Regelnummer">
    <w:name w:val="line number"/>
    <w:uiPriority w:val="99"/>
    <w:semiHidden/>
    <w:unhideWhenUsed/>
    <w:rsid w:val="000D47E5"/>
  </w:style>
  <w:style w:type="paragraph" w:styleId="Bijschrift">
    <w:name w:val="caption"/>
    <w:basedOn w:val="Standaard"/>
    <w:next w:val="Standaard"/>
    <w:uiPriority w:val="35"/>
    <w:unhideWhenUsed/>
    <w:qFormat/>
    <w:rsid w:val="000D47E5"/>
    <w:pPr>
      <w:spacing w:before="0" w:line="240" w:lineRule="auto"/>
      <w:jc w:val="both"/>
    </w:pPr>
    <w:rPr>
      <w:rFonts w:ascii="Tahoma" w:eastAsia="Times New Roman" w:hAnsi="Tahoma" w:cs="Times New Roman"/>
      <w:b/>
      <w:bCs/>
      <w:sz w:val="20"/>
      <w:szCs w:val="20"/>
      <w:lang w:val="nl-NL" w:eastAsia="nl-BE"/>
    </w:rPr>
  </w:style>
  <w:style w:type="paragraph" w:styleId="Revisie">
    <w:name w:val="Revision"/>
    <w:hidden/>
    <w:uiPriority w:val="99"/>
    <w:semiHidden/>
    <w:rsid w:val="000D47E5"/>
    <w:pPr>
      <w:spacing w:after="0" w:line="240" w:lineRule="auto"/>
    </w:pPr>
    <w:rPr>
      <w:rFonts w:ascii="Tahoma" w:eastAsia="Times New Roman" w:hAnsi="Tahoma" w:cs="Times New Roman"/>
      <w:sz w:val="20"/>
      <w:szCs w:val="20"/>
      <w:lang w:val="nl-NL" w:eastAsia="nl-BE"/>
    </w:rPr>
  </w:style>
  <w:style w:type="character" w:styleId="Onopgelostemelding">
    <w:name w:val="Unresolved Mention"/>
    <w:basedOn w:val="Standaardalinea-lettertype"/>
    <w:uiPriority w:val="99"/>
    <w:unhideWhenUsed/>
    <w:rsid w:val="00046213"/>
    <w:rPr>
      <w:color w:val="605E5C"/>
      <w:shd w:val="clear" w:color="auto" w:fill="E1DFDD"/>
    </w:rPr>
  </w:style>
  <w:style w:type="paragraph" w:customStyle="1" w:styleId="CharCarCharCharCarCarCarCar">
    <w:name w:val="Char Car Char Char Car Car Car Car"/>
    <w:aliases w:val="Char Car Char1 Char Char Char Car Car Car Car,Char Car Char Car Char Char Char Char Car Car Car Car,Char Car Char Char Char Char Car Car Car Car,Char Car Char Car Char Car Car Car Car"/>
    <w:basedOn w:val="Standaard"/>
    <w:link w:val="Voetnootmarkering"/>
    <w:rsid w:val="00536636"/>
    <w:pPr>
      <w:spacing w:before="0" w:after="160" w:line="240" w:lineRule="exact"/>
    </w:pPr>
    <w:rPr>
      <w:vertAlign w:val="superscript"/>
    </w:rPr>
  </w:style>
  <w:style w:type="character" w:styleId="Vermelding">
    <w:name w:val="Mention"/>
    <w:basedOn w:val="Standaardalinea-lettertype"/>
    <w:uiPriority w:val="99"/>
    <w:unhideWhenUsed/>
    <w:rsid w:val="000D47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nas.desmit@vreg.be" TargetMode="External"/><Relationship Id="rId18" Type="http://schemas.openxmlformats.org/officeDocument/2006/relationships/hyperlink" Target="mailto:bert.stockman@vreg.be" TargetMode="External"/><Relationship Id="rId26" Type="http://schemas.openxmlformats.org/officeDocument/2006/relationships/hyperlink" Target="mailto:jonas.desmit@vreg.be" TargetMode="Externa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mailto:bert.stockman@vreg.be" TargetMode="External"/><Relationship Id="rId17" Type="http://schemas.openxmlformats.org/officeDocument/2006/relationships/hyperlink" Target="mailto:marc.michiels@vreg.be" TargetMode="External"/><Relationship Id="rId25" Type="http://schemas.openxmlformats.org/officeDocument/2006/relationships/hyperlink" Target="mailto:bert.stockman@vreg.b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onas.desmit@vreg.be" TargetMode="External"/><Relationship Id="rId20" Type="http://schemas.openxmlformats.org/officeDocument/2006/relationships/hyperlink" Target="mailto:marc.michiels@vreg.b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marc.michiels@vreg.be"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bert.stockman@vreg.bert" TargetMode="External"/><Relationship Id="rId23" Type="http://schemas.openxmlformats.org/officeDocument/2006/relationships/hyperlink" Target="mailto:jonas.desmit@vreg.be"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jonas.desmit@vreg.b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c.michiels@vreg.be" TargetMode="External"/><Relationship Id="rId22" Type="http://schemas.openxmlformats.org/officeDocument/2006/relationships/hyperlink" Target="mailto:bert.stockman@vreg.be" TargetMode="External"/><Relationship Id="rId27" Type="http://schemas.openxmlformats.org/officeDocument/2006/relationships/hyperlink" Target="mailto:marc.michiels@vreg.be"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notes.xml.rels><?xml version="1.0" encoding="UTF-8" standalone="yes"?>
<Relationships xmlns="http://schemas.openxmlformats.org/package/2006/relationships"><Relationship Id="rId3" Type="http://schemas.openxmlformats.org/officeDocument/2006/relationships/hyperlink" Target="https://www.const-court.be/public/n/2021/2021-005n.pdf" TargetMode="External"/><Relationship Id="rId2" Type="http://schemas.openxmlformats.org/officeDocument/2006/relationships/hyperlink" Target="https://www.const-court.be/public/n/2021/2021-005n.pdf" TargetMode="External"/><Relationship Id="rId1" Type="http://schemas.openxmlformats.org/officeDocument/2006/relationships/hyperlink" Target="https://www.const-court.be/public/n/2021/2021-005n.pdf" TargetMode="External"/><Relationship Id="rId6" Type="http://schemas.openxmlformats.org/officeDocument/2006/relationships/hyperlink" Target="https://doc.ibr-ire.be/nl/Documents/regelgeving-en-publicaties/rechtsleer/mededelingen/ISRS%204400%20-%20NL_v4.pdf" TargetMode="External"/><Relationship Id="rId5" Type="http://schemas.openxmlformats.org/officeDocument/2006/relationships/hyperlink" Target="https://www.const-court.be/public/n/2021/2021-005n.pdf" TargetMode="External"/><Relationship Id="rId4" Type="http://schemas.openxmlformats.org/officeDocument/2006/relationships/hyperlink" Target="https://www.const-court.be/public/n/2021/2021-005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A99AC02CC694EADBF7DA719B2705810"/>
        <w:category>
          <w:name w:val="Algemeen"/>
          <w:gallery w:val="placeholder"/>
        </w:category>
        <w:types>
          <w:type w:val="bbPlcHdr"/>
        </w:types>
        <w:behaviors>
          <w:behavior w:val="content"/>
        </w:behaviors>
        <w:guid w:val="{F57AD7A7-B825-4F69-A713-03C5658CEF58}"/>
      </w:docPartPr>
      <w:docPartBody>
        <w:p w:rsidR="00E74FF0" w:rsidRDefault="00E74FF0">
          <w:pPr>
            <w:pStyle w:val="6A99AC02CC694EADBF7DA719B2705810"/>
          </w:pPr>
          <w:r w:rsidRPr="003D5459">
            <w:rPr>
              <w:rStyle w:val="Tekstvantijdelijkeaanduiding"/>
            </w:rPr>
            <w:t>Kies een bouwsteen.</w:t>
          </w:r>
        </w:p>
      </w:docPartBody>
    </w:docPart>
    <w:docPart>
      <w:docPartPr>
        <w:name w:val="DDFFB96EE3BC4671ACB0EB429167E19B"/>
        <w:category>
          <w:name w:val="Algemeen"/>
          <w:gallery w:val="placeholder"/>
        </w:category>
        <w:types>
          <w:type w:val="bbPlcHdr"/>
        </w:types>
        <w:behaviors>
          <w:behavior w:val="content"/>
        </w:behaviors>
        <w:guid w:val="{C6D9A6DD-E1C0-4C6E-A2EB-E47FFABF3867}"/>
      </w:docPartPr>
      <w:docPartBody>
        <w:p w:rsidR="00E74FF0" w:rsidRDefault="00E74FF0">
          <w:pPr>
            <w:pStyle w:val="DDFFB96EE3BC4671ACB0EB429167E19B"/>
          </w:pPr>
          <w:r w:rsidRPr="007578B7">
            <w:rPr>
              <w:rStyle w:val="Tekstvantijdelijkeaanduiding"/>
            </w:rPr>
            <w:t>Klik of tik om tekst in te voeren.</w:t>
          </w:r>
        </w:p>
      </w:docPartBody>
    </w:docPart>
    <w:docPart>
      <w:docPartPr>
        <w:name w:val="981F3E1DD58D4FD8AB6E1BCE6EE12F89"/>
        <w:category>
          <w:name w:val="Algemeen"/>
          <w:gallery w:val="placeholder"/>
        </w:category>
        <w:types>
          <w:type w:val="bbPlcHdr"/>
        </w:types>
        <w:behaviors>
          <w:behavior w:val="content"/>
        </w:behaviors>
        <w:guid w:val="{C6DFA973-4FC9-440A-801E-0B4BA0A19C90}"/>
      </w:docPartPr>
      <w:docPartBody>
        <w:p w:rsidR="00E74FF0" w:rsidRDefault="00E74FF0">
          <w:pPr>
            <w:pStyle w:val="981F3E1DD58D4FD8AB6E1BCE6EE12F89"/>
          </w:pPr>
          <w:r w:rsidRPr="008A47EF">
            <w:rPr>
              <w:rStyle w:val="Tekstvantijdelijkeaanduiding"/>
            </w:rPr>
            <w:t>Kies datum</w:t>
          </w:r>
        </w:p>
      </w:docPartBody>
    </w:docPart>
    <w:docPart>
      <w:docPartPr>
        <w:name w:val="E06BA710606D4604968798FE6934C3FD"/>
        <w:category>
          <w:name w:val="Algemeen"/>
          <w:gallery w:val="placeholder"/>
        </w:category>
        <w:types>
          <w:type w:val="bbPlcHdr"/>
        </w:types>
        <w:behaviors>
          <w:behavior w:val="content"/>
        </w:behaviors>
        <w:guid w:val="{3F9F3CF2-0BD4-421D-860F-DFD0DCF75B82}"/>
      </w:docPartPr>
      <w:docPartBody>
        <w:p w:rsidR="00E74FF0" w:rsidRDefault="00E74FF0">
          <w:pPr>
            <w:pStyle w:val="E06BA710606D4604968798FE6934C3FD"/>
          </w:pPr>
          <w:r w:rsidRPr="008A47EF">
            <w:rPr>
              <w:rStyle w:val="Tekstvantijdelijkeaanduiding"/>
              <w:sz w:val="24"/>
              <w:szCs w:val="24"/>
            </w:rPr>
            <w:t>Onderwerp</w:t>
          </w:r>
          <w:r>
            <w:rPr>
              <w:rStyle w:val="Tekstvantijdelijkeaanduiding"/>
              <w:sz w:val="24"/>
              <w:szCs w:val="24"/>
            </w:rPr>
            <w:t xml:space="preserve"> of andere tekst (zet spatie indien niet van toepassing)</w:t>
          </w:r>
        </w:p>
      </w:docPartBody>
    </w:docPart>
    <w:docPart>
      <w:docPartPr>
        <w:name w:val="6E4EF398902E43E18928FFCD32C5C20C"/>
        <w:category>
          <w:name w:val="Algemeen"/>
          <w:gallery w:val="placeholder"/>
        </w:category>
        <w:types>
          <w:type w:val="bbPlcHdr"/>
        </w:types>
        <w:behaviors>
          <w:behavior w:val="content"/>
        </w:behaviors>
        <w:guid w:val="{2D04991D-2967-479C-9350-2F4E20F4A82D}"/>
      </w:docPartPr>
      <w:docPartBody>
        <w:p w:rsidR="00E74FF0" w:rsidRDefault="00E74FF0">
          <w:pPr>
            <w:pStyle w:val="6E4EF398902E43E18928FFCD32C5C20C"/>
          </w:pPr>
          <w:r w:rsidRPr="007578B7">
            <w:rPr>
              <w:rStyle w:val="Tekstvantijdelijkeaanduiding"/>
            </w:rPr>
            <w:t>Klik of tik om tekst in te voeren.</w:t>
          </w:r>
        </w:p>
      </w:docPartBody>
    </w:docPart>
    <w:docPart>
      <w:docPartPr>
        <w:name w:val="0AA9EE695BEA412F8D8F18F07E5B616D"/>
        <w:category>
          <w:name w:val="Algemeen"/>
          <w:gallery w:val="placeholder"/>
        </w:category>
        <w:types>
          <w:type w:val="bbPlcHdr"/>
        </w:types>
        <w:behaviors>
          <w:behavior w:val="content"/>
        </w:behaviors>
        <w:guid w:val="{CB77C592-2BD2-4E36-9042-C35CF67AD4F7}"/>
      </w:docPartPr>
      <w:docPartBody>
        <w:p w:rsidR="00316240" w:rsidRDefault="00534162" w:rsidP="00534162">
          <w:pPr>
            <w:pStyle w:val="0AA9EE695BEA412F8D8F18F07E5B616D"/>
          </w:pPr>
          <w:r w:rsidRPr="008A47EF">
            <w:rPr>
              <w:rStyle w:val="Tekstvantijdelijkeaanduiding"/>
            </w:rPr>
            <w:t>Kies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4D"/>
    <w:family w:val="auto"/>
    <w:notTrueType/>
    <w:pitch w:val="default"/>
    <w:sig w:usb0="00000003" w:usb1="00000000" w:usb2="00000000" w:usb3="00000000" w:csb0="00000001" w:csb1="00000000"/>
  </w:font>
  <w:font w:name="Calibri-Italic">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FF0"/>
    <w:rsid w:val="000352FC"/>
    <w:rsid w:val="00056B0F"/>
    <w:rsid w:val="00141088"/>
    <w:rsid w:val="001810F3"/>
    <w:rsid w:val="00202AB9"/>
    <w:rsid w:val="002B11AC"/>
    <w:rsid w:val="002F4149"/>
    <w:rsid w:val="00305A75"/>
    <w:rsid w:val="00316240"/>
    <w:rsid w:val="00350B35"/>
    <w:rsid w:val="00356CD2"/>
    <w:rsid w:val="003B604B"/>
    <w:rsid w:val="00431763"/>
    <w:rsid w:val="004902E4"/>
    <w:rsid w:val="00495C90"/>
    <w:rsid w:val="004D5EDB"/>
    <w:rsid w:val="004F16BD"/>
    <w:rsid w:val="00534162"/>
    <w:rsid w:val="005C0142"/>
    <w:rsid w:val="005F776C"/>
    <w:rsid w:val="00673336"/>
    <w:rsid w:val="006B40A8"/>
    <w:rsid w:val="00B37A48"/>
    <w:rsid w:val="00CB2832"/>
    <w:rsid w:val="00CE4D00"/>
    <w:rsid w:val="00D70553"/>
    <w:rsid w:val="00E174A5"/>
    <w:rsid w:val="00E41CC7"/>
    <w:rsid w:val="00E5056E"/>
    <w:rsid w:val="00E74FF0"/>
    <w:rsid w:val="00F805F5"/>
    <w:rsid w:val="00F93FD9"/>
    <w:rsid w:val="00FA2529"/>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34162"/>
    <w:rPr>
      <w:color w:val="808080"/>
    </w:rPr>
  </w:style>
  <w:style w:type="paragraph" w:customStyle="1" w:styleId="6A99AC02CC694EADBF7DA719B2705810">
    <w:name w:val="6A99AC02CC694EADBF7DA719B2705810"/>
  </w:style>
  <w:style w:type="paragraph" w:customStyle="1" w:styleId="DDFFB96EE3BC4671ACB0EB429167E19B">
    <w:name w:val="DDFFB96EE3BC4671ACB0EB429167E19B"/>
  </w:style>
  <w:style w:type="paragraph" w:customStyle="1" w:styleId="981F3E1DD58D4FD8AB6E1BCE6EE12F89">
    <w:name w:val="981F3E1DD58D4FD8AB6E1BCE6EE12F89"/>
  </w:style>
  <w:style w:type="paragraph" w:customStyle="1" w:styleId="E06BA710606D4604968798FE6934C3FD">
    <w:name w:val="E06BA710606D4604968798FE6934C3FD"/>
  </w:style>
  <w:style w:type="paragraph" w:customStyle="1" w:styleId="6E4EF398902E43E18928FFCD32C5C20C">
    <w:name w:val="6E4EF398902E43E18928FFCD32C5C20C"/>
  </w:style>
  <w:style w:type="paragraph" w:customStyle="1" w:styleId="0AA9EE695BEA412F8D8F18F07E5B616D">
    <w:name w:val="0AA9EE695BEA412F8D8F18F07E5B616D"/>
    <w:rsid w:val="005341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VREG">
      <a:dk1>
        <a:sysClr val="windowText" lastClr="000000"/>
      </a:dk1>
      <a:lt1>
        <a:sysClr val="window" lastClr="FFFFFF"/>
      </a:lt1>
      <a:dk2>
        <a:srgbClr val="332288"/>
      </a:dk2>
      <a:lt2>
        <a:srgbClr val="FFDD00"/>
      </a:lt2>
      <a:accent1>
        <a:srgbClr val="EE7700"/>
      </a:accent1>
      <a:accent2>
        <a:srgbClr val="95AABB"/>
      </a:accent2>
      <a:accent3>
        <a:srgbClr val="0066BB"/>
      </a:accent3>
      <a:accent4>
        <a:srgbClr val="EE3388"/>
      </a:accent4>
      <a:accent5>
        <a:srgbClr val="009999"/>
      </a:accent5>
      <a:accent6>
        <a:srgbClr val="882288"/>
      </a:accent6>
      <a:hlink>
        <a:srgbClr val="0066BB"/>
      </a:hlink>
      <a:folHlink>
        <a:srgbClr val="882288"/>
      </a:folHlink>
    </a:clrScheme>
    <a:fontScheme name="Aangepast 1">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0" tIns="0" rIns="0" bIns="396000" numCol="1" spcCol="0" rtlCol="0" fromWordArt="0" anchor="b"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F3B96C16DF9D48B4CB8B8993546C0E" ma:contentTypeVersion="13" ma:contentTypeDescription="Een nieuw document maken." ma:contentTypeScope="" ma:versionID="fb1c77d4ab2ae630c683cfad9ff6c24e">
  <xsd:schema xmlns:xsd="http://www.w3.org/2001/XMLSchema" xmlns:xs="http://www.w3.org/2001/XMLSchema" xmlns:p="http://schemas.microsoft.com/office/2006/metadata/properties" xmlns:ns2="dc27eef4-d356-41e1-bcf3-2711032fb096" xmlns:ns3="3f81be05-3666-4a6d-a1ba-3aeea25578fa" targetNamespace="http://schemas.microsoft.com/office/2006/metadata/properties" ma:root="true" ma:fieldsID="979cf82525e7f9358d8bdc7b70e5f004" ns2:_="" ns3:_="">
    <xsd:import namespace="dc27eef4-d356-41e1-bcf3-2711032fb096"/>
    <xsd:import namespace="3f81be05-3666-4a6d-a1ba-3aeea25578fa"/>
    <xsd:element name="properties">
      <xsd:complexType>
        <xsd:sequence>
          <xsd:element name="documentManagement">
            <xsd:complexType>
              <xsd:all>
                <xsd:element ref="ns2:DocumentCategorie" minOccurs="0"/>
                <xsd:element ref="ns2:VREGPost" minOccurs="0"/>
                <xsd:element ref="ns2:DocumentumID" minOccurs="0"/>
                <xsd:element ref="ns2:OrigineelGemaaktDoor" minOccurs="0"/>
                <xsd:element ref="ns2:OrigineelGewijzigdDoor"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7eef4-d356-41e1-bcf3-2711032fb096" elementFormDefault="qualified">
    <xsd:import namespace="http://schemas.microsoft.com/office/2006/documentManagement/types"/>
    <xsd:import namespace="http://schemas.microsoft.com/office/infopath/2007/PartnerControls"/>
    <xsd:element name="DocumentCategorie" ma:index="8" nillable="true" ma:displayName="Document categorie" ma:internalName="DocumentCategorie">
      <xsd:simpleType>
        <xsd:restriction base="dms:Choice">
          <xsd:enumeration value="Notulen DR"/>
          <xsd:enumeration value="Communicatie (brief, mail, fax)"/>
          <xsd:enumeration value="Advies"/>
          <xsd:enumeration value="Beslissing"/>
          <xsd:enumeration value="Contract"/>
          <xsd:enumeration value="Factuur"/>
          <xsd:enumeration value="Mededeling"/>
          <xsd:enumeration value="Nota"/>
          <xsd:enumeration value="Persbericht"/>
          <xsd:enumeration value="Presentatie"/>
          <xsd:enumeration value="Procedure"/>
          <xsd:enumeration value="Rapport"/>
          <xsd:enumeration value="Sjabloon"/>
          <xsd:enumeration value="Verslag"/>
          <xsd:enumeration value="Niet van toepassing"/>
          <xsd:enumeration value="Archief"/>
        </xsd:restriction>
      </xsd:simpleType>
    </xsd:element>
    <xsd:element name="VREGPost" ma:index="9" nillable="true" ma:displayName="Post" ma:internalName="VREGPost">
      <xsd:simpleType>
        <xsd:restriction base="dms:Choice">
          <xsd:enumeration value="Inkomende"/>
          <xsd:enumeration value="Uitgaande"/>
        </xsd:restriction>
      </xsd:simpleType>
    </xsd:element>
    <xsd:element name="DocumentumID" ma:index="10" nillable="true" ma:displayName="Documentum ID" ma:internalName="DocumentumID">
      <xsd:simpleType>
        <xsd:restriction base="dms:Text"/>
      </xsd:simpleType>
    </xsd:element>
    <xsd:element name="OrigineelGemaaktDoor" ma:index="11" nillable="true" ma:displayName="Origineel gemaakt door" ma:internalName="OrigineelGemaaktDoor">
      <xsd:simpleType>
        <xsd:restriction base="dms:Text"/>
      </xsd:simpleType>
    </xsd:element>
    <xsd:element name="OrigineelGewijzigdDoor" ma:index="12" nillable="true" ma:displayName="Origineel gewijzigd door" ma:internalName="OrigineelGewijzigdDoor">
      <xsd:simpleType>
        <xsd:restriction base="dms:Text"/>
      </xsd:simpleType>
    </xsd:element>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81be05-3666-4a6d-a1ba-3aeea25578f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REGPost xmlns="dc27eef4-d356-41e1-bcf3-2711032fb096" xsi:nil="true"/>
    <DocumentumID xmlns="dc27eef4-d356-41e1-bcf3-2711032fb096" xsi:nil="true"/>
    <OrigineelGemaaktDoor xmlns="dc27eef4-d356-41e1-bcf3-2711032fb096" xsi:nil="true"/>
    <OrigineelGewijzigdDoor xmlns="dc27eef4-d356-41e1-bcf3-2711032fb096" xsi:nil="true"/>
    <DocumentCategorie xmlns="dc27eef4-d356-41e1-bcf3-2711032fb096" xsi:nil="true"/>
  </documentManagement>
</p:properties>
</file>

<file path=customXml/itemProps1.xml><?xml version="1.0" encoding="utf-8"?>
<ds:datastoreItem xmlns:ds="http://schemas.openxmlformats.org/officeDocument/2006/customXml" ds:itemID="{523C7086-0468-4BE2-A7C3-5FF14BE4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7eef4-d356-41e1-bcf3-2711032fb096"/>
    <ds:schemaRef ds:uri="3f81be05-3666-4a6d-a1ba-3aeea2557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85C96C-5AD6-45F2-A4BA-726FC107CA41}">
  <ds:schemaRefs>
    <ds:schemaRef ds:uri="http://schemas.openxmlformats.org/officeDocument/2006/bibliography"/>
  </ds:schemaRefs>
</ds:datastoreItem>
</file>

<file path=customXml/itemProps3.xml><?xml version="1.0" encoding="utf-8"?>
<ds:datastoreItem xmlns:ds="http://schemas.openxmlformats.org/officeDocument/2006/customXml" ds:itemID="{8690D057-19CA-4359-A362-DA37157A80D0}">
  <ds:schemaRefs>
    <ds:schemaRef ds:uri="http://schemas.microsoft.com/sharepoint/v3/contenttype/forms"/>
  </ds:schemaRefs>
</ds:datastoreItem>
</file>

<file path=customXml/itemProps4.xml><?xml version="1.0" encoding="utf-8"?>
<ds:datastoreItem xmlns:ds="http://schemas.openxmlformats.org/officeDocument/2006/customXml" ds:itemID="{EC8A31E0-8321-4BEA-855F-1A124A90F8C2}">
  <ds:schemaRefs>
    <ds:schemaRef ds:uri="http://schemas.microsoft.com/office/2006/metadata/properties"/>
    <ds:schemaRef ds:uri="http://schemas.microsoft.com/office/infopath/2007/PartnerControls"/>
    <ds:schemaRef ds:uri="dc27eef4-d356-41e1-bcf3-2711032fb096"/>
  </ds:schemaRefs>
</ds:datastoreItem>
</file>

<file path=docProps/app.xml><?xml version="1.0" encoding="utf-8"?>
<Properties xmlns="http://schemas.openxmlformats.org/officeDocument/2006/extended-properties" xmlns:vt="http://schemas.openxmlformats.org/officeDocument/2006/docPropsVTypes">
  <Template>Normal</Template>
  <TotalTime>1840</TotalTime>
  <Pages>85</Pages>
  <Words>40125</Words>
  <Characters>220688</Characters>
  <Application>Microsoft Office Word</Application>
  <DocSecurity>0</DocSecurity>
  <Lines>1839</Lines>
  <Paragraphs>520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VREG</dc:creator>
  <cp:keywords/>
  <dc:description/>
  <cp:lastModifiedBy>Bert Stockman</cp:lastModifiedBy>
  <cp:revision>113</cp:revision>
  <cp:lastPrinted>2020-07-22T07:04:00Z</cp:lastPrinted>
  <dcterms:created xsi:type="dcterms:W3CDTF">2021-02-18T14:45:00Z</dcterms:created>
  <dcterms:modified xsi:type="dcterms:W3CDTF">2021-09-03T07:18:00Z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0x01010041F3B96C16DF9D48B4CB8B8993546C0E</vt:lpwstr>
  </property>
</Properties>
</file>