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6B21F" w14:textId="77777777" w:rsidR="00A3674D" w:rsidRPr="001503AB" w:rsidRDefault="00A3674D" w:rsidP="00E631C4"/>
    <w:p w14:paraId="51EE2FD4" w14:textId="50F87F18" w:rsidR="009A4252" w:rsidRDefault="009A4252" w:rsidP="00A3674D">
      <w:pPr>
        <w:pStyle w:val="Titel"/>
        <w:rPr>
          <w:color w:val="FF0000"/>
        </w:rPr>
      </w:pPr>
      <w:r w:rsidRPr="00E11B7D">
        <w:rPr>
          <w:color w:val="FF0000"/>
        </w:rPr>
        <w:t>DRAFT</w:t>
      </w:r>
    </w:p>
    <w:p w14:paraId="6830AA29" w14:textId="77777777" w:rsidR="00E11B7D" w:rsidRPr="00E11B7D" w:rsidRDefault="00E11B7D" w:rsidP="00E11B7D"/>
    <w:p w14:paraId="14FC0763" w14:textId="52D1B3DE" w:rsidR="008B7291" w:rsidRDefault="006775ED" w:rsidP="00A3674D">
      <w:pPr>
        <w:pStyle w:val="Titel"/>
      </w:pPr>
      <w:bookmarkStart w:id="0" w:name="_GoBack"/>
      <w:r>
        <w:t>Overeenkomst</w:t>
      </w:r>
      <w:r w:rsidR="008B7291">
        <w:t xml:space="preserve"> </w:t>
      </w:r>
    </w:p>
    <w:bookmarkEnd w:id="0"/>
    <w:p w14:paraId="23B41651" w14:textId="77777777" w:rsidR="006775ED" w:rsidRDefault="006775ED" w:rsidP="006775ED">
      <w:pPr>
        <w:pStyle w:val="Ondertitel"/>
      </w:pPr>
      <w:r w:rsidRPr="006775ED">
        <w:rPr>
          <w:rStyle w:val="OndertitelChar"/>
        </w:rPr>
        <w:t>tussen</w:t>
      </w:r>
    </w:p>
    <w:p w14:paraId="4EC8E17D" w14:textId="79D56FE0" w:rsidR="004F2C34" w:rsidRPr="001503AB" w:rsidRDefault="00EE6333" w:rsidP="00A3674D">
      <w:pPr>
        <w:pStyle w:val="Titel"/>
      </w:pPr>
      <w:r>
        <w:t xml:space="preserve">de </w:t>
      </w:r>
      <w:r w:rsidR="006775ED">
        <w:t xml:space="preserve">DNB en </w:t>
      </w:r>
      <w:r>
        <w:t xml:space="preserve">de </w:t>
      </w:r>
      <w:r w:rsidR="0045650C">
        <w:t>FSP</w:t>
      </w:r>
    </w:p>
    <w:p w14:paraId="0B7F5DDE" w14:textId="77777777" w:rsidR="006775ED" w:rsidRPr="006775ED" w:rsidRDefault="006775ED" w:rsidP="006775ED">
      <w:pPr>
        <w:pStyle w:val="Ondertitel"/>
        <w:rPr>
          <w:rStyle w:val="OndertitelChar"/>
        </w:rPr>
      </w:pPr>
      <w:r w:rsidRPr="006775ED">
        <w:rPr>
          <w:rStyle w:val="OndertitelChar"/>
        </w:rPr>
        <w:t xml:space="preserve">in het kader van </w:t>
      </w:r>
    </w:p>
    <w:p w14:paraId="3040BEE1" w14:textId="5071816B" w:rsidR="004F2C34" w:rsidRPr="001503AB" w:rsidRDefault="5C4B9132" w:rsidP="5C4B9132">
      <w:pPr>
        <w:pStyle w:val="Titel"/>
        <w:rPr>
          <w:i/>
          <w:iCs/>
        </w:rPr>
      </w:pPr>
      <w:r>
        <w:t xml:space="preserve">de levering van flexibiliteitsdiensten door het gebruik van flexibiliteit bij distributienetgebruikers </w:t>
      </w:r>
    </w:p>
    <w:p w14:paraId="3EE77E2D" w14:textId="77777777" w:rsidR="00141863" w:rsidRDefault="00141863" w:rsidP="006775ED">
      <w:pPr>
        <w:rPr>
          <w:rFonts w:eastAsiaTheme="majorEastAsia" w:cs="Arial"/>
          <w:bCs/>
          <w:sz w:val="18"/>
          <w:szCs w:val="20"/>
          <w:u w:val="single"/>
        </w:rPr>
      </w:pPr>
    </w:p>
    <w:p w14:paraId="28C09B25" w14:textId="77777777" w:rsidR="004C0283" w:rsidRDefault="004C0283" w:rsidP="006775ED">
      <w:pPr>
        <w:rPr>
          <w:rFonts w:eastAsiaTheme="majorEastAsia" w:cs="Arial"/>
          <w:bCs/>
          <w:sz w:val="18"/>
          <w:szCs w:val="20"/>
          <w:u w:val="singl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7237"/>
      </w:tblGrid>
      <w:tr w:rsidR="004C0283" w14:paraId="68415FBC" w14:textId="77777777" w:rsidTr="004C0283">
        <w:trPr>
          <w:trHeight w:val="340"/>
        </w:trPr>
        <w:tc>
          <w:tcPr>
            <w:tcW w:w="1809" w:type="dxa"/>
          </w:tcPr>
          <w:p w14:paraId="000C9CC2" w14:textId="77777777" w:rsidR="004C0283" w:rsidRPr="004C0283" w:rsidRDefault="004C0283" w:rsidP="006775ED">
            <w:pPr>
              <w:rPr>
                <w:b/>
              </w:rPr>
            </w:pPr>
            <w:r w:rsidRPr="004C0283">
              <w:rPr>
                <w:b/>
              </w:rPr>
              <w:t>Tussen</w:t>
            </w:r>
            <w:r>
              <w:rPr>
                <w:b/>
              </w:rPr>
              <w:t>:</w:t>
            </w:r>
          </w:p>
        </w:tc>
        <w:tc>
          <w:tcPr>
            <w:tcW w:w="7357" w:type="dxa"/>
          </w:tcPr>
          <w:p w14:paraId="7EE6686F" w14:textId="77777777" w:rsidR="004C0283" w:rsidRPr="004C0283" w:rsidRDefault="004C0283" w:rsidP="006775ED">
            <w:pPr>
              <w:rPr>
                <w:b/>
              </w:rPr>
            </w:pPr>
            <w:r w:rsidRPr="00141863">
              <w:rPr>
                <w:b/>
                <w:color w:val="4F81BD" w:themeColor="accent1"/>
              </w:rPr>
              <w:t>Naam FSP</w:t>
            </w:r>
          </w:p>
        </w:tc>
      </w:tr>
      <w:tr w:rsidR="004C0283" w14:paraId="155B5D08" w14:textId="77777777" w:rsidTr="004C0283">
        <w:trPr>
          <w:trHeight w:val="340"/>
        </w:trPr>
        <w:tc>
          <w:tcPr>
            <w:tcW w:w="1809" w:type="dxa"/>
          </w:tcPr>
          <w:p w14:paraId="2F02AF0D" w14:textId="77777777" w:rsidR="004C0283" w:rsidRDefault="004C0283" w:rsidP="006775ED"/>
        </w:tc>
        <w:tc>
          <w:tcPr>
            <w:tcW w:w="7357" w:type="dxa"/>
          </w:tcPr>
          <w:p w14:paraId="150253F3" w14:textId="11717855" w:rsidR="004C0283" w:rsidRDefault="004C0283" w:rsidP="006775ED">
            <w:r>
              <w:t>Maatschappelijke zetel:</w:t>
            </w:r>
            <w:r w:rsidR="00935ABF">
              <w:t xml:space="preserve"> </w:t>
            </w:r>
            <w:r w:rsidRPr="004C0283">
              <w:rPr>
                <w:b/>
                <w:color w:val="4F81BD" w:themeColor="accent1"/>
              </w:rPr>
              <w:t>XXXXXXX</w:t>
            </w:r>
          </w:p>
        </w:tc>
      </w:tr>
      <w:tr w:rsidR="004C0283" w14:paraId="7254DD23" w14:textId="77777777" w:rsidTr="004C0283">
        <w:trPr>
          <w:trHeight w:val="340"/>
        </w:trPr>
        <w:tc>
          <w:tcPr>
            <w:tcW w:w="1809" w:type="dxa"/>
          </w:tcPr>
          <w:p w14:paraId="6D0CC7E2" w14:textId="77777777" w:rsidR="004C0283" w:rsidRDefault="004C0283" w:rsidP="006775ED"/>
        </w:tc>
        <w:tc>
          <w:tcPr>
            <w:tcW w:w="7357" w:type="dxa"/>
          </w:tcPr>
          <w:p w14:paraId="1E5D09FC" w14:textId="77777777" w:rsidR="004C0283" w:rsidRDefault="004C0283" w:rsidP="006775ED">
            <w:r>
              <w:t xml:space="preserve">Ondernemingsnummer: </w:t>
            </w:r>
            <w:r w:rsidRPr="004C0283">
              <w:rPr>
                <w:b/>
                <w:color w:val="4F81BD" w:themeColor="accent1"/>
              </w:rPr>
              <w:t>XXXXXXXXX</w:t>
            </w:r>
          </w:p>
        </w:tc>
      </w:tr>
      <w:tr w:rsidR="004C0283" w14:paraId="376E1157" w14:textId="77777777" w:rsidTr="004C0283">
        <w:trPr>
          <w:trHeight w:val="340"/>
        </w:trPr>
        <w:tc>
          <w:tcPr>
            <w:tcW w:w="1809" w:type="dxa"/>
          </w:tcPr>
          <w:p w14:paraId="3CB48AB1" w14:textId="77777777" w:rsidR="004C0283" w:rsidRDefault="004C0283" w:rsidP="006775ED"/>
        </w:tc>
        <w:tc>
          <w:tcPr>
            <w:tcW w:w="7357" w:type="dxa"/>
          </w:tcPr>
          <w:p w14:paraId="75396F41" w14:textId="49220475" w:rsidR="004C0283" w:rsidRDefault="004C0283" w:rsidP="006775ED">
            <w:proofErr w:type="spellStart"/>
            <w:r>
              <w:t>BTW</w:t>
            </w:r>
            <w:r w:rsidR="009F152B">
              <w:t>-</w:t>
            </w:r>
            <w:r>
              <w:t>nummer</w:t>
            </w:r>
            <w:proofErr w:type="spellEnd"/>
            <w:r>
              <w:t>:</w:t>
            </w:r>
            <w:r w:rsidR="00935ABF">
              <w:t xml:space="preserve"> </w:t>
            </w:r>
            <w:r w:rsidRPr="004C0283">
              <w:rPr>
                <w:b/>
                <w:color w:val="4F81BD" w:themeColor="accent1"/>
              </w:rPr>
              <w:t>XXXXXXXXX</w:t>
            </w:r>
          </w:p>
        </w:tc>
      </w:tr>
      <w:tr w:rsidR="004C0283" w14:paraId="045CDCE3" w14:textId="77777777" w:rsidTr="004C0283">
        <w:trPr>
          <w:trHeight w:val="340"/>
        </w:trPr>
        <w:tc>
          <w:tcPr>
            <w:tcW w:w="1809" w:type="dxa"/>
          </w:tcPr>
          <w:p w14:paraId="149C12D8" w14:textId="77777777" w:rsidR="004C0283" w:rsidRDefault="004C0283" w:rsidP="006775ED"/>
        </w:tc>
        <w:tc>
          <w:tcPr>
            <w:tcW w:w="7357" w:type="dxa"/>
          </w:tcPr>
          <w:p w14:paraId="428BB2F3" w14:textId="77777777" w:rsidR="004C0283" w:rsidRDefault="004C0283" w:rsidP="004C0283">
            <w:r>
              <w:t xml:space="preserve">Vertegenwoordigd door </w:t>
            </w:r>
            <w:r w:rsidRPr="004C0283">
              <w:rPr>
                <w:b/>
                <w:color w:val="4F81BD" w:themeColor="accent1"/>
              </w:rPr>
              <w:t>XXXXXXXXXX</w:t>
            </w:r>
          </w:p>
        </w:tc>
      </w:tr>
      <w:tr w:rsidR="004C0283" w14:paraId="3A2F43A0" w14:textId="77777777" w:rsidTr="004C0283">
        <w:trPr>
          <w:trHeight w:val="340"/>
        </w:trPr>
        <w:tc>
          <w:tcPr>
            <w:tcW w:w="1809" w:type="dxa"/>
          </w:tcPr>
          <w:p w14:paraId="7992A450" w14:textId="77777777" w:rsidR="004C0283" w:rsidRDefault="004C0283" w:rsidP="006775ED"/>
        </w:tc>
        <w:tc>
          <w:tcPr>
            <w:tcW w:w="7357" w:type="dxa"/>
          </w:tcPr>
          <w:p w14:paraId="09B68594" w14:textId="5D092A1A" w:rsidR="004C0283" w:rsidRDefault="004C0283" w:rsidP="004C0283">
            <w:pPr>
              <w:jc w:val="left"/>
            </w:pPr>
            <w:r>
              <w:t xml:space="preserve">hierna </w:t>
            </w:r>
            <w:r w:rsidRPr="004C0283">
              <w:rPr>
                <w:b/>
              </w:rPr>
              <w:t>“</w:t>
            </w:r>
            <w:r w:rsidR="00AE4D3A">
              <w:rPr>
                <w:b/>
              </w:rPr>
              <w:t xml:space="preserve">de </w:t>
            </w:r>
            <w:r w:rsidRPr="004C0283">
              <w:rPr>
                <w:b/>
              </w:rPr>
              <w:t>FSP”</w:t>
            </w:r>
            <w:r>
              <w:t xml:space="preserve"> genoemd</w:t>
            </w:r>
          </w:p>
        </w:tc>
      </w:tr>
      <w:tr w:rsidR="004C0283" w14:paraId="269C55DB" w14:textId="77777777" w:rsidTr="004C0283">
        <w:trPr>
          <w:trHeight w:val="340"/>
        </w:trPr>
        <w:tc>
          <w:tcPr>
            <w:tcW w:w="1809" w:type="dxa"/>
          </w:tcPr>
          <w:p w14:paraId="42422831" w14:textId="77777777" w:rsidR="004C0283" w:rsidRDefault="004C0283" w:rsidP="006775ED"/>
        </w:tc>
        <w:tc>
          <w:tcPr>
            <w:tcW w:w="7357" w:type="dxa"/>
            <w:tcBorders>
              <w:bottom w:val="single" w:sz="4" w:space="0" w:color="auto"/>
            </w:tcBorders>
          </w:tcPr>
          <w:p w14:paraId="7F0CBC2F" w14:textId="77777777" w:rsidR="004C0283" w:rsidRDefault="004C0283" w:rsidP="004C0283">
            <w:pPr>
              <w:jc w:val="right"/>
            </w:pPr>
            <w:r>
              <w:t>Enerzijds</w:t>
            </w:r>
          </w:p>
        </w:tc>
      </w:tr>
      <w:tr w:rsidR="004C0283" w14:paraId="40457422" w14:textId="77777777" w:rsidTr="004C0283">
        <w:trPr>
          <w:trHeight w:val="340"/>
        </w:trPr>
        <w:tc>
          <w:tcPr>
            <w:tcW w:w="1809" w:type="dxa"/>
          </w:tcPr>
          <w:p w14:paraId="569672EC" w14:textId="77777777" w:rsidR="004C0283" w:rsidRDefault="004C0283" w:rsidP="006775ED"/>
        </w:tc>
        <w:tc>
          <w:tcPr>
            <w:tcW w:w="7357" w:type="dxa"/>
            <w:tcBorders>
              <w:top w:val="single" w:sz="4" w:space="0" w:color="auto"/>
            </w:tcBorders>
          </w:tcPr>
          <w:p w14:paraId="64C3A2B2" w14:textId="77777777" w:rsidR="004C0283" w:rsidRDefault="004C0283" w:rsidP="004C0283">
            <w:pPr>
              <w:jc w:val="right"/>
            </w:pPr>
          </w:p>
        </w:tc>
      </w:tr>
      <w:tr w:rsidR="004C0283" w14:paraId="4159FB3F" w14:textId="77777777" w:rsidTr="004C0283">
        <w:trPr>
          <w:trHeight w:val="340"/>
        </w:trPr>
        <w:tc>
          <w:tcPr>
            <w:tcW w:w="1809" w:type="dxa"/>
          </w:tcPr>
          <w:p w14:paraId="438524A7" w14:textId="77777777" w:rsidR="004C0283" w:rsidRPr="004C0283" w:rsidRDefault="004C0283" w:rsidP="006775ED">
            <w:pPr>
              <w:rPr>
                <w:b/>
              </w:rPr>
            </w:pPr>
            <w:r w:rsidRPr="004C0283">
              <w:rPr>
                <w:b/>
              </w:rPr>
              <w:t>En</w:t>
            </w:r>
          </w:p>
        </w:tc>
        <w:tc>
          <w:tcPr>
            <w:tcW w:w="7357" w:type="dxa"/>
          </w:tcPr>
          <w:p w14:paraId="65DBEE83" w14:textId="77777777" w:rsidR="004C0283" w:rsidRPr="004C0283" w:rsidRDefault="00141863" w:rsidP="004C0283">
            <w:pPr>
              <w:jc w:val="left"/>
              <w:rPr>
                <w:b/>
              </w:rPr>
            </w:pPr>
            <w:r>
              <w:rPr>
                <w:b/>
                <w:color w:val="4F81BD" w:themeColor="accent1"/>
              </w:rPr>
              <w:t>Naam DNB of Werkmaatschappij</w:t>
            </w:r>
          </w:p>
        </w:tc>
      </w:tr>
      <w:tr w:rsidR="004C0283" w14:paraId="3743ED50" w14:textId="77777777" w:rsidTr="004C0283">
        <w:trPr>
          <w:trHeight w:val="340"/>
        </w:trPr>
        <w:tc>
          <w:tcPr>
            <w:tcW w:w="1809" w:type="dxa"/>
          </w:tcPr>
          <w:p w14:paraId="340869B1" w14:textId="77777777" w:rsidR="004C0283" w:rsidRDefault="004C0283" w:rsidP="006775ED"/>
        </w:tc>
        <w:tc>
          <w:tcPr>
            <w:tcW w:w="7357" w:type="dxa"/>
          </w:tcPr>
          <w:p w14:paraId="41CB81EB" w14:textId="77777777" w:rsidR="004C0283" w:rsidRDefault="00A663D6" w:rsidP="004C0283">
            <w:pPr>
              <w:jc w:val="left"/>
            </w:pPr>
            <w:r>
              <w:rPr>
                <w:rFonts w:cs="Arial"/>
              </w:rPr>
              <w:t>Maatschappelijke zetel:</w:t>
            </w:r>
            <w:r w:rsidRPr="00A663D6">
              <w:rPr>
                <w:rFonts w:cs="Arial"/>
                <w:color w:val="1F497D" w:themeColor="text2"/>
              </w:rPr>
              <w:t xml:space="preserve"> XXX</w:t>
            </w:r>
          </w:p>
        </w:tc>
      </w:tr>
      <w:tr w:rsidR="004C0283" w14:paraId="33895039" w14:textId="77777777" w:rsidTr="004C0283">
        <w:trPr>
          <w:trHeight w:val="340"/>
        </w:trPr>
        <w:tc>
          <w:tcPr>
            <w:tcW w:w="1809" w:type="dxa"/>
          </w:tcPr>
          <w:p w14:paraId="43F3E0D7" w14:textId="77777777" w:rsidR="004C0283" w:rsidRDefault="004C0283" w:rsidP="006775ED"/>
        </w:tc>
        <w:tc>
          <w:tcPr>
            <w:tcW w:w="7357" w:type="dxa"/>
          </w:tcPr>
          <w:p w14:paraId="7E057C95" w14:textId="77777777" w:rsidR="004C0283" w:rsidRDefault="004C0283" w:rsidP="00A663D6">
            <w:pPr>
              <w:jc w:val="left"/>
            </w:pPr>
            <w:r w:rsidRPr="002058E8">
              <w:t xml:space="preserve">Ondernemingsnummer </w:t>
            </w:r>
            <w:r w:rsidR="00A663D6" w:rsidRPr="00A663D6">
              <w:rPr>
                <w:color w:val="1F497D" w:themeColor="text2"/>
              </w:rPr>
              <w:t>XXX</w:t>
            </w:r>
          </w:p>
        </w:tc>
      </w:tr>
      <w:tr w:rsidR="004C0283" w14:paraId="481629AA" w14:textId="77777777" w:rsidTr="004C0283">
        <w:trPr>
          <w:trHeight w:val="340"/>
        </w:trPr>
        <w:tc>
          <w:tcPr>
            <w:tcW w:w="1809" w:type="dxa"/>
          </w:tcPr>
          <w:p w14:paraId="35D76A5B" w14:textId="77777777" w:rsidR="004C0283" w:rsidRDefault="004C0283" w:rsidP="006775ED"/>
        </w:tc>
        <w:tc>
          <w:tcPr>
            <w:tcW w:w="7357" w:type="dxa"/>
          </w:tcPr>
          <w:p w14:paraId="2418021F" w14:textId="1469B72C" w:rsidR="004C0283" w:rsidRDefault="004C0283" w:rsidP="00A663D6">
            <w:pPr>
              <w:jc w:val="left"/>
            </w:pPr>
            <w:proofErr w:type="spellStart"/>
            <w:r w:rsidRPr="002058E8">
              <w:rPr>
                <w:rFonts w:cs="Arial"/>
              </w:rPr>
              <w:t>BTW-n</w:t>
            </w:r>
            <w:r w:rsidR="009F152B">
              <w:rPr>
                <w:rFonts w:cs="Arial"/>
              </w:rPr>
              <w:t>ummer</w:t>
            </w:r>
            <w:proofErr w:type="spellEnd"/>
            <w:r w:rsidRPr="002058E8">
              <w:rPr>
                <w:rFonts w:cs="Arial"/>
              </w:rPr>
              <w:t>.:</w:t>
            </w:r>
            <w:r w:rsidR="00A663D6">
              <w:rPr>
                <w:rFonts w:cs="Arial"/>
              </w:rPr>
              <w:t xml:space="preserve"> </w:t>
            </w:r>
            <w:r w:rsidR="00A663D6" w:rsidRPr="00A663D6">
              <w:rPr>
                <w:rFonts w:cs="Arial"/>
                <w:color w:val="1F497D" w:themeColor="text2"/>
              </w:rPr>
              <w:t>XXXX</w:t>
            </w:r>
          </w:p>
        </w:tc>
      </w:tr>
      <w:tr w:rsidR="004C0283" w14:paraId="3C3E1F57" w14:textId="77777777" w:rsidTr="004C0283">
        <w:trPr>
          <w:trHeight w:val="694"/>
        </w:trPr>
        <w:tc>
          <w:tcPr>
            <w:tcW w:w="1809" w:type="dxa"/>
          </w:tcPr>
          <w:p w14:paraId="154946C3" w14:textId="77777777" w:rsidR="004C0283" w:rsidRDefault="004C0283" w:rsidP="006775ED"/>
        </w:tc>
        <w:tc>
          <w:tcPr>
            <w:tcW w:w="7357" w:type="dxa"/>
          </w:tcPr>
          <w:p w14:paraId="372C5ED0" w14:textId="38151EDE" w:rsidR="004C0283" w:rsidRPr="002058E8" w:rsidRDefault="004C0283" w:rsidP="00A663D6">
            <w:pPr>
              <w:jc w:val="left"/>
              <w:rPr>
                <w:rFonts w:cs="Arial"/>
              </w:rPr>
            </w:pPr>
            <w:r w:rsidRPr="005F57EC">
              <w:rPr>
                <w:rFonts w:cs="Arial"/>
              </w:rPr>
              <w:t xml:space="preserve">Vertegenwoordigd door </w:t>
            </w:r>
            <w:r w:rsidR="00A663D6" w:rsidRPr="00A663D6">
              <w:rPr>
                <w:rFonts w:cs="Arial"/>
                <w:color w:val="1F497D" w:themeColor="text2"/>
              </w:rPr>
              <w:t>XXX</w:t>
            </w:r>
            <w:r w:rsidR="00114234">
              <w:rPr>
                <w:rFonts w:cs="Arial"/>
              </w:rPr>
              <w:t xml:space="preserve"> </w:t>
            </w:r>
            <w:r w:rsidR="00A663D6">
              <w:rPr>
                <w:rFonts w:cs="Arial"/>
              </w:rPr>
              <w:t>en</w:t>
            </w:r>
            <w:r w:rsidR="00A663D6" w:rsidRPr="00A663D6">
              <w:rPr>
                <w:rFonts w:cs="Arial"/>
                <w:color w:val="1F497D" w:themeColor="text2"/>
              </w:rPr>
              <w:t xml:space="preserve"> XXX</w:t>
            </w:r>
            <w:r w:rsidRPr="005F57EC">
              <w:rPr>
                <w:rFonts w:cs="Arial"/>
              </w:rPr>
              <w:t>, gevolmachtigden</w:t>
            </w:r>
          </w:p>
        </w:tc>
      </w:tr>
      <w:tr w:rsidR="004C0283" w14:paraId="51FC65B4" w14:textId="77777777" w:rsidTr="004C0283">
        <w:trPr>
          <w:trHeight w:val="340"/>
        </w:trPr>
        <w:tc>
          <w:tcPr>
            <w:tcW w:w="1809" w:type="dxa"/>
          </w:tcPr>
          <w:p w14:paraId="364514EA" w14:textId="77777777" w:rsidR="004C0283" w:rsidRDefault="004C0283" w:rsidP="006775ED"/>
        </w:tc>
        <w:tc>
          <w:tcPr>
            <w:tcW w:w="7357" w:type="dxa"/>
          </w:tcPr>
          <w:p w14:paraId="1340135A" w14:textId="77777777" w:rsidR="004C0283" w:rsidRPr="00141863" w:rsidRDefault="004C0283" w:rsidP="00A663D6">
            <w:pPr>
              <w:jc w:val="left"/>
              <w:rPr>
                <w:rFonts w:cs="Arial"/>
                <w:highlight w:val="yellow"/>
              </w:rPr>
            </w:pPr>
            <w:r w:rsidRPr="00141863">
              <w:rPr>
                <w:rFonts w:cs="Arial"/>
                <w:highlight w:val="yellow"/>
              </w:rPr>
              <w:t xml:space="preserve">en handelend in naam en voor rekening van de </w:t>
            </w:r>
            <w:r w:rsidR="003008A1" w:rsidRPr="00141863">
              <w:rPr>
                <w:rFonts w:cs="Arial"/>
                <w:highlight w:val="yellow"/>
              </w:rPr>
              <w:t xml:space="preserve">volgende </w:t>
            </w:r>
            <w:r w:rsidRPr="00141863">
              <w:rPr>
                <w:rFonts w:cs="Arial"/>
                <w:highlight w:val="yellow"/>
              </w:rPr>
              <w:t xml:space="preserve">distributienetbeheerders: </w:t>
            </w:r>
            <w:r w:rsidR="00A663D6" w:rsidRPr="00141863">
              <w:rPr>
                <w:rFonts w:cs="Arial"/>
                <w:highlight w:val="yellow"/>
              </w:rPr>
              <w:t>XXX, XXX</w:t>
            </w:r>
          </w:p>
          <w:p w14:paraId="1C331BF8" w14:textId="77777777" w:rsidR="003008A1" w:rsidRPr="00141863" w:rsidRDefault="003008A1" w:rsidP="003008A1">
            <w:pPr>
              <w:rPr>
                <w:i/>
              </w:rPr>
            </w:pPr>
            <w:r w:rsidRPr="00141863">
              <w:rPr>
                <w:i/>
                <w:highlight w:val="yellow"/>
              </w:rPr>
              <w:t>Invoeging lijst (+ EAN/GLN-codes)</w:t>
            </w:r>
          </w:p>
          <w:p w14:paraId="6FC4BC60" w14:textId="77777777" w:rsidR="00A663D6" w:rsidRDefault="00A663D6" w:rsidP="00A663D6">
            <w:pPr>
              <w:jc w:val="left"/>
              <w:rPr>
                <w:rFonts w:cs="Arial"/>
                <w:color w:val="1F497D" w:themeColor="text2"/>
              </w:rPr>
            </w:pPr>
          </w:p>
          <w:p w14:paraId="697BB36C" w14:textId="186309C0" w:rsidR="00A663D6" w:rsidRDefault="00A663D6" w:rsidP="00A663D6">
            <w:pPr>
              <w:jc w:val="left"/>
              <w:rPr>
                <w:rFonts w:cs="Arial"/>
              </w:rPr>
            </w:pPr>
            <w:r>
              <w:rPr>
                <w:rFonts w:cs="Arial"/>
              </w:rPr>
              <w:t>hierna “</w:t>
            </w:r>
            <w:r w:rsidR="00AE4D3A">
              <w:rPr>
                <w:rFonts w:cs="Arial"/>
              </w:rPr>
              <w:t xml:space="preserve">de </w:t>
            </w:r>
            <w:r w:rsidRPr="004C0283">
              <w:rPr>
                <w:rFonts w:cs="Arial"/>
                <w:b/>
              </w:rPr>
              <w:t>DNB</w:t>
            </w:r>
            <w:r>
              <w:rPr>
                <w:rFonts w:cs="Arial"/>
                <w:b/>
              </w:rPr>
              <w:t>”</w:t>
            </w:r>
            <w:r>
              <w:rPr>
                <w:rFonts w:cs="Arial"/>
              </w:rPr>
              <w:t xml:space="preserve"> genoemd, </w:t>
            </w:r>
          </w:p>
          <w:p w14:paraId="499F1C83" w14:textId="77777777" w:rsidR="003008A1" w:rsidRDefault="003008A1" w:rsidP="00A663D6">
            <w:pPr>
              <w:jc w:val="left"/>
              <w:rPr>
                <w:rFonts w:cs="Arial"/>
              </w:rPr>
            </w:pPr>
          </w:p>
          <w:p w14:paraId="7815A51A" w14:textId="77777777" w:rsidR="003008A1" w:rsidRDefault="003008A1" w:rsidP="003008A1">
            <w:pPr>
              <w:jc w:val="right"/>
              <w:rPr>
                <w:rFonts w:cs="Arial"/>
              </w:rPr>
            </w:pPr>
            <w:r>
              <w:rPr>
                <w:rFonts w:cs="Arial"/>
              </w:rPr>
              <w:t>Anderzijds</w:t>
            </w:r>
          </w:p>
          <w:p w14:paraId="716BDCA4" w14:textId="77777777" w:rsidR="00A663D6" w:rsidRPr="005F57EC" w:rsidRDefault="00A663D6" w:rsidP="00A663D6">
            <w:pPr>
              <w:jc w:val="left"/>
              <w:rPr>
                <w:rFonts w:cs="Arial"/>
              </w:rPr>
            </w:pPr>
          </w:p>
        </w:tc>
      </w:tr>
    </w:tbl>
    <w:p w14:paraId="5AD69A68" w14:textId="77777777" w:rsidR="004C0283" w:rsidRDefault="004C0283" w:rsidP="006775ED"/>
    <w:p w14:paraId="75EE76D2" w14:textId="77777777" w:rsidR="004C0283" w:rsidRPr="000A40CF" w:rsidRDefault="004C0283" w:rsidP="004C0283">
      <w:pPr>
        <w:kinsoku w:val="0"/>
        <w:overflowPunct w:val="0"/>
        <w:spacing w:before="9" w:line="250" w:lineRule="exact"/>
        <w:ind w:left="72"/>
        <w:textAlignment w:val="baseline"/>
        <w:rPr>
          <w:rFonts w:cs="Arial"/>
        </w:rPr>
      </w:pPr>
      <w:r w:rsidRPr="000A40CF">
        <w:rPr>
          <w:rFonts w:cs="Arial"/>
        </w:rPr>
        <w:t>en beiden hierna eveneens, zonder onderscheid, afzonderlijk “Partij” of samen “Partijen” genaamd</w:t>
      </w:r>
      <w:r w:rsidR="00F07160">
        <w:rPr>
          <w:rFonts w:cs="Arial"/>
        </w:rPr>
        <w:t>,</w:t>
      </w:r>
    </w:p>
    <w:p w14:paraId="58515DD5" w14:textId="77777777" w:rsidR="006775ED" w:rsidRDefault="006775ED" w:rsidP="006775ED">
      <w:pPr>
        <w:rPr>
          <w:b/>
          <w:bCs/>
        </w:rPr>
      </w:pPr>
    </w:p>
    <w:p w14:paraId="4489A4D9" w14:textId="77777777" w:rsidR="006775ED" w:rsidRDefault="006775ED">
      <w:r>
        <w:br w:type="page"/>
      </w:r>
    </w:p>
    <w:p w14:paraId="6F85E4F5" w14:textId="77777777" w:rsidR="006775ED" w:rsidRPr="002815F1" w:rsidRDefault="006775ED" w:rsidP="00E631C4">
      <w:r w:rsidRPr="002815F1">
        <w:lastRenderedPageBreak/>
        <w:t>Overwegende</w:t>
      </w:r>
      <w:r w:rsidR="00141863" w:rsidRPr="002815F1">
        <w:t xml:space="preserve"> </w:t>
      </w:r>
    </w:p>
    <w:p w14:paraId="7EAD79D2" w14:textId="77777777" w:rsidR="006775ED" w:rsidRDefault="006775ED" w:rsidP="00E631C4">
      <w:pPr>
        <w:rPr>
          <w:highlight w:val="lightGray"/>
        </w:rPr>
      </w:pPr>
    </w:p>
    <w:p w14:paraId="619AE3CC" w14:textId="3118C89F" w:rsidR="002815F1" w:rsidRDefault="002815F1" w:rsidP="00283103"/>
    <w:p w14:paraId="7927E7C7" w14:textId="77777777" w:rsidR="0045650C" w:rsidRDefault="0045650C" w:rsidP="0045650C">
      <w:pPr>
        <w:rPr>
          <w:highlight w:val="lightGray"/>
        </w:rPr>
      </w:pPr>
    </w:p>
    <w:p w14:paraId="0AF3BBC7" w14:textId="77777777" w:rsidR="0045650C" w:rsidRDefault="0045650C" w:rsidP="0045650C">
      <w:pPr>
        <w:pStyle w:val="Lijstalinea"/>
        <w:numPr>
          <w:ilvl w:val="0"/>
          <w:numId w:val="46"/>
        </w:numPr>
        <w:jc w:val="both"/>
      </w:pPr>
      <w:r>
        <w:t>dat een groeiend aantal netgebruikers hun flexibiliteit wensen te valoriseren in de elektriciteitsmarkten;</w:t>
      </w:r>
    </w:p>
    <w:p w14:paraId="437765C8" w14:textId="77777777" w:rsidR="0045650C" w:rsidRDefault="0045650C" w:rsidP="0045650C">
      <w:pPr>
        <w:pStyle w:val="Lijstalinea"/>
        <w:numPr>
          <w:ilvl w:val="0"/>
          <w:numId w:val="0"/>
        </w:numPr>
        <w:ind w:left="720"/>
        <w:jc w:val="both"/>
      </w:pPr>
    </w:p>
    <w:p w14:paraId="5688951A" w14:textId="77777777" w:rsidR="0045650C" w:rsidRDefault="0045650C" w:rsidP="0045650C">
      <w:pPr>
        <w:pStyle w:val="Lijstalinea"/>
        <w:numPr>
          <w:ilvl w:val="0"/>
          <w:numId w:val="46"/>
        </w:numPr>
        <w:jc w:val="both"/>
      </w:pPr>
      <w:r>
        <w:t>dat de DNB, als marktfacilitator en databeheerder, de ontwikkeling van de flexibiliteit van netgebruikers aangesloten op zijn net wil bevorderen;</w:t>
      </w:r>
    </w:p>
    <w:p w14:paraId="50CCF26B" w14:textId="77777777" w:rsidR="0045650C" w:rsidRDefault="0045650C" w:rsidP="0045650C">
      <w:pPr>
        <w:pStyle w:val="Lijstalinea"/>
        <w:numPr>
          <w:ilvl w:val="0"/>
          <w:numId w:val="0"/>
        </w:numPr>
        <w:ind w:left="1068"/>
      </w:pPr>
    </w:p>
    <w:p w14:paraId="617CC2E5" w14:textId="2B807BF8" w:rsidR="0045650C" w:rsidRDefault="0045650C" w:rsidP="0045650C">
      <w:pPr>
        <w:pStyle w:val="Lijstalinea"/>
        <w:numPr>
          <w:ilvl w:val="0"/>
          <w:numId w:val="46"/>
        </w:numPr>
        <w:jc w:val="both"/>
      </w:pPr>
      <w:r>
        <w:t xml:space="preserve">dat een nieuwe marktrol is ontstaan, namelijk die van Dienstverlener van flexibiliteit, met als doel de valorisatie van flexibiliteit van netgebruikers te faciliteren </w:t>
      </w:r>
      <w:r w:rsidR="00E04352">
        <w:t>voor</w:t>
      </w:r>
      <w:r>
        <w:t xml:space="preserve"> de Aanvragers van flexibiliteit;</w:t>
      </w:r>
    </w:p>
    <w:p w14:paraId="0A4DA4BC" w14:textId="77777777" w:rsidR="0045650C" w:rsidRDefault="0045650C" w:rsidP="0045650C">
      <w:pPr>
        <w:pStyle w:val="Lijstalinea"/>
        <w:numPr>
          <w:ilvl w:val="0"/>
          <w:numId w:val="0"/>
        </w:numPr>
        <w:ind w:left="1068"/>
      </w:pPr>
    </w:p>
    <w:p w14:paraId="5FB57618" w14:textId="77777777" w:rsidR="0045650C" w:rsidRDefault="0045650C" w:rsidP="0045650C">
      <w:pPr>
        <w:pStyle w:val="Lijstalinea"/>
        <w:numPr>
          <w:ilvl w:val="0"/>
          <w:numId w:val="46"/>
        </w:numPr>
        <w:jc w:val="both"/>
      </w:pPr>
      <w:r>
        <w:t xml:space="preserve">dat de simultane activatie van flexibiliteit bij meerdere </w:t>
      </w:r>
      <w:proofErr w:type="spellStart"/>
      <w:r>
        <w:t>DNG’s</w:t>
      </w:r>
      <w:proofErr w:type="spellEnd"/>
      <w:r>
        <w:t xml:space="preserve"> in bepaalde gevallen de operationele veiligheid van het distributienet in gevaar kan brengen;</w:t>
      </w:r>
    </w:p>
    <w:p w14:paraId="4F806098" w14:textId="77777777" w:rsidR="0045650C" w:rsidRDefault="0045650C" w:rsidP="0045650C">
      <w:pPr>
        <w:pStyle w:val="Lijstalinea"/>
        <w:numPr>
          <w:ilvl w:val="0"/>
          <w:numId w:val="0"/>
        </w:numPr>
        <w:ind w:left="1068"/>
      </w:pPr>
    </w:p>
    <w:p w14:paraId="0B0673F3" w14:textId="2626846B" w:rsidR="0045650C" w:rsidRDefault="0045650C" w:rsidP="0045650C">
      <w:pPr>
        <w:pStyle w:val="Lijstalinea"/>
        <w:numPr>
          <w:ilvl w:val="0"/>
          <w:numId w:val="46"/>
        </w:numPr>
        <w:jc w:val="both"/>
      </w:pPr>
      <w:r>
        <w:t>dat, in het licht van de voorgaande elementen, een FSP-</w:t>
      </w:r>
      <w:r w:rsidR="0097433E">
        <w:t>DNB-</w:t>
      </w:r>
      <w:r>
        <w:t xml:space="preserve">overeenkomst noodzakelijk blijkt om onder andere volgende zaken vast te leggen: </w:t>
      </w:r>
    </w:p>
    <w:p w14:paraId="119AE4C2" w14:textId="77777777" w:rsidR="0045650C" w:rsidRDefault="0045650C" w:rsidP="0045650C">
      <w:pPr>
        <w:pStyle w:val="Lijstalinea"/>
        <w:spacing w:after="120"/>
        <w:jc w:val="both"/>
      </w:pPr>
      <w:r>
        <w:t>de voorwaarden voor deelname van Dienstverleningspunten voor flexibiliteit aan de verschillende Flexibiliteitsdiensten;</w:t>
      </w:r>
    </w:p>
    <w:p w14:paraId="7E4691C8" w14:textId="2EB2B60B" w:rsidR="0045650C" w:rsidRDefault="0045650C" w:rsidP="0045650C">
      <w:pPr>
        <w:pStyle w:val="Lijstalinea"/>
        <w:spacing w:after="120"/>
        <w:jc w:val="both"/>
      </w:pPr>
      <w:r>
        <w:t>de informatie die de FSP ter beschikking moet stellen van de DNB om hem toe te laten de impact van de flexibiliteit op zijn net te analyseren e</w:t>
      </w:r>
      <w:r w:rsidR="006803F7">
        <w:t>n</w:t>
      </w:r>
      <w:r>
        <w:t xml:space="preserve"> de flexibele volumes te berekenen;</w:t>
      </w:r>
    </w:p>
    <w:p w14:paraId="7453A568" w14:textId="77777777" w:rsidR="0045650C" w:rsidRDefault="0045650C" w:rsidP="0045650C">
      <w:pPr>
        <w:pStyle w:val="Lijstalinea"/>
        <w:spacing w:after="120"/>
        <w:jc w:val="both"/>
      </w:pPr>
      <w:r>
        <w:t>de praktische modaliteiten om de lijst met punten die de FSP kan activeren, samen te stellen en te wijzigen;</w:t>
      </w:r>
    </w:p>
    <w:p w14:paraId="47FD7B72" w14:textId="18FE8E2E" w:rsidR="0045650C" w:rsidRDefault="0045650C" w:rsidP="0045650C">
      <w:pPr>
        <w:pStyle w:val="Lijstalinea"/>
        <w:spacing w:after="120"/>
        <w:jc w:val="both"/>
      </w:pPr>
      <w:r>
        <w:t>de respectieve rollen van Partijen met betrekking tot de activering van de flexibiliteit, het beheer van meetgegevens e</w:t>
      </w:r>
      <w:r w:rsidR="006803F7">
        <w:t>n</w:t>
      </w:r>
      <w:r>
        <w:t xml:space="preserve"> de berekening van de flexibele volumes;</w:t>
      </w:r>
    </w:p>
    <w:p w14:paraId="62759735" w14:textId="597304BF" w:rsidR="0045650C" w:rsidRDefault="0045650C" w:rsidP="0045650C">
      <w:pPr>
        <w:pStyle w:val="Lijstalinea"/>
        <w:spacing w:after="120"/>
        <w:jc w:val="both"/>
      </w:pPr>
      <w:r>
        <w:t>de voorwaarden volgens dewelke de DNB</w:t>
      </w:r>
      <w:r w:rsidR="00114234">
        <w:t xml:space="preserve"> </w:t>
      </w:r>
      <w:r>
        <w:t>de meetgegevens aan de FSP kan overmaken;</w:t>
      </w:r>
    </w:p>
    <w:p w14:paraId="5436C171" w14:textId="1EE9BA2F" w:rsidR="0045650C" w:rsidRDefault="0045650C" w:rsidP="0045650C">
      <w:pPr>
        <w:pStyle w:val="Lijstalinea"/>
        <w:spacing w:after="120"/>
        <w:jc w:val="both"/>
      </w:pPr>
      <w:r>
        <w:t xml:space="preserve">de respectieve verantwoordelijkheden van </w:t>
      </w:r>
      <w:r w:rsidR="000F1877">
        <w:t xml:space="preserve">de </w:t>
      </w:r>
      <w:r>
        <w:t>Partijen.</w:t>
      </w:r>
    </w:p>
    <w:p w14:paraId="53A7E930" w14:textId="77777777" w:rsidR="0045650C" w:rsidRDefault="0045650C" w:rsidP="0045650C">
      <w:pPr>
        <w:pStyle w:val="Lijstalinea"/>
        <w:numPr>
          <w:ilvl w:val="0"/>
          <w:numId w:val="46"/>
        </w:numPr>
        <w:jc w:val="both"/>
      </w:pPr>
      <w:r>
        <w:t>dat deze verschillende elementen het onderwerp zijn van de onderhavige overeenkomst, voor de Flexibiliteitsdiensten opgenomen in bijlage;</w:t>
      </w:r>
    </w:p>
    <w:p w14:paraId="6BA9A7CF" w14:textId="77777777" w:rsidR="0045650C" w:rsidRDefault="0045650C" w:rsidP="0045650C">
      <w:pPr>
        <w:pStyle w:val="Lijstalinea"/>
        <w:numPr>
          <w:ilvl w:val="0"/>
          <w:numId w:val="0"/>
        </w:numPr>
        <w:ind w:left="720"/>
        <w:jc w:val="both"/>
      </w:pPr>
    </w:p>
    <w:p w14:paraId="66979414" w14:textId="0A509B18" w:rsidR="0045650C" w:rsidRDefault="0045650C" w:rsidP="0045650C">
      <w:pPr>
        <w:pStyle w:val="Lijstalinea"/>
        <w:numPr>
          <w:ilvl w:val="0"/>
          <w:numId w:val="46"/>
        </w:numPr>
        <w:jc w:val="both"/>
      </w:pPr>
      <w:r>
        <w:t>dat</w:t>
      </w:r>
      <w:r w:rsidR="00644523">
        <w:t xml:space="preserve"> </w:t>
      </w:r>
      <w:r>
        <w:t xml:space="preserve">deze lijst met Flexibiliteitsdiensten in de toekomst regelmatig kan evolueren, </w:t>
      </w:r>
      <w:r w:rsidR="005D3325">
        <w:t xml:space="preserve">onder de vorm van </w:t>
      </w:r>
      <w:r w:rsidR="00100891">
        <w:t>bijlagen</w:t>
      </w:r>
      <w:r w:rsidR="00503312">
        <w:t xml:space="preserve"> aan </w:t>
      </w:r>
      <w:r>
        <w:t>de onderhavige overeenkomst;</w:t>
      </w:r>
    </w:p>
    <w:p w14:paraId="6018A20C" w14:textId="77777777" w:rsidR="0045650C" w:rsidRDefault="0045650C" w:rsidP="0045650C">
      <w:pPr>
        <w:pStyle w:val="Lijstalinea"/>
        <w:numPr>
          <w:ilvl w:val="0"/>
          <w:numId w:val="0"/>
        </w:numPr>
        <w:ind w:left="1068"/>
      </w:pPr>
    </w:p>
    <w:p w14:paraId="2C0D9DF2" w14:textId="340D8BE9" w:rsidR="0045650C" w:rsidRDefault="0045650C" w:rsidP="0045650C">
      <w:pPr>
        <w:pStyle w:val="Lijstalinea"/>
        <w:numPr>
          <w:ilvl w:val="0"/>
          <w:numId w:val="46"/>
        </w:numPr>
        <w:jc w:val="both"/>
      </w:pPr>
      <w:r>
        <w:t xml:space="preserve">dat de onderhavige overeenkomst via Synergrid aan de Belgische gewestelijke regulatoren voor energie werd voorgelegd; dat deze laatsten </w:t>
      </w:r>
      <w:r w:rsidR="00403030">
        <w:t xml:space="preserve">ze </w:t>
      </w:r>
      <w:r>
        <w:t xml:space="preserve">hebben </w:t>
      </w:r>
      <w:r w:rsidR="0015581E">
        <w:t>goedgekeurd</w:t>
      </w:r>
      <w:r w:rsidR="00680B76">
        <w:t xml:space="preserve"> op</w:t>
      </w:r>
      <w:r w:rsidR="0015581E">
        <w:t xml:space="preserve"> </w:t>
      </w:r>
      <w:r w:rsidR="00DE7956">
        <w:t>21</w:t>
      </w:r>
      <w:r w:rsidR="00C9629C">
        <w:t xml:space="preserve"> augustus 2020 door de </w:t>
      </w:r>
      <w:proofErr w:type="spellStart"/>
      <w:r w:rsidR="00C9629C">
        <w:t>CWaPE</w:t>
      </w:r>
      <w:proofErr w:type="spellEnd"/>
      <w:r w:rsidR="00C9629C">
        <w:t xml:space="preserve">, op </w:t>
      </w:r>
      <w:r w:rsidR="00AA628E">
        <w:t>1</w:t>
      </w:r>
      <w:r w:rsidR="00C9629C">
        <w:t xml:space="preserve"> september 2020 door de VREG en op </w:t>
      </w:r>
      <w:r w:rsidR="00AA628E">
        <w:t>2</w:t>
      </w:r>
      <w:r w:rsidR="00DB043A">
        <w:t xml:space="preserve"> </w:t>
      </w:r>
      <w:r w:rsidR="00C9629C">
        <w:t xml:space="preserve">september door </w:t>
      </w:r>
      <w:proofErr w:type="spellStart"/>
      <w:r w:rsidR="00C9629C">
        <w:t>Brugel</w:t>
      </w:r>
      <w:proofErr w:type="spellEnd"/>
      <w:r>
        <w:t xml:space="preserve">;  </w:t>
      </w:r>
    </w:p>
    <w:p w14:paraId="1ED554EE" w14:textId="77777777" w:rsidR="0045650C" w:rsidRDefault="0045650C" w:rsidP="00283103"/>
    <w:p w14:paraId="0E21F65C" w14:textId="77777777" w:rsidR="002815F1" w:rsidRDefault="002815F1" w:rsidP="00283103"/>
    <w:p w14:paraId="47F4D474" w14:textId="77777777" w:rsidR="002815F1" w:rsidRDefault="002815F1" w:rsidP="00283103"/>
    <w:p w14:paraId="1687465A" w14:textId="77777777" w:rsidR="002815F1" w:rsidRDefault="002815F1" w:rsidP="00283103"/>
    <w:p w14:paraId="5EA2A6DC" w14:textId="77777777" w:rsidR="00283103" w:rsidRDefault="00F07160" w:rsidP="00283103">
      <w:r>
        <w:t xml:space="preserve">wordt </w:t>
      </w:r>
      <w:r w:rsidR="006775ED">
        <w:t>overeengekomen hetgeen volgt:</w:t>
      </w:r>
    </w:p>
    <w:p w14:paraId="20E840A8" w14:textId="77777777" w:rsidR="00283103" w:rsidRDefault="00283103">
      <w:pPr>
        <w:spacing w:after="200" w:line="276" w:lineRule="auto"/>
        <w:jc w:val="left"/>
      </w:pPr>
      <w:r>
        <w:br w:type="page"/>
      </w:r>
    </w:p>
    <w:p w14:paraId="090534BE" w14:textId="77777777" w:rsidR="00E631C4" w:rsidRPr="003F5D47" w:rsidRDefault="00F07160" w:rsidP="00283103">
      <w:pPr>
        <w:pStyle w:val="Kop1"/>
      </w:pPr>
      <w:r w:rsidRPr="003F5D47">
        <w:lastRenderedPageBreak/>
        <w:t>Voorwerp van de overeenkomst</w:t>
      </w:r>
      <w:r w:rsidR="006E779C">
        <w:t xml:space="preserve"> - Definities</w:t>
      </w:r>
    </w:p>
    <w:p w14:paraId="27C509FB" w14:textId="77777777" w:rsidR="006E779C" w:rsidRPr="00E8684F" w:rsidRDefault="006E779C" w:rsidP="00283103">
      <w:pPr>
        <w:pStyle w:val="Kop2"/>
      </w:pPr>
      <w:r w:rsidRPr="00E8684F">
        <w:t>Voorwerp van de overeenkomst</w:t>
      </w:r>
    </w:p>
    <w:p w14:paraId="0C7B4C77" w14:textId="42645BD1" w:rsidR="00F07160" w:rsidRPr="00A26F55" w:rsidRDefault="5C4B9132" w:rsidP="00283103">
      <w:r>
        <w:t xml:space="preserve">Onderhavige overeenkomst beschrijft de bijzondere wederzijdse rechten en plichten van de DNB en de FSP met betrekking tot </w:t>
      </w:r>
      <w:r w:rsidR="0045650C">
        <w:t xml:space="preserve">het gebruik door de FSP van </w:t>
      </w:r>
      <w:r>
        <w:t>flexibiliteit van distributienetgebruikers aangesloten op het distributienet beheerd door de DNB</w:t>
      </w:r>
      <w:r w:rsidR="0045650C">
        <w:t xml:space="preserve"> in het kader van een of meerdere Flexibiliteitsdiensten</w:t>
      </w:r>
      <w:r w:rsidR="00DB0EBE">
        <w:t xml:space="preserve"> zoals bepaald in de dienstencatalogus in Bijlage 1. </w:t>
      </w:r>
      <w:r w:rsidR="0045650C">
        <w:t xml:space="preserve"> </w:t>
      </w:r>
    </w:p>
    <w:p w14:paraId="69EC5761" w14:textId="77777777" w:rsidR="0034350E" w:rsidRDefault="0034350E" w:rsidP="00283103"/>
    <w:p w14:paraId="48C8E901" w14:textId="1918EA2A" w:rsidR="0045650C" w:rsidRDefault="0045650C" w:rsidP="0045650C">
      <w:r>
        <w:t>De Partijen erkennen dat de onderhavige overeenkomst, die werd goedgekeurd door de bevoegde gewestelijke regulator</w:t>
      </w:r>
      <w:r w:rsidR="00491FDB">
        <w:t>,</w:t>
      </w:r>
      <w:r>
        <w:t xml:space="preserve"> volledig wordt onderworpen aan het toepasselijke T</w:t>
      </w:r>
      <w:r w:rsidR="000D2968">
        <w:t>R</w:t>
      </w:r>
      <w:r>
        <w:t>DE</w:t>
      </w:r>
      <w:r w:rsidR="00FB584F">
        <w:t>,</w:t>
      </w:r>
      <w:r>
        <w:t xml:space="preserve"> alsook al zijn eventuele toekomstige wijzigingen. </w:t>
      </w:r>
    </w:p>
    <w:p w14:paraId="5E9F9458" w14:textId="77777777" w:rsidR="0045650C" w:rsidRDefault="0045650C" w:rsidP="0045650C"/>
    <w:p w14:paraId="2B0ACAAA" w14:textId="29C6B9C7" w:rsidR="0045650C" w:rsidRPr="008C50EA" w:rsidRDefault="0045650C" w:rsidP="0045650C">
      <w:r w:rsidRPr="008C50EA">
        <w:rPr>
          <w:rFonts w:cs="Arial"/>
        </w:rPr>
        <w:t xml:space="preserve">Het contract afgesloten tussen de FSP en de DNG </w:t>
      </w:r>
      <w:r>
        <w:rPr>
          <w:rFonts w:cs="Arial"/>
        </w:rPr>
        <w:t>mag</w:t>
      </w:r>
      <w:r w:rsidRPr="008C50EA">
        <w:rPr>
          <w:rFonts w:cs="Arial"/>
        </w:rPr>
        <w:t xml:space="preserve"> geen bepalingen bevatten die in strijd zijn met de bepalingen in onderhavige overeenkomst.</w:t>
      </w:r>
      <w:r>
        <w:rPr>
          <w:rFonts w:cs="Arial"/>
        </w:rPr>
        <w:t xml:space="preserve"> </w:t>
      </w:r>
      <w:r w:rsidRPr="000D4F0E">
        <w:rPr>
          <w:rFonts w:cs="Arial"/>
        </w:rPr>
        <w:t xml:space="preserve">In geval van incompatibiliteit </w:t>
      </w:r>
      <w:r w:rsidR="00545609">
        <w:rPr>
          <w:rFonts w:cs="Arial"/>
        </w:rPr>
        <w:t xml:space="preserve">kan de DNB </w:t>
      </w:r>
      <w:r w:rsidRPr="000D4F0E">
        <w:rPr>
          <w:rFonts w:cs="Arial"/>
        </w:rPr>
        <w:t xml:space="preserve">de FSP </w:t>
      </w:r>
      <w:r w:rsidR="00BA1A59">
        <w:rPr>
          <w:rFonts w:cs="Arial"/>
        </w:rPr>
        <w:t xml:space="preserve">vragen </w:t>
      </w:r>
      <w:r w:rsidR="00D759F5">
        <w:rPr>
          <w:rFonts w:cs="Arial"/>
        </w:rPr>
        <w:t xml:space="preserve">om het contract DNG-FSP </w:t>
      </w:r>
      <w:r w:rsidR="00EA6D42">
        <w:rPr>
          <w:rFonts w:cs="Arial"/>
        </w:rPr>
        <w:t xml:space="preserve">te regulariseren </w:t>
      </w:r>
      <w:r w:rsidR="00221FAC">
        <w:rPr>
          <w:rFonts w:cs="Arial"/>
        </w:rPr>
        <w:t xml:space="preserve">ten aanzien van </w:t>
      </w:r>
      <w:r w:rsidRPr="000D4F0E">
        <w:rPr>
          <w:rFonts w:cs="Arial"/>
        </w:rPr>
        <w:t xml:space="preserve">de </w:t>
      </w:r>
      <w:r w:rsidR="00B91473">
        <w:rPr>
          <w:rFonts w:cs="Arial"/>
        </w:rPr>
        <w:t xml:space="preserve">onderhavige </w:t>
      </w:r>
      <w:r w:rsidRPr="000D4F0E">
        <w:rPr>
          <w:rFonts w:cs="Arial"/>
        </w:rPr>
        <w:t>overeenkomst.</w:t>
      </w:r>
      <w:r w:rsidR="00221FAC">
        <w:rPr>
          <w:rFonts w:cs="Arial"/>
        </w:rPr>
        <w:t xml:space="preserve"> Bij gebrek aan </w:t>
      </w:r>
      <w:r w:rsidR="0022424E">
        <w:rPr>
          <w:rFonts w:cs="Arial"/>
        </w:rPr>
        <w:t>een regularisatie</w:t>
      </w:r>
      <w:r w:rsidR="00201087">
        <w:rPr>
          <w:rFonts w:cs="Arial"/>
        </w:rPr>
        <w:t xml:space="preserve"> binnen een redelijke termijn</w:t>
      </w:r>
      <w:r w:rsidR="007E7A70">
        <w:rPr>
          <w:rFonts w:cs="Arial"/>
        </w:rPr>
        <w:t xml:space="preserve"> behoudt de DNB zich het recht voor om de onderhavige overeenkomst </w:t>
      </w:r>
      <w:r w:rsidR="00420A5E">
        <w:rPr>
          <w:rFonts w:cs="Arial"/>
        </w:rPr>
        <w:t xml:space="preserve">op te schorten </w:t>
      </w:r>
      <w:r w:rsidR="009A5BD9">
        <w:rPr>
          <w:rFonts w:cs="Arial"/>
        </w:rPr>
        <w:t>volgens de modaliteiten voorzien in artikel 11.</w:t>
      </w:r>
    </w:p>
    <w:p w14:paraId="79BF239A" w14:textId="77777777" w:rsidR="00D7693C" w:rsidRDefault="00D7693C" w:rsidP="00283103">
      <w:pPr>
        <w:rPr>
          <w:color w:val="9BBB59" w:themeColor="accent3"/>
        </w:rPr>
      </w:pPr>
    </w:p>
    <w:p w14:paraId="34C5C468" w14:textId="19F82163" w:rsidR="00B70407" w:rsidRDefault="00B70407" w:rsidP="00283103">
      <w:r w:rsidRPr="00D7693C">
        <w:t>Onderhavige overeenkomst doet geen afbreuk aan de rechten en plichten van de DNB in het kader van de MIG</w:t>
      </w:r>
      <w:r w:rsidR="00AE4D3A">
        <w:t xml:space="preserve"> (Message </w:t>
      </w:r>
      <w:proofErr w:type="spellStart"/>
      <w:r w:rsidR="00AE4D3A">
        <w:t>Implementation</w:t>
      </w:r>
      <w:proofErr w:type="spellEnd"/>
      <w:r w:rsidR="00AE4D3A">
        <w:t xml:space="preserve"> Guide)</w:t>
      </w:r>
      <w:r w:rsidRPr="00D7693C">
        <w:t xml:space="preserve">, </w:t>
      </w:r>
      <w:r w:rsidR="00757E7E">
        <w:t xml:space="preserve">de </w:t>
      </w:r>
      <w:r w:rsidRPr="00D7693C">
        <w:t xml:space="preserve">allocatie, </w:t>
      </w:r>
      <w:r w:rsidR="00757E7E">
        <w:t xml:space="preserve">de </w:t>
      </w:r>
      <w:r w:rsidRPr="00D7693C">
        <w:t xml:space="preserve">reconciliatie en </w:t>
      </w:r>
      <w:proofErr w:type="spellStart"/>
      <w:r w:rsidR="003B26DB" w:rsidRPr="00D7693C">
        <w:t>settlement</w:t>
      </w:r>
      <w:proofErr w:type="spellEnd"/>
      <w:r w:rsidR="003B26DB">
        <w:t>-</w:t>
      </w:r>
      <w:r w:rsidRPr="00D7693C">
        <w:t xml:space="preserve">processen van de marktwerking, met inbegrip van de taken van de DNB voor het ter beschikking stellen van de gevalideerde meetgegevens aan de partijen die in de reglementering voorzien zijn. </w:t>
      </w:r>
    </w:p>
    <w:p w14:paraId="56B7C16B" w14:textId="42CE4CF6" w:rsidR="000749CC" w:rsidRPr="00E8684F" w:rsidRDefault="000749CC" w:rsidP="00283103">
      <w:pPr>
        <w:pStyle w:val="Kop2"/>
      </w:pPr>
      <w:r w:rsidRPr="00E8684F">
        <w:t>Definities</w:t>
      </w:r>
      <w:r w:rsidR="00D7693C" w:rsidRPr="00E8684F">
        <w:t xml:space="preserve"> </w:t>
      </w:r>
    </w:p>
    <w:p w14:paraId="010C0BB8" w14:textId="0FE4CDE6" w:rsidR="00856B0D" w:rsidRDefault="000749CC" w:rsidP="00F01430">
      <w:r>
        <w:t>In het kader van de huidige overeenkomst, zijn de volgende definities van toepassing:</w:t>
      </w:r>
    </w:p>
    <w:p w14:paraId="57BBBC15" w14:textId="77777777" w:rsidR="00F01430" w:rsidRDefault="00F01430" w:rsidP="00F01430"/>
    <w:p w14:paraId="00CD4B4E" w14:textId="5F25870A" w:rsidR="0058539A" w:rsidRDefault="008E18A1" w:rsidP="006379C6">
      <w:pPr>
        <w:pStyle w:val="Lijstalinea"/>
        <w:widowControl w:val="0"/>
        <w:numPr>
          <w:ilvl w:val="0"/>
          <w:numId w:val="54"/>
        </w:numPr>
        <w:ind w:left="360"/>
        <w:jc w:val="both"/>
      </w:pPr>
      <w:r w:rsidRPr="00F01430">
        <w:t xml:space="preserve">Een </w:t>
      </w:r>
      <w:r w:rsidR="00FD1D1D" w:rsidRPr="0045650C">
        <w:rPr>
          <w:b/>
          <w:bCs/>
        </w:rPr>
        <w:t>D</w:t>
      </w:r>
      <w:r w:rsidRPr="0045650C">
        <w:rPr>
          <w:b/>
          <w:bCs/>
        </w:rPr>
        <w:t xml:space="preserve">ienstverleningspunt voor </w:t>
      </w:r>
      <w:r w:rsidRPr="0045650C">
        <w:rPr>
          <w:b/>
          <w:bCs/>
          <w:color w:val="000000" w:themeColor="text1"/>
        </w:rPr>
        <w:t>flexibiliteit</w:t>
      </w:r>
      <w:r w:rsidR="00F01430" w:rsidRPr="0045650C">
        <w:rPr>
          <w:color w:val="000000" w:themeColor="text1"/>
        </w:rPr>
        <w:t xml:space="preserve"> (SDP-F) </w:t>
      </w:r>
      <w:r w:rsidRPr="0045650C">
        <w:rPr>
          <w:color w:val="000000" w:themeColor="text1"/>
        </w:rPr>
        <w:t xml:space="preserve">is </w:t>
      </w:r>
      <w:r w:rsidRPr="00F01430">
        <w:t>een element, verbonden aan een aansluitingspunt, dat kan gebruikt word</w:t>
      </w:r>
      <w:r w:rsidR="00F01430">
        <w:t xml:space="preserve">t </w:t>
      </w:r>
      <w:r w:rsidRPr="00F01430">
        <w:t xml:space="preserve">in het kader van één of meerdere </w:t>
      </w:r>
      <w:r w:rsidR="00FD1D1D" w:rsidRPr="00F01430">
        <w:t>F</w:t>
      </w:r>
      <w:r w:rsidRPr="00F01430">
        <w:t>lexibiliteitsdiensten</w:t>
      </w:r>
      <w:r w:rsidR="0045650C">
        <w:t>.</w:t>
      </w:r>
      <w:r w:rsidRPr="00F01430">
        <w:t xml:space="preserve"> </w:t>
      </w:r>
      <w:r w:rsidR="0045650C">
        <w:t>Het</w:t>
      </w:r>
      <w:r w:rsidRPr="00F01430">
        <w:t xml:space="preserve"> wordt geïdentificeerd door het meetpunt dat gebruikt wordt voor de controle en/of </w:t>
      </w:r>
      <w:r w:rsidR="006A6C26">
        <w:t xml:space="preserve">de </w:t>
      </w:r>
      <w:r w:rsidRPr="00F01430">
        <w:t xml:space="preserve">berekening van de beschikbaarheid en/of activatie van flexibiliteit in het kader van de </w:t>
      </w:r>
      <w:r w:rsidR="0045650C">
        <w:t xml:space="preserve">Flexibiliteitsdiensten </w:t>
      </w:r>
      <w:r w:rsidRPr="00F01430">
        <w:t>bedoeld in de onderhavige overeenkomst</w:t>
      </w:r>
      <w:r w:rsidR="00F01430">
        <w:t xml:space="preserve">. </w:t>
      </w:r>
      <w:bookmarkStart w:id="1" w:name="_Hlk30506692"/>
    </w:p>
    <w:p w14:paraId="350A1C9D" w14:textId="77777777" w:rsidR="0058539A" w:rsidRDefault="0058539A" w:rsidP="006379C6">
      <w:pPr>
        <w:pStyle w:val="Lijstalinea"/>
        <w:widowControl w:val="0"/>
        <w:numPr>
          <w:ilvl w:val="0"/>
          <w:numId w:val="0"/>
        </w:numPr>
        <w:ind w:left="360"/>
        <w:jc w:val="both"/>
      </w:pPr>
    </w:p>
    <w:p w14:paraId="56A3AE28" w14:textId="3E104BF8" w:rsidR="00C95BDB" w:rsidRPr="00240D7F" w:rsidRDefault="00C95BDB" w:rsidP="006379C6">
      <w:pPr>
        <w:pStyle w:val="Lijstalinea"/>
        <w:widowControl w:val="0"/>
        <w:numPr>
          <w:ilvl w:val="0"/>
          <w:numId w:val="54"/>
        </w:numPr>
        <w:ind w:left="360"/>
        <w:jc w:val="both"/>
      </w:pPr>
      <w:r w:rsidRPr="0058539A">
        <w:rPr>
          <w:b/>
        </w:rPr>
        <w:t>Flexibiliteitsd</w:t>
      </w:r>
      <w:r w:rsidR="007B09F5" w:rsidRPr="0058539A">
        <w:rPr>
          <w:b/>
        </w:rPr>
        <w:t>ienst</w:t>
      </w:r>
      <w:r w:rsidR="007B09F5" w:rsidRPr="00546E83">
        <w:t xml:space="preserve">: </w:t>
      </w:r>
      <w:r w:rsidR="009A5BD9">
        <w:t>d</w:t>
      </w:r>
      <w:r w:rsidR="00240D7F" w:rsidRPr="00240D7F">
        <w:t xml:space="preserve">e lijst met </w:t>
      </w:r>
      <w:r w:rsidR="002C7AA1">
        <w:t>F</w:t>
      </w:r>
      <w:r w:rsidR="00240D7F" w:rsidRPr="00240D7F">
        <w:t>lexibiliteitsdiensten, waarvoor de onderhavige overeenkomst geldig is, is opgenomen in de dienstencatalogus (</w:t>
      </w:r>
      <w:r w:rsidR="0045650C">
        <w:t>B</w:t>
      </w:r>
      <w:r w:rsidR="00240D7F" w:rsidRPr="00240D7F">
        <w:t>ijlage 1).</w:t>
      </w:r>
    </w:p>
    <w:p w14:paraId="6F89A6D3" w14:textId="77777777" w:rsidR="00C95BDB" w:rsidRPr="00240D7F" w:rsidRDefault="00C95BDB" w:rsidP="006379C6">
      <w:pPr>
        <w:pStyle w:val="Lijstalinea"/>
        <w:widowControl w:val="0"/>
        <w:numPr>
          <w:ilvl w:val="0"/>
          <w:numId w:val="0"/>
        </w:numPr>
        <w:jc w:val="both"/>
      </w:pPr>
    </w:p>
    <w:p w14:paraId="6C1B2D64" w14:textId="02300EB2" w:rsidR="00012A4B" w:rsidRDefault="00FD1D1D" w:rsidP="006379C6">
      <w:pPr>
        <w:pStyle w:val="Lijstalinea"/>
        <w:widowControl w:val="0"/>
        <w:numPr>
          <w:ilvl w:val="0"/>
          <w:numId w:val="54"/>
        </w:numPr>
        <w:ind w:left="360"/>
        <w:jc w:val="both"/>
      </w:pPr>
      <w:r w:rsidRPr="003A6F81">
        <w:rPr>
          <w:b/>
        </w:rPr>
        <w:t>Flexibiliteitsaanvrager</w:t>
      </w:r>
      <w:r w:rsidR="00DB0EBE">
        <w:rPr>
          <w:b/>
        </w:rPr>
        <w:t xml:space="preserve"> (FRP)</w:t>
      </w:r>
      <w:r w:rsidRPr="002C7AA1">
        <w:t xml:space="preserve">: </w:t>
      </w:r>
      <w:r w:rsidR="0045650C">
        <w:t xml:space="preserve">marktspeler </w:t>
      </w:r>
      <w:r w:rsidR="002C7AA1" w:rsidRPr="002C7AA1">
        <w:t>die een overeenkomst heeft gesloten</w:t>
      </w:r>
      <w:r w:rsidR="002C7AA1">
        <w:t xml:space="preserve"> met een </w:t>
      </w:r>
      <w:r w:rsidR="00012A4B">
        <w:t xml:space="preserve">of meerdere Dienstverleners van flexibiliteit </w:t>
      </w:r>
      <w:r w:rsidR="002C7AA1">
        <w:t>met het oog op de levering van een Flexibiliteitsdienst</w:t>
      </w:r>
      <w:r w:rsidRPr="002C7AA1">
        <w:t>.</w:t>
      </w:r>
      <w:r w:rsidR="00340E2F" w:rsidRPr="002C7AA1">
        <w:t xml:space="preserve"> </w:t>
      </w:r>
    </w:p>
    <w:p w14:paraId="77740F7B" w14:textId="77777777" w:rsidR="00E917B8" w:rsidRPr="0058539A" w:rsidRDefault="00E917B8" w:rsidP="006379C6">
      <w:pPr>
        <w:pStyle w:val="Lijstalinea"/>
        <w:widowControl w:val="0"/>
        <w:numPr>
          <w:ilvl w:val="0"/>
          <w:numId w:val="0"/>
        </w:numPr>
        <w:ind w:left="360"/>
        <w:jc w:val="both"/>
      </w:pPr>
    </w:p>
    <w:p w14:paraId="6C1DEB5E" w14:textId="44EF8ED3" w:rsidR="00E917B8" w:rsidRPr="002C7AA1" w:rsidRDefault="00E917B8" w:rsidP="006379C6">
      <w:pPr>
        <w:pStyle w:val="Lijstalinea"/>
        <w:widowControl w:val="0"/>
        <w:numPr>
          <w:ilvl w:val="0"/>
          <w:numId w:val="54"/>
        </w:numPr>
        <w:ind w:left="360"/>
        <w:jc w:val="both"/>
      </w:pPr>
      <w:r w:rsidRPr="00354129">
        <w:rPr>
          <w:b/>
          <w:bCs/>
        </w:rPr>
        <w:t>Dienstverlener van flexibiliteit</w:t>
      </w:r>
      <w:r w:rsidR="00DB0EBE">
        <w:rPr>
          <w:b/>
          <w:bCs/>
        </w:rPr>
        <w:t xml:space="preserve"> (FSP)</w:t>
      </w:r>
      <w:r>
        <w:t xml:space="preserve">: marktspeler die een of meer Flexibiliteitsdiensten via een of meerdere Dienstverleningspunten voor flexibiliteit levert. De FSP, Partij in de onderhavige overeenkomst, is een Dienstverlener van flexibiliteit.  </w:t>
      </w:r>
    </w:p>
    <w:bookmarkEnd w:id="1"/>
    <w:p w14:paraId="1813C188" w14:textId="77777777" w:rsidR="007B09F5" w:rsidRPr="002C7AA1" w:rsidRDefault="007B09F5" w:rsidP="006379C6">
      <w:pPr>
        <w:pStyle w:val="Lijstalinea"/>
        <w:widowControl w:val="0"/>
        <w:numPr>
          <w:ilvl w:val="0"/>
          <w:numId w:val="0"/>
        </w:numPr>
      </w:pPr>
    </w:p>
    <w:p w14:paraId="60873A28" w14:textId="7461C7B1" w:rsidR="00E917B8" w:rsidRDefault="00340E2F" w:rsidP="006379C6">
      <w:pPr>
        <w:pStyle w:val="Lijstalinea"/>
        <w:widowControl w:val="0"/>
        <w:numPr>
          <w:ilvl w:val="0"/>
          <w:numId w:val="54"/>
        </w:numPr>
        <w:autoSpaceDE/>
        <w:autoSpaceDN/>
        <w:ind w:left="360"/>
        <w:jc w:val="both"/>
      </w:pPr>
      <w:r w:rsidRPr="003A6F81">
        <w:rPr>
          <w:b/>
        </w:rPr>
        <w:t>P</w:t>
      </w:r>
      <w:r w:rsidR="0021614B" w:rsidRPr="003A6F81">
        <w:rPr>
          <w:b/>
        </w:rPr>
        <w:t>ool</w:t>
      </w:r>
      <w:r>
        <w:t xml:space="preserve">: </w:t>
      </w:r>
      <w:r w:rsidR="0021614B" w:rsidRPr="00E86EDA">
        <w:t xml:space="preserve">geheel van de </w:t>
      </w:r>
      <w:r>
        <w:t>D</w:t>
      </w:r>
      <w:r w:rsidR="00E86EDA" w:rsidRPr="00E86EDA">
        <w:t>ienstverleningspunten</w:t>
      </w:r>
      <w:r>
        <w:t xml:space="preserve"> voor flexibiliteit</w:t>
      </w:r>
      <w:r w:rsidR="00E86EDA" w:rsidRPr="00E86EDA">
        <w:t xml:space="preserve"> </w:t>
      </w:r>
      <w:r w:rsidR="0021614B" w:rsidRPr="00E86EDA">
        <w:t xml:space="preserve">die de FSP mag activeren in het kader van de </w:t>
      </w:r>
      <w:r>
        <w:t>Flexibiliteitsdiensten</w:t>
      </w:r>
      <w:r w:rsidR="003A6F81">
        <w:t>.</w:t>
      </w:r>
      <w:r w:rsidR="00D30D21">
        <w:t xml:space="preserve"> </w:t>
      </w:r>
      <w:r w:rsidR="00E917B8">
        <w:t>Voor elk Dienstverleningspunt van flexibiliteit d</w:t>
      </w:r>
      <w:r w:rsidR="00E962FA">
        <w:t>at</w:t>
      </w:r>
      <w:r w:rsidR="00E917B8">
        <w:t xml:space="preserve"> deel uitmaakt van de Pool, bevat deze alle administratieve en technische informatie met het oog op een correcte uitvoering van de onderhavige overeenkomst (o.a. EAN, adres, plaats van het meetpunt, betrokken Flexibiliteitsdiensten, beperkingen, de flexibiliteitsmiddelen, meet- en telmodaliteiten, …)</w:t>
      </w:r>
      <w:r w:rsidR="002B3DDA">
        <w:t>.</w:t>
      </w:r>
      <w:r w:rsidR="00E917B8">
        <w:t xml:space="preserve">  </w:t>
      </w:r>
    </w:p>
    <w:p w14:paraId="75F324F3" w14:textId="6636B5B4" w:rsidR="00340E2F" w:rsidRPr="00E8684F" w:rsidRDefault="00E917B8" w:rsidP="00340E2F">
      <w:pPr>
        <w:pStyle w:val="Kop2"/>
      </w:pPr>
      <w:r>
        <w:t>A</w:t>
      </w:r>
      <w:r w:rsidR="000A1D8E">
        <w:t>fkortingen</w:t>
      </w:r>
    </w:p>
    <w:p w14:paraId="0BDD872D" w14:textId="5BE5A383" w:rsidR="00340E2F" w:rsidRDefault="00340E2F" w:rsidP="00340E2F">
      <w:r>
        <w:t xml:space="preserve">In het kader van de huidige overeenkomst, zijn de volgende </w:t>
      </w:r>
      <w:r w:rsidR="00417F47">
        <w:t xml:space="preserve">afkortingen </w:t>
      </w:r>
      <w:r>
        <w:t>van toepassing:</w:t>
      </w:r>
    </w:p>
    <w:p w14:paraId="7D6DBCDB" w14:textId="6EF894BC" w:rsidR="00340E2F" w:rsidRDefault="00340E2F" w:rsidP="00E86EDA">
      <w:pPr>
        <w:pStyle w:val="Lijstalinea"/>
        <w:widowControl w:val="0"/>
        <w:numPr>
          <w:ilvl w:val="0"/>
          <w:numId w:val="0"/>
        </w:numPr>
        <w:autoSpaceDE/>
        <w:autoSpaceDN/>
        <w:ind w:left="360"/>
        <w:jc w:val="both"/>
      </w:pPr>
    </w:p>
    <w:p w14:paraId="34DB91C9" w14:textId="445DEFC1" w:rsidR="00DD0DF8" w:rsidRDefault="00340E2F" w:rsidP="00340E2F">
      <w:pPr>
        <w:pStyle w:val="Lijstalinea"/>
        <w:widowControl w:val="0"/>
        <w:numPr>
          <w:ilvl w:val="0"/>
          <w:numId w:val="31"/>
        </w:numPr>
      </w:pPr>
      <w:r w:rsidRPr="00E8684F">
        <w:rPr>
          <w:b/>
        </w:rPr>
        <w:t>DNG</w:t>
      </w:r>
      <w:r>
        <w:t>:</w:t>
      </w:r>
      <w:r w:rsidRPr="00856B0D">
        <w:t xml:space="preserve"> Distributienetgebruiker;</w:t>
      </w:r>
      <w:r w:rsidR="002A5E59">
        <w:t xml:space="preserve"> </w:t>
      </w:r>
    </w:p>
    <w:p w14:paraId="46167A7E" w14:textId="62C3853F" w:rsidR="00340E2F" w:rsidRDefault="00340E2F" w:rsidP="00340E2F">
      <w:pPr>
        <w:pStyle w:val="Lijstalinea"/>
        <w:widowControl w:val="0"/>
        <w:numPr>
          <w:ilvl w:val="0"/>
          <w:numId w:val="31"/>
        </w:numPr>
        <w:rPr>
          <w:lang w:val="en-GB"/>
        </w:rPr>
      </w:pPr>
      <w:r w:rsidRPr="00B678C8">
        <w:rPr>
          <w:b/>
          <w:lang w:val="en-GB"/>
        </w:rPr>
        <w:t>FRP</w:t>
      </w:r>
      <w:r w:rsidRPr="00B678C8">
        <w:rPr>
          <w:lang w:val="en-GB"/>
        </w:rPr>
        <w:t xml:space="preserve">: </w:t>
      </w:r>
      <w:proofErr w:type="spellStart"/>
      <w:r w:rsidRPr="00B678C8">
        <w:rPr>
          <w:lang w:val="en-GB"/>
        </w:rPr>
        <w:t>Flexibiliteitsaanvrager</w:t>
      </w:r>
      <w:proofErr w:type="spellEnd"/>
      <w:r w:rsidRPr="00B678C8">
        <w:rPr>
          <w:lang w:val="en-GB"/>
        </w:rPr>
        <w:t xml:space="preserve"> (Flexibility Requesting P</w:t>
      </w:r>
      <w:r>
        <w:rPr>
          <w:lang w:val="en-GB"/>
        </w:rPr>
        <w:t>arty)</w:t>
      </w:r>
    </w:p>
    <w:p w14:paraId="5256EAFB" w14:textId="4E287327" w:rsidR="00340E2F" w:rsidRPr="003A6F81" w:rsidRDefault="00340E2F" w:rsidP="00340E2F">
      <w:pPr>
        <w:pStyle w:val="Lijstalinea"/>
        <w:widowControl w:val="0"/>
        <w:numPr>
          <w:ilvl w:val="0"/>
          <w:numId w:val="31"/>
        </w:numPr>
        <w:rPr>
          <w:lang w:val="en-US"/>
        </w:rPr>
      </w:pPr>
      <w:r w:rsidRPr="003A6F81">
        <w:rPr>
          <w:b/>
          <w:lang w:val="en-US"/>
        </w:rPr>
        <w:t>SDP–F</w:t>
      </w:r>
      <w:r w:rsidRPr="003A6F81">
        <w:rPr>
          <w:lang w:val="en-US"/>
        </w:rPr>
        <w:t xml:space="preserve">: </w:t>
      </w:r>
      <w:proofErr w:type="spellStart"/>
      <w:r w:rsidRPr="003A6F81">
        <w:rPr>
          <w:bCs/>
          <w:lang w:val="en-US"/>
        </w:rPr>
        <w:t>Dienstverleningspunt</w:t>
      </w:r>
      <w:proofErr w:type="spellEnd"/>
      <w:r w:rsidRPr="003A6F81">
        <w:rPr>
          <w:bCs/>
          <w:lang w:val="en-US"/>
        </w:rPr>
        <w:t xml:space="preserve"> </w:t>
      </w:r>
      <w:proofErr w:type="spellStart"/>
      <w:r w:rsidRPr="003A6F81">
        <w:rPr>
          <w:bCs/>
          <w:lang w:val="en-US"/>
        </w:rPr>
        <w:t>voor</w:t>
      </w:r>
      <w:proofErr w:type="spellEnd"/>
      <w:r w:rsidRPr="003A6F81">
        <w:rPr>
          <w:bCs/>
          <w:lang w:val="en-US"/>
        </w:rPr>
        <w:t xml:space="preserve"> </w:t>
      </w:r>
      <w:proofErr w:type="spellStart"/>
      <w:r w:rsidRPr="003A6F81">
        <w:rPr>
          <w:bCs/>
          <w:lang w:val="en-US"/>
        </w:rPr>
        <w:t>flexibiliteit</w:t>
      </w:r>
      <w:proofErr w:type="spellEnd"/>
      <w:r w:rsidRPr="003A6F81">
        <w:rPr>
          <w:bCs/>
          <w:lang w:val="en-US"/>
        </w:rPr>
        <w:t xml:space="preserve"> (Service Delivery Point </w:t>
      </w:r>
      <w:r w:rsidR="00B678C8" w:rsidRPr="003A6F81">
        <w:rPr>
          <w:bCs/>
          <w:lang w:val="en-US"/>
        </w:rPr>
        <w:t>of Flexibility)</w:t>
      </w:r>
    </w:p>
    <w:p w14:paraId="7E96CBB1" w14:textId="64D1F548" w:rsidR="00B678C8" w:rsidRDefault="00B678C8" w:rsidP="00340E2F">
      <w:pPr>
        <w:pStyle w:val="Lijstalinea"/>
        <w:widowControl w:val="0"/>
        <w:numPr>
          <w:ilvl w:val="0"/>
          <w:numId w:val="31"/>
        </w:numPr>
        <w:rPr>
          <w:lang w:val="nl-NL"/>
        </w:rPr>
      </w:pPr>
      <w:r w:rsidRPr="00B678C8">
        <w:rPr>
          <w:b/>
          <w:lang w:val="nl-NL"/>
        </w:rPr>
        <w:t>TRDE</w:t>
      </w:r>
      <w:r>
        <w:rPr>
          <w:lang w:val="nl-NL"/>
        </w:rPr>
        <w:t xml:space="preserve">: </w:t>
      </w:r>
      <w:r>
        <w:t>Technisch Reglement voor Distributie van Elektriciteit</w:t>
      </w:r>
    </w:p>
    <w:p w14:paraId="690A675B" w14:textId="65BBBAB9" w:rsidR="00DA3637" w:rsidRPr="001503AB" w:rsidRDefault="00E917B8" w:rsidP="00BE59B7">
      <w:pPr>
        <w:pStyle w:val="Kop1"/>
      </w:pPr>
      <w:r>
        <w:lastRenderedPageBreak/>
        <w:t xml:space="preserve">Lijst van de bijlagen </w:t>
      </w:r>
    </w:p>
    <w:p w14:paraId="66F2A01B" w14:textId="77777777" w:rsidR="00F07160" w:rsidRPr="00F07160" w:rsidRDefault="00F07160" w:rsidP="00F07160"/>
    <w:p w14:paraId="04F52067" w14:textId="41D1A5DA" w:rsidR="00F07160" w:rsidRDefault="001462CE" w:rsidP="00F07160">
      <w:r>
        <w:t>A</w:t>
      </w:r>
      <w:r w:rsidR="00F07160" w:rsidRPr="00F07160">
        <w:t>lle bijlagen van deze overeenkomst maken integraal deel uit van de onderhavige overeenkomst.</w:t>
      </w:r>
    </w:p>
    <w:p w14:paraId="22D467CD" w14:textId="77777777" w:rsidR="001462CE" w:rsidRPr="00F07160" w:rsidRDefault="001462CE" w:rsidP="00F07160"/>
    <w:tbl>
      <w:tblPr>
        <w:tblW w:w="0" w:type="auto"/>
        <w:tblInd w:w="6" w:type="dxa"/>
        <w:tblLayout w:type="fixed"/>
        <w:tblCellMar>
          <w:left w:w="0" w:type="dxa"/>
          <w:right w:w="0" w:type="dxa"/>
        </w:tblCellMar>
        <w:tblLook w:val="0000" w:firstRow="0" w:lastRow="0" w:firstColumn="0" w:lastColumn="0" w:noHBand="0" w:noVBand="0"/>
      </w:tblPr>
      <w:tblGrid>
        <w:gridCol w:w="7372"/>
        <w:gridCol w:w="1593"/>
      </w:tblGrid>
      <w:tr w:rsidR="005772D8" w:rsidRPr="003F5D47" w14:paraId="7729EAA5" w14:textId="77777777" w:rsidTr="00F93158">
        <w:trPr>
          <w:trHeight w:hRule="exact" w:val="475"/>
        </w:trPr>
        <w:tc>
          <w:tcPr>
            <w:tcW w:w="7372" w:type="dxa"/>
            <w:tcBorders>
              <w:top w:val="single" w:sz="5" w:space="0" w:color="auto"/>
              <w:left w:val="single" w:sz="5" w:space="0" w:color="auto"/>
              <w:bottom w:val="single" w:sz="5" w:space="0" w:color="auto"/>
              <w:right w:val="single" w:sz="5" w:space="0" w:color="auto"/>
            </w:tcBorders>
          </w:tcPr>
          <w:p w14:paraId="629304FE" w14:textId="45D8894C" w:rsidR="005772D8" w:rsidRPr="00F93158" w:rsidRDefault="005772D8" w:rsidP="00E66599">
            <w:pPr>
              <w:keepNext/>
              <w:keepLines/>
              <w:tabs>
                <w:tab w:val="left" w:pos="720"/>
                <w:tab w:val="left" w:pos="1296"/>
                <w:tab w:val="left" w:pos="1800"/>
                <w:tab w:val="left" w:pos="3960"/>
                <w:tab w:val="left" w:pos="5616"/>
                <w:tab w:val="right" w:pos="6624"/>
              </w:tabs>
              <w:kinsoku w:val="0"/>
              <w:overflowPunct w:val="0"/>
              <w:spacing w:before="76" w:line="253" w:lineRule="exact"/>
              <w:ind w:left="72"/>
              <w:textAlignment w:val="baseline"/>
              <w:rPr>
                <w:rFonts w:cs="Arial"/>
                <w:bCs/>
                <w:szCs w:val="20"/>
              </w:rPr>
            </w:pPr>
            <w:r>
              <w:rPr>
                <w:rFonts w:cs="Arial"/>
                <w:bCs/>
                <w:szCs w:val="20"/>
              </w:rPr>
              <w:t>Dienstencatalogus</w:t>
            </w:r>
          </w:p>
        </w:tc>
        <w:tc>
          <w:tcPr>
            <w:tcW w:w="1593" w:type="dxa"/>
            <w:tcBorders>
              <w:top w:val="single" w:sz="5" w:space="0" w:color="auto"/>
              <w:left w:val="single" w:sz="5" w:space="0" w:color="auto"/>
              <w:bottom w:val="single" w:sz="5" w:space="0" w:color="auto"/>
              <w:right w:val="single" w:sz="5" w:space="0" w:color="auto"/>
            </w:tcBorders>
          </w:tcPr>
          <w:p w14:paraId="3D336156" w14:textId="633CE07D" w:rsidR="005772D8" w:rsidRPr="00F93158" w:rsidRDefault="003A6F81" w:rsidP="00E52BD0">
            <w:pPr>
              <w:keepNext/>
              <w:keepLines/>
              <w:kinsoku w:val="0"/>
              <w:overflowPunct w:val="0"/>
              <w:spacing w:before="76" w:line="257" w:lineRule="exact"/>
              <w:ind w:right="619"/>
              <w:jc w:val="right"/>
              <w:textAlignment w:val="baseline"/>
              <w:rPr>
                <w:rFonts w:cs="Arial"/>
                <w:bCs/>
                <w:spacing w:val="-4"/>
                <w:szCs w:val="20"/>
              </w:rPr>
            </w:pPr>
            <w:r>
              <w:rPr>
                <w:rFonts w:cs="Arial"/>
                <w:bCs/>
                <w:spacing w:val="-4"/>
                <w:szCs w:val="20"/>
              </w:rPr>
              <w:t>Bijlage 1</w:t>
            </w:r>
          </w:p>
        </w:tc>
      </w:tr>
      <w:tr w:rsidR="001D00B2" w:rsidRPr="003F5D47" w14:paraId="453B3C03" w14:textId="77777777" w:rsidTr="00F93158">
        <w:trPr>
          <w:trHeight w:hRule="exact" w:val="475"/>
        </w:trPr>
        <w:tc>
          <w:tcPr>
            <w:tcW w:w="7372" w:type="dxa"/>
            <w:tcBorders>
              <w:top w:val="single" w:sz="5" w:space="0" w:color="auto"/>
              <w:left w:val="single" w:sz="5" w:space="0" w:color="auto"/>
              <w:bottom w:val="single" w:sz="5" w:space="0" w:color="auto"/>
              <w:right w:val="single" w:sz="5" w:space="0" w:color="auto"/>
            </w:tcBorders>
          </w:tcPr>
          <w:p w14:paraId="00A75BDE" w14:textId="1C011CDE" w:rsidR="001D00B2" w:rsidRPr="00F93158" w:rsidRDefault="001D00B2" w:rsidP="00E66599">
            <w:pPr>
              <w:keepNext/>
              <w:keepLines/>
              <w:tabs>
                <w:tab w:val="left" w:pos="720"/>
                <w:tab w:val="left" w:pos="1296"/>
                <w:tab w:val="left" w:pos="1800"/>
                <w:tab w:val="left" w:pos="3960"/>
                <w:tab w:val="left" w:pos="5616"/>
                <w:tab w:val="right" w:pos="6624"/>
              </w:tabs>
              <w:kinsoku w:val="0"/>
              <w:overflowPunct w:val="0"/>
              <w:spacing w:before="76" w:line="253" w:lineRule="exact"/>
              <w:ind w:left="72"/>
              <w:textAlignment w:val="baseline"/>
              <w:rPr>
                <w:rFonts w:cs="Arial"/>
                <w:bCs/>
                <w:szCs w:val="20"/>
              </w:rPr>
            </w:pPr>
            <w:r>
              <w:rPr>
                <w:rFonts w:cs="Arial"/>
                <w:bCs/>
                <w:szCs w:val="20"/>
              </w:rPr>
              <w:t>Formulier voor de aanvraag van een identificatie voor een nieuw SDP-F</w:t>
            </w:r>
          </w:p>
        </w:tc>
        <w:tc>
          <w:tcPr>
            <w:tcW w:w="1593" w:type="dxa"/>
            <w:tcBorders>
              <w:top w:val="single" w:sz="5" w:space="0" w:color="auto"/>
              <w:left w:val="single" w:sz="5" w:space="0" w:color="auto"/>
              <w:bottom w:val="single" w:sz="5" w:space="0" w:color="auto"/>
              <w:right w:val="single" w:sz="5" w:space="0" w:color="auto"/>
            </w:tcBorders>
          </w:tcPr>
          <w:p w14:paraId="2F7C0E3E" w14:textId="2EDBC163" w:rsidR="001D00B2" w:rsidRPr="00F93158" w:rsidRDefault="001D00B2" w:rsidP="00E52BD0">
            <w:pPr>
              <w:keepNext/>
              <w:keepLines/>
              <w:kinsoku w:val="0"/>
              <w:overflowPunct w:val="0"/>
              <w:spacing w:before="76" w:line="257" w:lineRule="exact"/>
              <w:ind w:right="619"/>
              <w:jc w:val="right"/>
              <w:textAlignment w:val="baseline"/>
              <w:rPr>
                <w:rFonts w:cs="Arial"/>
                <w:bCs/>
                <w:spacing w:val="-4"/>
                <w:szCs w:val="20"/>
              </w:rPr>
            </w:pPr>
            <w:r>
              <w:rPr>
                <w:rFonts w:cs="Arial"/>
                <w:bCs/>
                <w:spacing w:val="-4"/>
                <w:szCs w:val="20"/>
              </w:rPr>
              <w:t>Bijlage 2</w:t>
            </w:r>
          </w:p>
        </w:tc>
      </w:tr>
      <w:tr w:rsidR="00F07160" w:rsidRPr="003F5D47" w14:paraId="17B00BF5" w14:textId="77777777" w:rsidTr="00F93158">
        <w:trPr>
          <w:trHeight w:hRule="exact" w:val="475"/>
        </w:trPr>
        <w:tc>
          <w:tcPr>
            <w:tcW w:w="7372" w:type="dxa"/>
            <w:tcBorders>
              <w:top w:val="single" w:sz="5" w:space="0" w:color="auto"/>
              <w:left w:val="single" w:sz="5" w:space="0" w:color="auto"/>
              <w:bottom w:val="single" w:sz="5" w:space="0" w:color="auto"/>
              <w:right w:val="single" w:sz="5" w:space="0" w:color="auto"/>
            </w:tcBorders>
          </w:tcPr>
          <w:p w14:paraId="5C6D352D" w14:textId="3D73C3DB" w:rsidR="00F07160" w:rsidRPr="00F93158" w:rsidRDefault="00F07160" w:rsidP="00E66599">
            <w:pPr>
              <w:keepNext/>
              <w:keepLines/>
              <w:tabs>
                <w:tab w:val="left" w:pos="720"/>
                <w:tab w:val="left" w:pos="1296"/>
                <w:tab w:val="left" w:pos="1800"/>
                <w:tab w:val="left" w:pos="3960"/>
                <w:tab w:val="left" w:pos="5616"/>
                <w:tab w:val="right" w:pos="6624"/>
              </w:tabs>
              <w:kinsoku w:val="0"/>
              <w:overflowPunct w:val="0"/>
              <w:spacing w:before="76" w:line="253" w:lineRule="exact"/>
              <w:ind w:left="72"/>
              <w:textAlignment w:val="baseline"/>
              <w:rPr>
                <w:rFonts w:cs="Arial"/>
                <w:bCs/>
                <w:szCs w:val="20"/>
              </w:rPr>
            </w:pPr>
            <w:r w:rsidRPr="00F93158">
              <w:rPr>
                <w:rFonts w:cs="Arial"/>
                <w:bCs/>
                <w:szCs w:val="20"/>
              </w:rPr>
              <w:t xml:space="preserve">Pool </w:t>
            </w:r>
          </w:p>
        </w:tc>
        <w:tc>
          <w:tcPr>
            <w:tcW w:w="1593" w:type="dxa"/>
            <w:tcBorders>
              <w:top w:val="single" w:sz="5" w:space="0" w:color="auto"/>
              <w:left w:val="single" w:sz="5" w:space="0" w:color="auto"/>
              <w:bottom w:val="single" w:sz="5" w:space="0" w:color="auto"/>
              <w:right w:val="single" w:sz="5" w:space="0" w:color="auto"/>
            </w:tcBorders>
          </w:tcPr>
          <w:p w14:paraId="649DE03A" w14:textId="4234E3CB" w:rsidR="00F07160" w:rsidRPr="00F93158" w:rsidRDefault="00F07160" w:rsidP="00E52BD0">
            <w:pPr>
              <w:keepNext/>
              <w:keepLines/>
              <w:kinsoku w:val="0"/>
              <w:overflowPunct w:val="0"/>
              <w:spacing w:before="76" w:line="257" w:lineRule="exact"/>
              <w:ind w:right="619"/>
              <w:jc w:val="right"/>
              <w:textAlignment w:val="baseline"/>
              <w:rPr>
                <w:rFonts w:cs="Arial"/>
                <w:bCs/>
                <w:spacing w:val="-4"/>
                <w:szCs w:val="20"/>
              </w:rPr>
            </w:pPr>
            <w:r w:rsidRPr="00F93158">
              <w:rPr>
                <w:rFonts w:cs="Arial"/>
                <w:bCs/>
                <w:spacing w:val="-4"/>
                <w:szCs w:val="20"/>
              </w:rPr>
              <w:t xml:space="preserve">Bijlage </w:t>
            </w:r>
            <w:r w:rsidR="00EA5F14">
              <w:rPr>
                <w:rFonts w:cs="Arial"/>
                <w:bCs/>
                <w:spacing w:val="-4"/>
                <w:szCs w:val="20"/>
              </w:rPr>
              <w:t>3</w:t>
            </w:r>
          </w:p>
        </w:tc>
      </w:tr>
      <w:tr w:rsidR="00F07160" w:rsidRPr="003F5D47" w14:paraId="74A40391" w14:textId="77777777" w:rsidTr="00EF78E6">
        <w:trPr>
          <w:trHeight w:hRule="exact" w:val="482"/>
        </w:trPr>
        <w:tc>
          <w:tcPr>
            <w:tcW w:w="7372" w:type="dxa"/>
            <w:tcBorders>
              <w:top w:val="single" w:sz="5" w:space="0" w:color="auto"/>
              <w:left w:val="single" w:sz="5" w:space="0" w:color="auto"/>
              <w:bottom w:val="single" w:sz="5" w:space="0" w:color="auto"/>
              <w:right w:val="single" w:sz="5" w:space="0" w:color="auto"/>
            </w:tcBorders>
            <w:vAlign w:val="center"/>
          </w:tcPr>
          <w:p w14:paraId="57C76548" w14:textId="77777777" w:rsidR="00F07160" w:rsidRPr="00F93158" w:rsidRDefault="00F07160" w:rsidP="00E52BD0">
            <w:pPr>
              <w:keepNext/>
              <w:keepLines/>
              <w:kinsoku w:val="0"/>
              <w:overflowPunct w:val="0"/>
              <w:spacing w:before="67" w:after="55" w:line="257" w:lineRule="exact"/>
              <w:ind w:left="72"/>
              <w:textAlignment w:val="baseline"/>
              <w:rPr>
                <w:rFonts w:cs="Arial"/>
                <w:bCs/>
                <w:szCs w:val="20"/>
              </w:rPr>
            </w:pPr>
            <w:r w:rsidRPr="00F93158">
              <w:rPr>
                <w:rFonts w:cs="Arial"/>
                <w:bCs/>
                <w:szCs w:val="20"/>
              </w:rPr>
              <w:t>Contactpersonen</w:t>
            </w:r>
          </w:p>
        </w:tc>
        <w:tc>
          <w:tcPr>
            <w:tcW w:w="1593" w:type="dxa"/>
            <w:tcBorders>
              <w:top w:val="single" w:sz="5" w:space="0" w:color="auto"/>
              <w:left w:val="single" w:sz="5" w:space="0" w:color="auto"/>
              <w:bottom w:val="single" w:sz="5" w:space="0" w:color="auto"/>
              <w:right w:val="single" w:sz="5" w:space="0" w:color="auto"/>
            </w:tcBorders>
            <w:vAlign w:val="center"/>
          </w:tcPr>
          <w:p w14:paraId="17856C9A" w14:textId="4A9853C4" w:rsidR="00F07160" w:rsidRPr="00F93158" w:rsidRDefault="00F07160" w:rsidP="00F07160">
            <w:pPr>
              <w:keepNext/>
              <w:keepLines/>
              <w:kinsoku w:val="0"/>
              <w:overflowPunct w:val="0"/>
              <w:spacing w:before="67" w:after="55" w:line="257" w:lineRule="exact"/>
              <w:ind w:right="619"/>
              <w:jc w:val="right"/>
              <w:textAlignment w:val="baseline"/>
              <w:rPr>
                <w:rFonts w:cs="Arial"/>
                <w:bCs/>
                <w:spacing w:val="-5"/>
                <w:szCs w:val="20"/>
              </w:rPr>
            </w:pPr>
            <w:r w:rsidRPr="00F93158">
              <w:rPr>
                <w:rFonts w:cs="Arial"/>
                <w:bCs/>
                <w:spacing w:val="-5"/>
                <w:szCs w:val="20"/>
              </w:rPr>
              <w:t xml:space="preserve">Bijlage </w:t>
            </w:r>
            <w:r w:rsidR="00EA5F14">
              <w:rPr>
                <w:rFonts w:cs="Arial"/>
                <w:bCs/>
                <w:spacing w:val="-5"/>
                <w:szCs w:val="20"/>
              </w:rPr>
              <w:t>4</w:t>
            </w:r>
          </w:p>
        </w:tc>
      </w:tr>
    </w:tbl>
    <w:p w14:paraId="6A0CB898" w14:textId="187E1F3A" w:rsidR="00B730E1" w:rsidRDefault="00B81E5B" w:rsidP="00B730E1">
      <w:pPr>
        <w:pStyle w:val="Kop1"/>
      </w:pPr>
      <w:r>
        <w:t>V</w:t>
      </w:r>
      <w:r w:rsidR="00E16825">
        <w:t>ergunning</w:t>
      </w:r>
      <w:r>
        <w:t xml:space="preserve"> voor de levering van </w:t>
      </w:r>
      <w:r w:rsidR="00A818CE">
        <w:t>F</w:t>
      </w:r>
      <w:r>
        <w:t>lexibiliteitsdiensten</w:t>
      </w:r>
    </w:p>
    <w:p w14:paraId="05128174" w14:textId="4CFDAD9D" w:rsidR="00A047A9" w:rsidRDefault="00B81E5B" w:rsidP="00E631C4">
      <w:r w:rsidRPr="00B81E5B">
        <w:t xml:space="preserve">Voor zover </w:t>
      </w:r>
      <w:r w:rsidR="00E917B8">
        <w:t xml:space="preserve">de </w:t>
      </w:r>
      <w:r w:rsidR="00155BBD">
        <w:t xml:space="preserve">van toepassing zijnde </w:t>
      </w:r>
      <w:r w:rsidR="00E917B8">
        <w:t xml:space="preserve">gewestelijke wetgeving </w:t>
      </w:r>
      <w:r w:rsidRPr="00B81E5B">
        <w:t xml:space="preserve">het oplegt, </w:t>
      </w:r>
      <w:r w:rsidR="00A047A9">
        <w:t>moet</w:t>
      </w:r>
      <w:r>
        <w:t xml:space="preserve"> de FSP beschikken over een vergunning voor de levering </w:t>
      </w:r>
      <w:r w:rsidR="00A047A9">
        <w:t xml:space="preserve">van </w:t>
      </w:r>
      <w:r w:rsidR="00A818CE">
        <w:t>F</w:t>
      </w:r>
      <w:r>
        <w:t xml:space="preserve">lexibiliteitsdiensten en dit minimaal voor de </w:t>
      </w:r>
      <w:r w:rsidR="0028709D">
        <w:t>geldigheids</w:t>
      </w:r>
      <w:r>
        <w:t>duur van onderhavige overeenkomst.</w:t>
      </w:r>
      <w:r w:rsidR="00A047A9">
        <w:t xml:space="preserve"> </w:t>
      </w:r>
    </w:p>
    <w:p w14:paraId="31FCF7A3" w14:textId="489B0444" w:rsidR="00B730E1" w:rsidRDefault="00A047A9" w:rsidP="00E631C4">
      <w:r>
        <w:t>In voorkomend geval, door het ondertekenen van onderhavige overeenkomst</w:t>
      </w:r>
      <w:r w:rsidR="00C271F6">
        <w:t>,</w:t>
      </w:r>
      <w:r>
        <w:t xml:space="preserve"> bevestigt de FSP te beschikken over een geldige vergunning.</w:t>
      </w:r>
    </w:p>
    <w:p w14:paraId="50B50068" w14:textId="77777777" w:rsidR="00A047A9" w:rsidRDefault="00A047A9" w:rsidP="00E631C4"/>
    <w:p w14:paraId="2ADC6646" w14:textId="21D2929D" w:rsidR="00BD0A7C" w:rsidRDefault="00A047A9" w:rsidP="001462CE">
      <w:r>
        <w:t xml:space="preserve">De FSP </w:t>
      </w:r>
      <w:r w:rsidR="00E917B8">
        <w:t xml:space="preserve">verbindt zich ertoe </w:t>
      </w:r>
      <w:r>
        <w:t>om de DNB zonder verwijl te informeren indien hij niet meer over dergelijke vergunning beschikt.</w:t>
      </w:r>
    </w:p>
    <w:p w14:paraId="644C5169" w14:textId="55686024" w:rsidR="00E631C4" w:rsidRDefault="0067479B" w:rsidP="00BE59B7">
      <w:pPr>
        <w:pStyle w:val="Kop1"/>
      </w:pPr>
      <w:r>
        <w:t>V</w:t>
      </w:r>
      <w:r w:rsidR="00246015">
        <w:t xml:space="preserve">oorwaarden </w:t>
      </w:r>
      <w:r w:rsidR="00C276B1">
        <w:t xml:space="preserve">voor deelname van </w:t>
      </w:r>
      <w:r w:rsidR="00A940F8">
        <w:t>D</w:t>
      </w:r>
      <w:r w:rsidR="00935CC3">
        <w:t>ienstverleningspunte</w:t>
      </w:r>
      <w:r>
        <w:t>n</w:t>
      </w:r>
      <w:r w:rsidR="00A940F8">
        <w:t xml:space="preserve"> voor flexibiliteit</w:t>
      </w:r>
    </w:p>
    <w:p w14:paraId="0A425A83" w14:textId="77777777" w:rsidR="00E917B8" w:rsidRDefault="00E917B8" w:rsidP="00E917B8">
      <w:pPr>
        <w:pStyle w:val="Kop2"/>
        <w:numPr>
          <w:ilvl w:val="1"/>
          <w:numId w:val="1"/>
        </w:numPr>
      </w:pPr>
      <w:r>
        <w:t>Voorwaarden van toepassing op alle Flexibiliteitsdiensten</w:t>
      </w:r>
    </w:p>
    <w:p w14:paraId="5EDC1C02" w14:textId="1282C157" w:rsidR="00B41BAF" w:rsidRDefault="00C276B1" w:rsidP="00EE6333">
      <w:r>
        <w:t xml:space="preserve">Elk </w:t>
      </w:r>
      <w:r w:rsidR="00A940F8">
        <w:t>D</w:t>
      </w:r>
      <w:r w:rsidR="0067479B">
        <w:t>ienstverleningspunt</w:t>
      </w:r>
      <w:r w:rsidR="00A940F8">
        <w:t xml:space="preserve"> voor flexibiliteit (SDP–F) </w:t>
      </w:r>
      <w:r>
        <w:t xml:space="preserve">moet voldoen </w:t>
      </w:r>
      <w:r w:rsidR="00B41BAF">
        <w:t xml:space="preserve">aan </w:t>
      </w:r>
      <w:r>
        <w:t xml:space="preserve">de </w:t>
      </w:r>
      <w:r w:rsidR="00B41BAF">
        <w:t>volgende voorwaarden:</w:t>
      </w:r>
    </w:p>
    <w:p w14:paraId="56F719C8" w14:textId="7750CD90" w:rsidR="00D730F4" w:rsidRDefault="00D730F4" w:rsidP="00221B58">
      <w:pPr>
        <w:pStyle w:val="Lijstalinea"/>
        <w:numPr>
          <w:ilvl w:val="0"/>
          <w:numId w:val="57"/>
        </w:numPr>
        <w:jc w:val="both"/>
      </w:pPr>
      <w:r>
        <w:t xml:space="preserve">Het toegangspunt dat gelinkt is met het SDP-F moet gedekt zijn door een geldig toegangscontract tussen de toegangshouder (DNG of leverancier van de DNG) en de DNB. </w:t>
      </w:r>
    </w:p>
    <w:p w14:paraId="60A4EB3D" w14:textId="77777777" w:rsidR="00D730F4" w:rsidRDefault="00D730F4" w:rsidP="00221B58">
      <w:pPr>
        <w:pStyle w:val="Lijstalinea"/>
        <w:numPr>
          <w:ilvl w:val="0"/>
          <w:numId w:val="0"/>
        </w:numPr>
        <w:ind w:left="708"/>
        <w:jc w:val="both"/>
      </w:pPr>
    </w:p>
    <w:p w14:paraId="31E17E58" w14:textId="5FE8EE97" w:rsidR="00D730F4" w:rsidRDefault="00D730F4" w:rsidP="00221B58">
      <w:pPr>
        <w:pStyle w:val="Lijstalinea"/>
        <w:numPr>
          <w:ilvl w:val="0"/>
          <w:numId w:val="57"/>
        </w:numPr>
        <w:jc w:val="both"/>
      </w:pPr>
      <w:r>
        <w:t xml:space="preserve">Indien het aansluitingspunt gelinkt aan het SDP-F verbonden is met het hoogspannings-distributienet, moet dit gedekt zijn door </w:t>
      </w:r>
      <w:r w:rsidRPr="00EC545D">
        <w:t xml:space="preserve">een </w:t>
      </w:r>
      <w:r>
        <w:t xml:space="preserve">geldig </w:t>
      </w:r>
      <w:r w:rsidRPr="00EC545D">
        <w:t>aansluitingscontract</w:t>
      </w:r>
      <w:r w:rsidR="001C554E">
        <w:t>, gesloten</w:t>
      </w:r>
      <w:r w:rsidRPr="00EC545D">
        <w:t xml:space="preserve"> </w:t>
      </w:r>
      <w:r w:rsidR="001C554E">
        <w:t xml:space="preserve">met </w:t>
      </w:r>
      <w:r>
        <w:t xml:space="preserve">de </w:t>
      </w:r>
      <w:r w:rsidRPr="00EC545D">
        <w:t>DNB</w:t>
      </w:r>
      <w:r>
        <w:t>.</w:t>
      </w:r>
      <w:r w:rsidRPr="00EC545D">
        <w:t xml:space="preserve"> </w:t>
      </w:r>
    </w:p>
    <w:p w14:paraId="74D5A337" w14:textId="77777777" w:rsidR="00D730F4" w:rsidRDefault="00D730F4" w:rsidP="00221B58">
      <w:pPr>
        <w:pStyle w:val="Lijstalinea"/>
        <w:numPr>
          <w:ilvl w:val="0"/>
          <w:numId w:val="0"/>
        </w:numPr>
        <w:ind w:left="708"/>
        <w:jc w:val="both"/>
      </w:pPr>
    </w:p>
    <w:p w14:paraId="2C91F697" w14:textId="7C7D9110" w:rsidR="00E73D2C" w:rsidRDefault="00824855" w:rsidP="00221B58">
      <w:pPr>
        <w:pStyle w:val="Lijstalinea"/>
        <w:numPr>
          <w:ilvl w:val="0"/>
          <w:numId w:val="57"/>
        </w:numPr>
        <w:jc w:val="both"/>
      </w:pPr>
      <w:r>
        <w:t xml:space="preserve">De installaties van de DNG zijn conform de </w:t>
      </w:r>
      <w:r w:rsidR="00B6494F">
        <w:t xml:space="preserve">geldende </w:t>
      </w:r>
      <w:r>
        <w:t xml:space="preserve">technische reglementering </w:t>
      </w:r>
      <w:r w:rsidR="00B6494F">
        <w:t xml:space="preserve">(TRDE, Algemeen Reglement </w:t>
      </w:r>
      <w:r w:rsidR="009C04E6">
        <w:t>op de Elektrische Installaties)</w:t>
      </w:r>
      <w:r w:rsidR="00FE7890">
        <w:t>.</w:t>
      </w:r>
    </w:p>
    <w:p w14:paraId="17BB38B9" w14:textId="77777777" w:rsidR="00E73D2C" w:rsidRDefault="00E73D2C" w:rsidP="00221B58">
      <w:pPr>
        <w:pStyle w:val="Lijstalinea"/>
        <w:numPr>
          <w:ilvl w:val="0"/>
          <w:numId w:val="0"/>
        </w:numPr>
        <w:ind w:left="1068"/>
        <w:jc w:val="both"/>
      </w:pPr>
    </w:p>
    <w:p w14:paraId="42E376D5" w14:textId="26C6C3C5" w:rsidR="00D730F4" w:rsidRDefault="00D730F4" w:rsidP="00221B58">
      <w:pPr>
        <w:pStyle w:val="Lijstalinea"/>
        <w:numPr>
          <w:ilvl w:val="0"/>
          <w:numId w:val="57"/>
        </w:numPr>
        <w:jc w:val="both"/>
      </w:pPr>
      <w:r>
        <w:t>Een SDP–F kan slechts opgenomen worden in de Pool van één enkele Dienstverlener van flexibiliteit</w:t>
      </w:r>
      <w:r w:rsidR="003847CA">
        <w:t xml:space="preserve">, voor de Flexibiliteitsdiensten </w:t>
      </w:r>
      <w:r w:rsidR="001B6B34">
        <w:t>opgenomen in Bijlage 1</w:t>
      </w:r>
      <w:r>
        <w:t>.</w:t>
      </w:r>
    </w:p>
    <w:p w14:paraId="2B529AFA" w14:textId="77777777" w:rsidR="00D730F4" w:rsidRDefault="00D730F4" w:rsidP="00221B58">
      <w:pPr>
        <w:pStyle w:val="Lijstalinea"/>
        <w:numPr>
          <w:ilvl w:val="0"/>
          <w:numId w:val="0"/>
        </w:numPr>
        <w:ind w:left="720"/>
        <w:jc w:val="both"/>
      </w:pPr>
    </w:p>
    <w:p w14:paraId="1B103B3E" w14:textId="3FC72A6F" w:rsidR="00D730F4" w:rsidRPr="00CC5DDF" w:rsidRDefault="00D730F4" w:rsidP="00221B58">
      <w:pPr>
        <w:pStyle w:val="Lijstalinea"/>
        <w:numPr>
          <w:ilvl w:val="0"/>
          <w:numId w:val="57"/>
        </w:numPr>
        <w:jc w:val="both"/>
      </w:pPr>
      <w:r>
        <w:t xml:space="preserve">Indien de FSP beschikt over meerdere SDP-F’s gelinkt aan eenzelfde aansluitingspunt, moeten al deze SDP-F’s zich bevinden op het hoofd van de installatie of op afzonderlijke elektrische circuits. </w:t>
      </w:r>
      <w:r w:rsidR="00DB0EBE">
        <w:t xml:space="preserve">Het </w:t>
      </w:r>
      <w:r>
        <w:t xml:space="preserve">is niet toegelaten om een SDP-F te hebben op het hoofd van </w:t>
      </w:r>
      <w:r w:rsidR="00DB0EBE">
        <w:t>d</w:t>
      </w:r>
      <w:r>
        <w:t>e installatie en een andere SDP-F op een specifiek circuit van deze installatie</w:t>
      </w:r>
      <w:r w:rsidR="00DB0EBE">
        <w:t>, tenzij eventueel anders vermeld in de dienstencatalogus (Bijlage 1, kolom E)</w:t>
      </w:r>
      <w:r>
        <w:t>.</w:t>
      </w:r>
      <w:r w:rsidR="00DB0EBE" w:rsidRPr="00DB0EBE">
        <w:t xml:space="preserve"> </w:t>
      </w:r>
    </w:p>
    <w:p w14:paraId="58BD8BDE" w14:textId="77777777" w:rsidR="00D730F4" w:rsidRPr="00CC5DDF" w:rsidRDefault="00D730F4" w:rsidP="00221B58">
      <w:pPr>
        <w:pStyle w:val="Lijstalinea"/>
        <w:numPr>
          <w:ilvl w:val="0"/>
          <w:numId w:val="0"/>
        </w:numPr>
        <w:ind w:left="720"/>
        <w:jc w:val="both"/>
      </w:pPr>
    </w:p>
    <w:p w14:paraId="7AABB563" w14:textId="1C8A1711" w:rsidR="00D730F4" w:rsidRDefault="00D730F4" w:rsidP="00221B58">
      <w:pPr>
        <w:pStyle w:val="Lijstalinea"/>
        <w:numPr>
          <w:ilvl w:val="0"/>
          <w:numId w:val="57"/>
        </w:numPr>
        <w:jc w:val="both"/>
      </w:pPr>
      <w:r>
        <w:t xml:space="preserve">Als meerdere Dienstverleners van flexibiliteit aanwezig zijn op een elektrische installatie gelinkt aan eenzelfde aansluitingspunt, moeten de SDP-F’s van elk van deze Dienstverleners van flexibiliteit zich in afzonderlijke elektrische circuits bevinden. Geen enkele SDP-F mag zich aan het hoofd van de installatie bevinden.     </w:t>
      </w:r>
    </w:p>
    <w:p w14:paraId="713CC719" w14:textId="77777777" w:rsidR="00D730F4" w:rsidRDefault="00D730F4" w:rsidP="0058539A">
      <w:pPr>
        <w:pStyle w:val="Lijstalinea"/>
        <w:numPr>
          <w:ilvl w:val="0"/>
          <w:numId w:val="0"/>
        </w:numPr>
        <w:ind w:left="1068"/>
      </w:pPr>
    </w:p>
    <w:p w14:paraId="279F7336" w14:textId="77777777" w:rsidR="00D730F4" w:rsidRDefault="00D730F4" w:rsidP="00D730F4">
      <w:pPr>
        <w:pStyle w:val="Kop2"/>
      </w:pPr>
      <w:r>
        <w:lastRenderedPageBreak/>
        <w:t>Specifieke voorwaarden voor elke Flexibiliteitsdienst</w:t>
      </w:r>
    </w:p>
    <w:p w14:paraId="2B13B3D0" w14:textId="77777777" w:rsidR="00D730F4" w:rsidRPr="00354129" w:rsidRDefault="00D730F4" w:rsidP="00D730F4">
      <w:pPr>
        <w:pStyle w:val="Lijstalinea"/>
        <w:numPr>
          <w:ilvl w:val="0"/>
          <w:numId w:val="0"/>
        </w:numPr>
        <w:jc w:val="both"/>
        <w:rPr>
          <w:iCs/>
        </w:rPr>
      </w:pPr>
      <w:r>
        <w:rPr>
          <w:iCs/>
        </w:rPr>
        <w:t>Om te kunnen deelnemen aan een bepaalde Flexibiliteitsdienst moet het SDP-F voldoen aan de specifieke voorwaarden voor die Flexibiliteitsdienst. Deze voorwaarden zijn aangegeven in de dienstencatalogus (Bijlage 1, kolom D).</w:t>
      </w:r>
    </w:p>
    <w:p w14:paraId="3841863B" w14:textId="319E3387" w:rsidR="001A7A1F" w:rsidRDefault="004E7A18" w:rsidP="00855BC3">
      <w:pPr>
        <w:pStyle w:val="Kop1"/>
      </w:pPr>
      <w:r>
        <w:t xml:space="preserve">Procedure voor samenstelling en wijziging </w:t>
      </w:r>
      <w:r w:rsidR="001A788C">
        <w:t xml:space="preserve">van </w:t>
      </w:r>
      <w:r w:rsidR="007C2BA2">
        <w:t>de P</w:t>
      </w:r>
      <w:r>
        <w:t>ool</w:t>
      </w:r>
      <w:r w:rsidR="00FF7A9A">
        <w:t xml:space="preserve"> </w:t>
      </w:r>
    </w:p>
    <w:p w14:paraId="44C761AC" w14:textId="77777777" w:rsidR="00EF78E6" w:rsidRPr="00E8684F" w:rsidRDefault="00EF78E6" w:rsidP="00217F80">
      <w:pPr>
        <w:pStyle w:val="Kop2"/>
        <w:numPr>
          <w:ilvl w:val="1"/>
          <w:numId w:val="15"/>
        </w:numPr>
      </w:pPr>
      <w:r w:rsidRPr="00E8684F">
        <w:t>Algemeen</w:t>
      </w:r>
    </w:p>
    <w:p w14:paraId="3B265874" w14:textId="53028A7C" w:rsidR="00462418" w:rsidRDefault="00EF78E6" w:rsidP="00474C8B">
      <w:r w:rsidRPr="00EF78E6">
        <w:t xml:space="preserve">De FSP erkent uitdrukkelijk </w:t>
      </w:r>
      <w:r>
        <w:t xml:space="preserve">het feit </w:t>
      </w:r>
      <w:r w:rsidRPr="00EF78E6">
        <w:t xml:space="preserve">dat om een </w:t>
      </w:r>
      <w:r w:rsidR="00013C0A">
        <w:t>SDP–F</w:t>
      </w:r>
      <w:r w:rsidRPr="00EF78E6">
        <w:t xml:space="preserve"> in </w:t>
      </w:r>
      <w:r w:rsidR="00013C0A">
        <w:t>de</w:t>
      </w:r>
      <w:r w:rsidR="00013C0A" w:rsidRPr="00EF78E6">
        <w:t xml:space="preserve"> </w:t>
      </w:r>
      <w:r w:rsidR="00013C0A">
        <w:t>P</w:t>
      </w:r>
      <w:r w:rsidRPr="00EF78E6">
        <w:t xml:space="preserve">ool op te nemen, de verplichting </w:t>
      </w:r>
      <w:r w:rsidR="005974D6">
        <w:t>bestaat</w:t>
      </w:r>
      <w:r w:rsidR="005974D6" w:rsidRPr="00EF78E6">
        <w:t xml:space="preserve"> </w:t>
      </w:r>
      <w:r w:rsidRPr="00EF78E6">
        <w:t>minstens</w:t>
      </w:r>
      <w:r w:rsidR="0058329C">
        <w:t xml:space="preserve"> e</w:t>
      </w:r>
      <w:r w:rsidR="00462418">
        <w:t>ffectief een flexibiliteitsovereenkomst met de betrokken DNG onderschreven te hebben dat verenigbaar is met het aansluitingscontract en met de kwalificatie van het aansluitingspunt afgeleverd door de DNB</w:t>
      </w:r>
      <w:r w:rsidR="00694147">
        <w:t>.</w:t>
      </w:r>
      <w:r w:rsidR="00462418">
        <w:t xml:space="preserve"> </w:t>
      </w:r>
    </w:p>
    <w:p w14:paraId="491C2FDC" w14:textId="77777777" w:rsidR="00462418" w:rsidRDefault="00462418" w:rsidP="00462418"/>
    <w:p w14:paraId="5964DCF8" w14:textId="084BEDBB" w:rsidR="00462418" w:rsidRDefault="00462418" w:rsidP="00462418">
      <w:r>
        <w:t xml:space="preserve">Dit artikel is een tijdelijke bepaling, die vervalt </w:t>
      </w:r>
      <w:r w:rsidR="00C50BA2">
        <w:t xml:space="preserve">op </w:t>
      </w:r>
      <w:r>
        <w:t xml:space="preserve">de dag </w:t>
      </w:r>
      <w:r w:rsidR="00582688">
        <w:t xml:space="preserve">dat </w:t>
      </w:r>
      <w:r>
        <w:t>er hieromtrent hogere regelgeving in werking treedt.</w:t>
      </w:r>
    </w:p>
    <w:p w14:paraId="69504CC2" w14:textId="77777777" w:rsidR="004E0251" w:rsidRDefault="004E0251" w:rsidP="0019120C">
      <w:bookmarkStart w:id="2" w:name="_Hlk28961939"/>
    </w:p>
    <w:p w14:paraId="1F43E188" w14:textId="32FBBBD7" w:rsidR="00BF28ED" w:rsidRPr="004E0251" w:rsidRDefault="00D730F4" w:rsidP="004E0251">
      <w:pPr>
        <w:contextualSpacing/>
        <w:rPr>
          <w:rFonts w:cs="Arial"/>
          <w:bCs/>
          <w:i/>
          <w:color w:val="FF0000"/>
        </w:rPr>
      </w:pPr>
      <w:r>
        <w:t>Bovendien, indien de FSP eenzelfde SDP–F</w:t>
      </w:r>
      <w:r w:rsidDel="00013C0A">
        <w:t xml:space="preserve"> </w:t>
      </w:r>
      <w:r w:rsidRPr="00013C0A">
        <w:t xml:space="preserve">wenst te </w:t>
      </w:r>
      <w:r>
        <w:t>gebruiken</w:t>
      </w:r>
      <w:r w:rsidRPr="00013C0A">
        <w:t xml:space="preserve"> v</w:t>
      </w:r>
      <w:r>
        <w:t>oor meer</w:t>
      </w:r>
      <w:r w:rsidRPr="00013C0A">
        <w:t xml:space="preserve">dere </w:t>
      </w:r>
      <w:r w:rsidR="003723F0">
        <w:t>F</w:t>
      </w:r>
      <w:r>
        <w:t>lexibiliteitsdiensten</w:t>
      </w:r>
      <w:r w:rsidR="00D87C63">
        <w:t>,</w:t>
      </w:r>
      <w:r>
        <w:t xml:space="preserve"> </w:t>
      </w:r>
      <w:r w:rsidR="004F57BD">
        <w:t xml:space="preserve">komt het hem toe </w:t>
      </w:r>
      <w:r w:rsidR="008337E4">
        <w:t>zich ervan te vergewissen</w:t>
      </w:r>
      <w:r w:rsidR="0001202E">
        <w:t xml:space="preserve"> </w:t>
      </w:r>
      <w:r w:rsidR="0014105A">
        <w:t xml:space="preserve">dat de </w:t>
      </w:r>
      <w:r w:rsidR="00D02029" w:rsidRPr="00D02029">
        <w:t>Algemene voorwaarden voor Flexibiliteitsdiensten</w:t>
      </w:r>
      <w:r w:rsidR="008337E4">
        <w:t xml:space="preserve"> </w:t>
      </w:r>
      <w:r w:rsidR="00FE1B5D">
        <w:t xml:space="preserve">(zie Bijlage 1, kolom </w:t>
      </w:r>
      <w:r w:rsidR="00025770">
        <w:t xml:space="preserve">C) </w:t>
      </w:r>
      <w:r w:rsidR="00A3624F">
        <w:t xml:space="preserve">een </w:t>
      </w:r>
      <w:r w:rsidR="00CE4F69">
        <w:t xml:space="preserve">dergelijke </w:t>
      </w:r>
      <w:r>
        <w:t xml:space="preserve">combinatie </w:t>
      </w:r>
      <w:r w:rsidR="00CE4F69">
        <w:t>toelaten</w:t>
      </w:r>
      <w:r>
        <w:t>.</w:t>
      </w:r>
      <w:r w:rsidR="00CE4F69">
        <w:t xml:space="preserve"> De DNB voort deze controle niet uit. </w:t>
      </w:r>
      <w:r>
        <w:t xml:space="preserve"> </w:t>
      </w:r>
      <w:bookmarkEnd w:id="2"/>
    </w:p>
    <w:p w14:paraId="0A2FE3B8" w14:textId="43648565" w:rsidR="004B50CF" w:rsidRDefault="00D62DA8" w:rsidP="00855BC3">
      <w:pPr>
        <w:pStyle w:val="Kop2"/>
      </w:pPr>
      <w:r>
        <w:t xml:space="preserve">Samenstelling van de </w:t>
      </w:r>
      <w:r w:rsidR="0049419E">
        <w:t>P</w:t>
      </w:r>
      <w:r>
        <w:t xml:space="preserve">ool en wijziging </w:t>
      </w:r>
      <w:r w:rsidR="004E0251">
        <w:t>er</w:t>
      </w:r>
      <w:r>
        <w:t>van op vraag van de FSP</w:t>
      </w:r>
    </w:p>
    <w:p w14:paraId="6A3FBDFE" w14:textId="74E8B7A4" w:rsidR="00D62DA8" w:rsidRDefault="002F7E55">
      <w:r>
        <w:t xml:space="preserve">Bij het </w:t>
      </w:r>
      <w:r w:rsidR="001462CE">
        <w:t xml:space="preserve">ondertekenen </w:t>
      </w:r>
      <w:r>
        <w:t xml:space="preserve">van de overeenkomst </w:t>
      </w:r>
      <w:r w:rsidR="00D62DA8">
        <w:t xml:space="preserve">bevat </w:t>
      </w:r>
      <w:r w:rsidR="0025715A">
        <w:t xml:space="preserve">de </w:t>
      </w:r>
      <w:r w:rsidR="0049419E">
        <w:t>P</w:t>
      </w:r>
      <w:r w:rsidR="0025715A">
        <w:t xml:space="preserve">ool </w:t>
      </w:r>
      <w:r>
        <w:t xml:space="preserve">initieel </w:t>
      </w:r>
      <w:r w:rsidR="00D62DA8">
        <w:t>geen enkel</w:t>
      </w:r>
      <w:r w:rsidR="001462CE">
        <w:t>e</w:t>
      </w:r>
      <w:r w:rsidR="00D62DA8">
        <w:t xml:space="preserve"> </w:t>
      </w:r>
      <w:r w:rsidR="0049419E">
        <w:t>SDP–F</w:t>
      </w:r>
      <w:r w:rsidR="00D62DA8">
        <w:t xml:space="preserve">. Het samenstellen van </w:t>
      </w:r>
      <w:r w:rsidR="0049419E">
        <w:t>de P</w:t>
      </w:r>
      <w:r w:rsidR="00D62DA8">
        <w:t xml:space="preserve">ool voor de eerste maal komt neer op het wijzigen van de samenstelling </w:t>
      </w:r>
      <w:r w:rsidR="0049419E">
        <w:t>ervan</w:t>
      </w:r>
      <w:r w:rsidR="00C82F5D">
        <w:t xml:space="preserve"> door</w:t>
      </w:r>
      <w:r w:rsidR="0025715A">
        <w:t xml:space="preserve"> </w:t>
      </w:r>
      <w:r w:rsidR="0049419E">
        <w:t>één of meerdere SDP–F</w:t>
      </w:r>
      <w:r w:rsidR="00C82F5D">
        <w:t xml:space="preserve"> toe te voegen.</w:t>
      </w:r>
      <w:r w:rsidR="0049419E">
        <w:t xml:space="preserve"> </w:t>
      </w:r>
    </w:p>
    <w:p w14:paraId="2A68A34C" w14:textId="77777777" w:rsidR="00C82F5D" w:rsidRDefault="00C82F5D"/>
    <w:p w14:paraId="4116E9E2" w14:textId="007C8397" w:rsidR="001462CE" w:rsidRDefault="001462CE">
      <w:r>
        <w:t xml:space="preserve">Alvorens een SDP-F in de Pool toe te voegen, moet de FSP aan de DNB vragen om een identificatie </w:t>
      </w:r>
      <w:r w:rsidR="003767C2">
        <w:t xml:space="preserve">(EAN) </w:t>
      </w:r>
      <w:r w:rsidR="00AE76DD">
        <w:t xml:space="preserve">toe te kennen </w:t>
      </w:r>
      <w:r>
        <w:t xml:space="preserve">door gebruik te maken van het formulier, opgenomen in bijlage 2. </w:t>
      </w:r>
    </w:p>
    <w:p w14:paraId="7B5363A6" w14:textId="4380D923" w:rsidR="001462CE" w:rsidRDefault="001462CE">
      <w:r>
        <w:t xml:space="preserve"> </w:t>
      </w:r>
    </w:p>
    <w:p w14:paraId="0B4D7547" w14:textId="2E1FA449" w:rsidR="00977DB3" w:rsidRDefault="00C82F5D">
      <w:r>
        <w:t xml:space="preserve">Een keer per maand kan de samenstelling van </w:t>
      </w:r>
      <w:r w:rsidR="00B7436A">
        <w:t xml:space="preserve">de </w:t>
      </w:r>
      <w:r w:rsidR="0049419E">
        <w:t>P</w:t>
      </w:r>
      <w:r>
        <w:t xml:space="preserve">ool gewijzigd worden, door één of meerdere </w:t>
      </w:r>
      <w:r w:rsidR="0049419E">
        <w:t>SDP–F</w:t>
      </w:r>
      <w:r w:rsidR="00C119B8">
        <w:t>’s</w:t>
      </w:r>
      <w:r w:rsidR="0049419E" w:rsidDel="0049419E">
        <w:t xml:space="preserve"> </w:t>
      </w:r>
      <w:r>
        <w:t>toe te voegen</w:t>
      </w:r>
      <w:r w:rsidR="00967C3B">
        <w:t>, te wijzigen</w:t>
      </w:r>
      <w:r>
        <w:t xml:space="preserve"> of te verwijderen. Hiervoor communiceert de FSP aan de DNB, uiterlijk 5 werkdagen voor het einde van de maand, de lijst van de </w:t>
      </w:r>
      <w:r w:rsidR="0049419E">
        <w:t>SDP–F</w:t>
      </w:r>
      <w:r w:rsidR="005B7F13">
        <w:t>’s</w:t>
      </w:r>
      <w:r w:rsidR="00B7436A">
        <w:t xml:space="preserve"> </w:t>
      </w:r>
      <w:r>
        <w:t xml:space="preserve">waarvan hij de flexibiliteit wenst te </w:t>
      </w:r>
      <w:r w:rsidR="005234F3">
        <w:t>activeren tijdens de volgende maand</w:t>
      </w:r>
      <w:r w:rsidR="001462CE">
        <w:t xml:space="preserve"> en dit volgens het formaat van bijlage 3</w:t>
      </w:r>
      <w:r w:rsidR="005234F3">
        <w:t>. Deze communicatie gebeurt via e</w:t>
      </w:r>
      <w:r w:rsidR="00B7436A">
        <w:t>-</w:t>
      </w:r>
      <w:r w:rsidR="005234F3">
        <w:t xml:space="preserve">mail op het adres vermeld in </w:t>
      </w:r>
      <w:r w:rsidR="005234F3" w:rsidRPr="00B7436A">
        <w:t xml:space="preserve">bijlage </w:t>
      </w:r>
      <w:r w:rsidR="001462CE">
        <w:t>4</w:t>
      </w:r>
      <w:r w:rsidR="005234F3" w:rsidRPr="00B7436A">
        <w:t xml:space="preserve"> </w:t>
      </w:r>
      <w:r w:rsidR="00B4065F">
        <w:t>(Contactpersonen)</w:t>
      </w:r>
      <w:r w:rsidR="001462CE">
        <w:t>.</w:t>
      </w:r>
    </w:p>
    <w:p w14:paraId="3598D007" w14:textId="77777777" w:rsidR="00B7436A" w:rsidRDefault="00B7436A"/>
    <w:p w14:paraId="563CFD90" w14:textId="7163EC8E" w:rsidR="000915EF" w:rsidRPr="00E30743" w:rsidRDefault="000915EF" w:rsidP="000915EF">
      <w:r>
        <w:t>De DNB verbindt zich ertoe om, binnen de 5 werkdagen volgend op de ontvangst van deze e-mail, een update van de Pool aan de FSP te bezorgen. Deze update treedt in werking op de eerste dag van de volgende maand. Tijdens deze periode van 5 werkdagen zal de DNB voor elk SDP–F</w:t>
      </w:r>
      <w:r w:rsidRPr="001467FE" w:rsidDel="0049419E">
        <w:t xml:space="preserve"> </w:t>
      </w:r>
      <w:r w:rsidRPr="001467FE">
        <w:t>d</w:t>
      </w:r>
      <w:r w:rsidR="009A5FB3">
        <w:t>at</w:t>
      </w:r>
      <w:r w:rsidRPr="001467FE">
        <w:t xml:space="preserve"> de FSP </w:t>
      </w:r>
      <w:r>
        <w:t xml:space="preserve">wil wijzigen of </w:t>
      </w:r>
      <w:r w:rsidRPr="001467FE">
        <w:t xml:space="preserve">aan zijn </w:t>
      </w:r>
      <w:r>
        <w:t>P</w:t>
      </w:r>
      <w:r w:rsidRPr="001467FE">
        <w:t>ool wil toevoegen</w:t>
      </w:r>
      <w:r w:rsidR="00BF2B12">
        <w:t>, nagaan</w:t>
      </w:r>
      <w:r>
        <w:t xml:space="preserve"> </w:t>
      </w:r>
      <w:r w:rsidRPr="001467FE">
        <w:t xml:space="preserve">of </w:t>
      </w:r>
      <w:r>
        <w:t xml:space="preserve">hij </w:t>
      </w:r>
      <w:r w:rsidRPr="001467FE">
        <w:t xml:space="preserve">voldoet aan de voorwaarden zoals </w:t>
      </w:r>
      <w:r>
        <w:t xml:space="preserve">opgenomen </w:t>
      </w:r>
      <w:r w:rsidRPr="001467FE">
        <w:t>in artikel 4 van de onderhavige overeenkomst</w:t>
      </w:r>
      <w:r w:rsidR="004B6A6C">
        <w:t>.</w:t>
      </w:r>
    </w:p>
    <w:p w14:paraId="22A4192D" w14:textId="77777777" w:rsidR="00977DB3" w:rsidRPr="001467FE" w:rsidRDefault="00977DB3" w:rsidP="00E30743"/>
    <w:p w14:paraId="0C66A5FF" w14:textId="2176F87A" w:rsidR="00673D33" w:rsidRPr="001467FE" w:rsidRDefault="00673D33" w:rsidP="001467FE">
      <w:r w:rsidRPr="001467FE">
        <w:t>Indien niet aan elk van deze voorwaarden is voldaan kan de DNB de aanvraag weigeren.</w:t>
      </w:r>
    </w:p>
    <w:p w14:paraId="58FAE886" w14:textId="77777777" w:rsidR="000E2239" w:rsidRPr="001467FE" w:rsidRDefault="000E2239" w:rsidP="001467FE">
      <w:pPr>
        <w:pStyle w:val="Lijstalinea"/>
        <w:numPr>
          <w:ilvl w:val="0"/>
          <w:numId w:val="0"/>
        </w:numPr>
        <w:ind w:left="1068"/>
        <w:jc w:val="both"/>
      </w:pPr>
    </w:p>
    <w:p w14:paraId="2CB7420F" w14:textId="77C674E8" w:rsidR="000E2239" w:rsidRDefault="000915EF" w:rsidP="001467FE">
      <w:pPr>
        <w:pStyle w:val="Lijstalinea"/>
        <w:numPr>
          <w:ilvl w:val="0"/>
          <w:numId w:val="0"/>
        </w:numPr>
        <w:jc w:val="both"/>
      </w:pPr>
      <w:r>
        <w:t>Indien een FSP een SDP-F wenst toe te voegen aan zijn Pool d</w:t>
      </w:r>
      <w:r w:rsidR="0025656E">
        <w:t>at</w:t>
      </w:r>
      <w:r>
        <w:t xml:space="preserve"> reeds opgenomen is in een </w:t>
      </w:r>
      <w:r w:rsidR="00BD044F">
        <w:t>P</w:t>
      </w:r>
      <w:r>
        <w:t xml:space="preserve">ool van een andere Dienstverlener van flexibiliteit, zal de DNB deze laatste verwittigen door het verwijderen van deze SDP-F uit zijn </w:t>
      </w:r>
      <w:r w:rsidR="000B27EE">
        <w:t>Pool</w:t>
      </w:r>
      <w:r>
        <w:t xml:space="preserve">. </w:t>
      </w:r>
      <w:r w:rsidR="000E2239" w:rsidRPr="001467FE">
        <w:t xml:space="preserve">In deze context behoudt de DNB zich het recht </w:t>
      </w:r>
      <w:r w:rsidR="00FD3247">
        <w:t xml:space="preserve">voor </w:t>
      </w:r>
      <w:r w:rsidR="000E2239" w:rsidRPr="001467FE">
        <w:t xml:space="preserve">om aan de FSP een attest van de DNG voor het betrokken </w:t>
      </w:r>
      <w:r w:rsidR="0049419E">
        <w:t>SDP–F</w:t>
      </w:r>
      <w:r w:rsidR="001467FE" w:rsidRPr="001467FE">
        <w:t xml:space="preserve"> </w:t>
      </w:r>
      <w:r w:rsidR="000E2239" w:rsidRPr="001467FE">
        <w:t xml:space="preserve">te vragen. </w:t>
      </w:r>
      <w:r w:rsidR="0049419E">
        <w:t xml:space="preserve"> </w:t>
      </w:r>
    </w:p>
    <w:p w14:paraId="6D3CEA70" w14:textId="77777777" w:rsidR="008B40EB" w:rsidRPr="001467FE" w:rsidRDefault="008B40EB" w:rsidP="001467FE">
      <w:pPr>
        <w:pStyle w:val="Lijstalinea"/>
        <w:numPr>
          <w:ilvl w:val="0"/>
          <w:numId w:val="0"/>
        </w:numPr>
        <w:jc w:val="both"/>
      </w:pPr>
    </w:p>
    <w:p w14:paraId="0D6E0A13" w14:textId="6C360AFD" w:rsidR="004A550E" w:rsidRPr="00131EB6" w:rsidRDefault="004A550E" w:rsidP="004A550E">
      <w:pPr>
        <w:pStyle w:val="Kop2"/>
      </w:pPr>
      <w:r w:rsidRPr="00131EB6">
        <w:t xml:space="preserve">Wijziging van </w:t>
      </w:r>
      <w:r w:rsidR="0085242F" w:rsidRPr="00131EB6">
        <w:t xml:space="preserve">de </w:t>
      </w:r>
      <w:r w:rsidR="00902F29">
        <w:t>P</w:t>
      </w:r>
      <w:r w:rsidRPr="00131EB6">
        <w:t xml:space="preserve">ool </w:t>
      </w:r>
      <w:r w:rsidR="000E2239" w:rsidRPr="00131EB6">
        <w:t>op aanvraag</w:t>
      </w:r>
      <w:r w:rsidR="00131EB6">
        <w:t xml:space="preserve"> of</w:t>
      </w:r>
      <w:r w:rsidRPr="00131EB6">
        <w:t xml:space="preserve"> </w:t>
      </w:r>
      <w:r w:rsidR="006751D9">
        <w:t xml:space="preserve">op </w:t>
      </w:r>
      <w:r w:rsidRPr="00131EB6">
        <w:t xml:space="preserve">initiatief van de DNB </w:t>
      </w:r>
    </w:p>
    <w:p w14:paraId="55D637AD" w14:textId="5D168BFD" w:rsidR="00A40597" w:rsidRPr="00CA70A8" w:rsidRDefault="00CA70A8" w:rsidP="00CA70A8">
      <w:pPr>
        <w:pStyle w:val="Kop2"/>
        <w:numPr>
          <w:ilvl w:val="0"/>
          <w:numId w:val="0"/>
        </w:numPr>
        <w:rPr>
          <w:u w:val="none"/>
        </w:rPr>
      </w:pPr>
      <w:r>
        <w:rPr>
          <w:u w:val="none"/>
        </w:rPr>
        <w:t xml:space="preserve">5.3.1 </w:t>
      </w:r>
      <w:r w:rsidR="00A14F89">
        <w:rPr>
          <w:u w:val="none"/>
        </w:rPr>
        <w:t xml:space="preserve">   </w:t>
      </w:r>
      <w:r w:rsidRPr="00A14F89">
        <w:t xml:space="preserve">Onmiddellijke </w:t>
      </w:r>
      <w:r w:rsidR="00A14F89" w:rsidRPr="00A14F89">
        <w:t>verwijdering van een SDP-F uit een Pool</w:t>
      </w:r>
    </w:p>
    <w:p w14:paraId="3B518B8A" w14:textId="4950E9F5" w:rsidR="000915EF" w:rsidRDefault="00902F29" w:rsidP="00745652">
      <w:r>
        <w:t>De DNB mag het (de) SDP–F</w:t>
      </w:r>
      <w:r w:rsidR="000915EF">
        <w:t>(‘s)</w:t>
      </w:r>
      <w:r>
        <w:t xml:space="preserve"> verbonden aan een aansluiting </w:t>
      </w:r>
      <w:r w:rsidR="00867E34">
        <w:t xml:space="preserve">onmiddellijk en tijdelijk </w:t>
      </w:r>
      <w:r>
        <w:t>verwijderen uit de Pool</w:t>
      </w:r>
      <w:r w:rsidR="00114234">
        <w:t xml:space="preserve"> </w:t>
      </w:r>
      <w:r w:rsidR="000915EF">
        <w:t xml:space="preserve">indien niet meer voldaan wordt aan de voorwaarden </w:t>
      </w:r>
      <w:r w:rsidR="005E72C1">
        <w:t>4.1.</w:t>
      </w:r>
      <w:r w:rsidR="00C66862">
        <w:t>a</w:t>
      </w:r>
      <w:r w:rsidR="00C14C94">
        <w:t>), 4.1.b), 4.1.c)</w:t>
      </w:r>
      <w:r w:rsidR="00FC56E4">
        <w:t xml:space="preserve"> </w:t>
      </w:r>
      <w:r w:rsidR="000915EF">
        <w:t>opgenomen in artikel 4.</w:t>
      </w:r>
    </w:p>
    <w:p w14:paraId="2CFB271D" w14:textId="77777777" w:rsidR="00E30743" w:rsidRDefault="00E30743" w:rsidP="00945763"/>
    <w:p w14:paraId="6BCAB43D" w14:textId="39CE2975" w:rsidR="00945763" w:rsidRPr="00C734C4" w:rsidRDefault="00945763" w:rsidP="00945763">
      <w:r>
        <w:lastRenderedPageBreak/>
        <w:t xml:space="preserve">De DNB zal de FSP </w:t>
      </w:r>
      <w:r w:rsidR="00867E34">
        <w:t xml:space="preserve">van de </w:t>
      </w:r>
      <w:r w:rsidR="00276221">
        <w:t xml:space="preserve">onmiddellijke </w:t>
      </w:r>
      <w:r w:rsidR="00867E34">
        <w:t>verwijdering van het (de) SDP–F</w:t>
      </w:r>
      <w:r w:rsidR="00E30743">
        <w:t>(‘s)</w:t>
      </w:r>
      <w:r w:rsidR="00867E34">
        <w:t xml:space="preserve"> uit de Pool informeren via een aanpassing van de bijlage </w:t>
      </w:r>
      <w:r w:rsidR="00F73148">
        <w:t>3</w:t>
      </w:r>
      <w:r w:rsidR="000915EF">
        <w:t xml:space="preserve"> en hij zal zijn beslissing </w:t>
      </w:r>
      <w:r w:rsidR="0060017F">
        <w:t>motiveren</w:t>
      </w:r>
      <w:r w:rsidR="00835975">
        <w:t xml:space="preserve">; </w:t>
      </w:r>
      <w:r w:rsidR="0043298C">
        <w:t xml:space="preserve">bovendien </w:t>
      </w:r>
      <w:r w:rsidR="00392114">
        <w:t xml:space="preserve">zal de DNB de betrokken DNG </w:t>
      </w:r>
      <w:r w:rsidR="00AE3EBF">
        <w:t xml:space="preserve">tijdig </w:t>
      </w:r>
      <w:r w:rsidR="00392114">
        <w:t>informeren</w:t>
      </w:r>
      <w:r w:rsidR="0060017F">
        <w:t>.</w:t>
      </w:r>
      <w:r w:rsidR="00BA53DB">
        <w:t xml:space="preserve"> De FSP kan opnieuw </w:t>
      </w:r>
      <w:r w:rsidR="00D26CC8">
        <w:t>het (de) verwijderde SDP–F(‘s)</w:t>
      </w:r>
      <w:r w:rsidR="00C92D91">
        <w:t xml:space="preserve"> toevoegen van zodra </w:t>
      </w:r>
      <w:r w:rsidR="008A27F4">
        <w:t xml:space="preserve">opnieuw </w:t>
      </w:r>
      <w:r w:rsidR="008F54F3">
        <w:t xml:space="preserve">voldaan is aan </w:t>
      </w:r>
      <w:r w:rsidR="00C92D91">
        <w:t>alle voorwaarden opgenomen in a</w:t>
      </w:r>
      <w:r w:rsidR="008F54F3">
        <w:t>rtikel 4.</w:t>
      </w:r>
      <w:r w:rsidR="0049078D">
        <w:t xml:space="preserve"> </w:t>
      </w:r>
    </w:p>
    <w:p w14:paraId="55D484E7" w14:textId="0588292B" w:rsidR="00A377EF" w:rsidRPr="00CA70A8" w:rsidRDefault="00A377EF" w:rsidP="00A377EF">
      <w:pPr>
        <w:pStyle w:val="Kop2"/>
        <w:numPr>
          <w:ilvl w:val="0"/>
          <w:numId w:val="0"/>
        </w:numPr>
        <w:rPr>
          <w:u w:val="none"/>
        </w:rPr>
      </w:pPr>
      <w:r>
        <w:rPr>
          <w:u w:val="none"/>
        </w:rPr>
        <w:t xml:space="preserve">5.3.2    </w:t>
      </w:r>
      <w:r w:rsidR="00DC59D0">
        <w:t xml:space="preserve">Andere verwijdering </w:t>
      </w:r>
      <w:r w:rsidRPr="00A14F89">
        <w:t>van een SDP-F uit een Pool</w:t>
      </w:r>
    </w:p>
    <w:p w14:paraId="1C65CA78" w14:textId="3AE08FAB" w:rsidR="003B5D2E" w:rsidRDefault="003B5D2E" w:rsidP="003B5D2E">
      <w:r>
        <w:t>Indien de DNB een vermoeden heeft dat het (de) SDP-F(</w:t>
      </w:r>
      <w:r w:rsidR="009643D0">
        <w:t>‘</w:t>
      </w:r>
      <w:r>
        <w:t xml:space="preserve">s) verbonden aan een aansluiting niet meer voldoen aan de voorwaarden uit artikel </w:t>
      </w:r>
      <w:bookmarkStart w:id="3" w:name="_Hlk49951171"/>
      <w:r>
        <w:t>4.1.</w:t>
      </w:r>
      <w:r w:rsidR="00110436">
        <w:t>d)</w:t>
      </w:r>
      <w:r w:rsidR="005428E1">
        <w:t xml:space="preserve"> tot </w:t>
      </w:r>
      <w:r w:rsidR="00110436">
        <w:t>4.1.f)</w:t>
      </w:r>
      <w:r>
        <w:t xml:space="preserve"> </w:t>
      </w:r>
      <w:bookmarkEnd w:id="3"/>
      <w:r>
        <w:t xml:space="preserve">of uit artikel 4.2, dan brengt hij de FSP op de hoogte van dit vermoeden. De FSP heeft 5 werkdagen om een wederwoord te bezorgen vanaf de dag van het ontvangen van het bericht van de DNB. Indien de FSP na 5 werkdagen geen wederwoord gestuurd heeft of indien het wederwoord van de FSP niet voldoende is voor de DNB om het vermoeden te weerleggen, dan mag de DNB het (de) SDP–F(‘s) verbonden aan een aansluiting tijdelijk verwijderen uit de Pool indien niet meer voldaan wordt aan de voorwaarden uit artikel </w:t>
      </w:r>
      <w:r w:rsidR="00F12923">
        <w:t>4.1.d)</w:t>
      </w:r>
      <w:r w:rsidR="005428E1">
        <w:t xml:space="preserve"> tot</w:t>
      </w:r>
      <w:r w:rsidR="00F12923">
        <w:t xml:space="preserve"> 4.1.f) </w:t>
      </w:r>
      <w:r>
        <w:t>of uit artikel 4.2.</w:t>
      </w:r>
    </w:p>
    <w:p w14:paraId="08152D8C" w14:textId="77777777" w:rsidR="003B5D2E" w:rsidRDefault="003B5D2E" w:rsidP="003B5D2E"/>
    <w:p w14:paraId="2F810012" w14:textId="77777777" w:rsidR="003B5D2E" w:rsidRDefault="003B5D2E" w:rsidP="003B5D2E">
      <w:r>
        <w:t xml:space="preserve">De DNB zal de FSP van de verwijdering van het (de) SDP–F(‘s) uit de Pool informeren via een aanpassing van de bijlage 3 en hij zal zijn beslissing opnieuw motiveren; bovendien zal de DNB de betrokken DNG tijdig informeren. De FSP kan opnieuw het (de) verwijderde SDP–F(‘s) toevoegen van zodra opnieuw voldaan is aan alle voorwaarden opgenomen in artikel 4. </w:t>
      </w:r>
    </w:p>
    <w:p w14:paraId="02EC6C76" w14:textId="77777777" w:rsidR="003B5D2E" w:rsidRDefault="003B5D2E" w:rsidP="003B5D2E"/>
    <w:p w14:paraId="4309AE01" w14:textId="50D0789D" w:rsidR="003B5D2E" w:rsidRDefault="003B5D2E" w:rsidP="003B5D2E">
      <w:pPr>
        <w:pStyle w:val="Lijstalinea"/>
        <w:numPr>
          <w:ilvl w:val="0"/>
          <w:numId w:val="0"/>
        </w:numPr>
        <w:jc w:val="both"/>
      </w:pPr>
      <w:r>
        <w:t>De DNB kan verder een SDP-F uit de Pool van de FSP verwijderen als een andere Dienstverlener van flexibiliteit een aanvraag voor toevoeging van dit SDP-F indient voor toevoeging ervan aan zijn eigen Pool. In deze context behoudt de DNB zich het recht voor om aan de FSP een exclusiviteitsattest van de DNG voor het betrokken SDP–F te vragen.</w:t>
      </w:r>
    </w:p>
    <w:p w14:paraId="2E477AC0" w14:textId="3CAD9583" w:rsidR="00226D15" w:rsidRPr="00CA70A8" w:rsidRDefault="00226D15" w:rsidP="00226D15">
      <w:pPr>
        <w:pStyle w:val="Kop2"/>
        <w:numPr>
          <w:ilvl w:val="0"/>
          <w:numId w:val="0"/>
        </w:numPr>
        <w:rPr>
          <w:u w:val="none"/>
        </w:rPr>
      </w:pPr>
      <w:r>
        <w:rPr>
          <w:u w:val="none"/>
        </w:rPr>
        <w:t xml:space="preserve">5.3.3    </w:t>
      </w:r>
      <w:r w:rsidRPr="00226D15">
        <w:t xml:space="preserve">Beperkingen </w:t>
      </w:r>
      <w:r>
        <w:t>op vraag van de DNB</w:t>
      </w:r>
    </w:p>
    <w:p w14:paraId="69831475" w14:textId="1F476B74" w:rsidR="0060017F" w:rsidRDefault="002E69E2" w:rsidP="00945763">
      <w:r w:rsidRPr="002E69E2">
        <w:t xml:space="preserve">De </w:t>
      </w:r>
      <w:r>
        <w:t>DNB</w:t>
      </w:r>
      <w:r w:rsidRPr="002E69E2">
        <w:t xml:space="preserve"> kan</w:t>
      </w:r>
      <w:r w:rsidR="008F54F3">
        <w:t xml:space="preserve">, volgens </w:t>
      </w:r>
      <w:r w:rsidR="00CC1F61">
        <w:t xml:space="preserve">het geldende </w:t>
      </w:r>
      <w:r w:rsidR="00B14920">
        <w:t xml:space="preserve">wettelijk </w:t>
      </w:r>
      <w:r w:rsidR="00CC1F61">
        <w:t>kader,</w:t>
      </w:r>
      <w:r w:rsidRPr="002E69E2">
        <w:t xml:space="preserve"> de levering van flexibiliteit </w:t>
      </w:r>
      <w:r>
        <w:t>via één of meerder</w:t>
      </w:r>
      <w:r w:rsidR="00E23C58">
        <w:t>e</w:t>
      </w:r>
      <w:r>
        <w:t xml:space="preserve"> SDP–F</w:t>
      </w:r>
      <w:r w:rsidR="005C1B19">
        <w:t>’s</w:t>
      </w:r>
      <w:r>
        <w:t xml:space="preserve"> </w:t>
      </w:r>
      <w:r w:rsidRPr="002E69E2">
        <w:t xml:space="preserve">tijdelijk beperken als de levering de operationele veiligheid van zijn elektriciteitsdistributienet in het gedrang </w:t>
      </w:r>
      <w:r w:rsidR="0060017F">
        <w:t xml:space="preserve">kan </w:t>
      </w:r>
      <w:r w:rsidRPr="002E69E2">
        <w:t>breng</w:t>
      </w:r>
      <w:r w:rsidR="0060017F">
        <w:t>en</w:t>
      </w:r>
      <w:r w:rsidRPr="002E69E2">
        <w:t xml:space="preserve">. </w:t>
      </w:r>
    </w:p>
    <w:p w14:paraId="03A2F585" w14:textId="2B1147E1" w:rsidR="0060017F" w:rsidRDefault="00F13639" w:rsidP="00945763">
      <w:r>
        <w:t>Volgens het geldende</w:t>
      </w:r>
      <w:r w:rsidR="00B14920">
        <w:t xml:space="preserve"> wettelijk kader</w:t>
      </w:r>
      <w:r w:rsidR="00E65597">
        <w:t xml:space="preserve"> past</w:t>
      </w:r>
      <w:r>
        <w:t xml:space="preserve"> </w:t>
      </w:r>
      <w:r w:rsidR="00E65597">
        <w:t>d</w:t>
      </w:r>
      <w:r w:rsidR="002E69E2" w:rsidRPr="002E69E2">
        <w:t xml:space="preserve">e </w:t>
      </w:r>
      <w:r w:rsidR="002E69E2">
        <w:t>DNB</w:t>
      </w:r>
      <w:r w:rsidR="002E69E2" w:rsidRPr="002E69E2">
        <w:t xml:space="preserve"> de technische criteria </w:t>
      </w:r>
      <w:r w:rsidR="00C53D9F">
        <w:t>toe</w:t>
      </w:r>
      <w:r w:rsidR="002E69E2" w:rsidRPr="002E69E2">
        <w:t xml:space="preserve"> waaraan voldaan moet zijn opdat sprake kan zijn van het in het gedrang komen van de operationele veiligheid van het elektriciteitsdistributienet.</w:t>
      </w:r>
      <w:r w:rsidR="002E69E2">
        <w:t xml:space="preserve"> </w:t>
      </w:r>
    </w:p>
    <w:p w14:paraId="2887E5A9" w14:textId="77777777" w:rsidR="00450988" w:rsidRDefault="00450988" w:rsidP="00945763"/>
    <w:p w14:paraId="558F2161" w14:textId="3B046B82" w:rsidR="002E69E2" w:rsidRDefault="002E69E2" w:rsidP="00945763">
      <w:r>
        <w:t xml:space="preserve">De DNB zal de FSP van deze beperking informeren via een aanpassing van de bijlage </w:t>
      </w:r>
      <w:r w:rsidR="00F73148">
        <w:t>3</w:t>
      </w:r>
      <w:r w:rsidR="0060017F">
        <w:t xml:space="preserve"> en hij zal zijn beslissing motiveren</w:t>
      </w:r>
      <w:r w:rsidR="00B14A08">
        <w:t xml:space="preserve">; </w:t>
      </w:r>
      <w:r w:rsidR="00392114">
        <w:t xml:space="preserve">bovendien zal de DNB </w:t>
      </w:r>
      <w:r w:rsidR="00752A91">
        <w:t xml:space="preserve">de betrokken DNG </w:t>
      </w:r>
      <w:r w:rsidR="00FA336D">
        <w:t xml:space="preserve">tijdig </w:t>
      </w:r>
      <w:r w:rsidR="00752A91">
        <w:t>informeren</w:t>
      </w:r>
      <w:r w:rsidR="0060017F">
        <w:t xml:space="preserve">. </w:t>
      </w:r>
    </w:p>
    <w:p w14:paraId="405B6800" w14:textId="2B4FB3FB" w:rsidR="00FA336D" w:rsidRPr="00FA336D" w:rsidRDefault="00FA336D" w:rsidP="00FA336D">
      <w:pPr>
        <w:pStyle w:val="Kop2"/>
        <w:numPr>
          <w:ilvl w:val="0"/>
          <w:numId w:val="0"/>
        </w:numPr>
      </w:pPr>
      <w:r>
        <w:rPr>
          <w:u w:val="none"/>
        </w:rPr>
        <w:t xml:space="preserve">5.3.4    </w:t>
      </w:r>
      <w:r>
        <w:t>Betwisting</w:t>
      </w:r>
    </w:p>
    <w:p w14:paraId="63099EF5" w14:textId="12ECF2C7" w:rsidR="005E1552" w:rsidRDefault="006508B2" w:rsidP="005E1552">
      <w:r w:rsidRPr="00EA63D9">
        <w:t>In</w:t>
      </w:r>
      <w:r w:rsidRPr="00C734C4">
        <w:t xml:space="preserve"> geval de FSP niet akkoord gaat met </w:t>
      </w:r>
      <w:r>
        <w:t xml:space="preserve">één van de bovenvermelde </w:t>
      </w:r>
      <w:r w:rsidRPr="00C734C4">
        <w:t>beslissing</w:t>
      </w:r>
      <w:r>
        <w:t>en</w:t>
      </w:r>
      <w:r w:rsidRPr="00C734C4">
        <w:t xml:space="preserve"> van de DNB kan hij de DNB vragen om </w:t>
      </w:r>
      <w:r>
        <w:t>zijn beslissing</w:t>
      </w:r>
      <w:r w:rsidR="00ED1D45">
        <w:t>en</w:t>
      </w:r>
      <w:r>
        <w:t xml:space="preserve"> opnieuw te evalueren.</w:t>
      </w:r>
      <w:r w:rsidRPr="00C734C4">
        <w:t xml:space="preserve"> </w:t>
      </w:r>
      <w:r w:rsidR="005E1552">
        <w:rPr>
          <w:szCs w:val="20"/>
        </w:rPr>
        <w:t xml:space="preserve">Deze her-evaluatie wordt gemotiveerd en tijdig ter kennis gebracht van de FSP. De FSP of de DNG heeft bovendien steeds de mogelijkheid om de beslissingen van de DNB aan te vechten bij de daarvoor bevoegde gewestelijke </w:t>
      </w:r>
      <w:proofErr w:type="spellStart"/>
      <w:r w:rsidR="005E1552">
        <w:rPr>
          <w:szCs w:val="20"/>
        </w:rPr>
        <w:t>ombuds</w:t>
      </w:r>
      <w:proofErr w:type="spellEnd"/>
      <w:r w:rsidR="005E1552">
        <w:rPr>
          <w:szCs w:val="20"/>
        </w:rPr>
        <w:t>- of geschillendiensten.</w:t>
      </w:r>
    </w:p>
    <w:p w14:paraId="338DB49D" w14:textId="77777777" w:rsidR="00F07160" w:rsidRPr="004A550E" w:rsidRDefault="00F07160" w:rsidP="00F07160">
      <w:pPr>
        <w:pStyle w:val="Kop1"/>
      </w:pPr>
      <w:r w:rsidRPr="004A550E">
        <w:t>Activering van de flexibiliteit</w:t>
      </w:r>
      <w:r w:rsidR="008F36DD">
        <w:t xml:space="preserve"> </w:t>
      </w:r>
    </w:p>
    <w:p w14:paraId="5E56CD44" w14:textId="7C4497EF" w:rsidR="008F36DD" w:rsidRPr="008D6DCE" w:rsidRDefault="008F36DD" w:rsidP="008F36DD">
      <w:r w:rsidRPr="008D6DCE">
        <w:t xml:space="preserve">De FSP verbindt zich </w:t>
      </w:r>
      <w:r w:rsidR="008D6DCE" w:rsidRPr="008D6DCE">
        <w:t>er</w:t>
      </w:r>
      <w:r w:rsidRPr="008D6DCE">
        <w:t xml:space="preserve">toe enkel de flexibiliteit te activeren bij de </w:t>
      </w:r>
      <w:r w:rsidR="009B08A4">
        <w:t>SDP–F</w:t>
      </w:r>
      <w:r w:rsidR="005B1325">
        <w:t>’s</w:t>
      </w:r>
      <w:r w:rsidR="008D6DCE" w:rsidRPr="008D6DCE">
        <w:t xml:space="preserve"> </w:t>
      </w:r>
      <w:r w:rsidRPr="008D6DCE">
        <w:t xml:space="preserve">die deel uitmaken van </w:t>
      </w:r>
      <w:r w:rsidR="009B08A4">
        <w:t>de</w:t>
      </w:r>
      <w:r w:rsidR="009B08A4" w:rsidRPr="008D6DCE">
        <w:t xml:space="preserve"> </w:t>
      </w:r>
      <w:r w:rsidR="009B08A4">
        <w:t>P</w:t>
      </w:r>
      <w:r w:rsidRPr="008D6DCE">
        <w:t xml:space="preserve">ool, en de beperkingen en limieten opgenomen in bijlage </w:t>
      </w:r>
      <w:r w:rsidR="00F73148">
        <w:t>3</w:t>
      </w:r>
      <w:r w:rsidR="008D6DCE" w:rsidRPr="008D6DCE">
        <w:t xml:space="preserve"> te respecteren</w:t>
      </w:r>
      <w:r w:rsidRPr="008D6DCE">
        <w:t xml:space="preserve">. De FSP verbindt zich </w:t>
      </w:r>
      <w:r w:rsidR="008D6DCE" w:rsidRPr="008D6DCE">
        <w:t xml:space="preserve">er ook </w:t>
      </w:r>
      <w:r w:rsidRPr="008D6DCE">
        <w:t>toe enkel de flexibiliteitsmiddelen te gebruiken</w:t>
      </w:r>
      <w:r w:rsidR="008D6DCE" w:rsidRPr="008D6DCE">
        <w:t xml:space="preserve"> die zijn </w:t>
      </w:r>
      <w:r w:rsidRPr="008D6DCE">
        <w:t xml:space="preserve">opgenomen in bijlage </w:t>
      </w:r>
      <w:r w:rsidR="00F73148">
        <w:t>3</w:t>
      </w:r>
      <w:r w:rsidRPr="008D6DCE">
        <w:t>.</w:t>
      </w:r>
    </w:p>
    <w:p w14:paraId="430D8890" w14:textId="77777777" w:rsidR="008F36DD" w:rsidRPr="008F36DD" w:rsidRDefault="008F36DD" w:rsidP="008F36DD">
      <w:pPr>
        <w:rPr>
          <w:rFonts w:cs="Arial"/>
          <w:color w:val="9BBB59" w:themeColor="accent3"/>
        </w:rPr>
      </w:pPr>
    </w:p>
    <w:p w14:paraId="793CD480" w14:textId="77777777" w:rsidR="008F36DD" w:rsidRPr="008D6DCE" w:rsidRDefault="008F36DD" w:rsidP="008F36DD">
      <w:r w:rsidRPr="008D6DCE">
        <w:t xml:space="preserve">De DNB is op geen enkele wijze betrokken in de communicatie tussen FSP en DNG om de flexibiliteit te activeren.  </w:t>
      </w:r>
    </w:p>
    <w:p w14:paraId="04AB26A3" w14:textId="77777777" w:rsidR="008D6DCE" w:rsidRDefault="008D6DCE" w:rsidP="008D6DCE">
      <w:bookmarkStart w:id="4" w:name="_Hlk28962176"/>
    </w:p>
    <w:p w14:paraId="34F5EADF" w14:textId="3B6301E0" w:rsidR="006A5702" w:rsidRDefault="008F36DD" w:rsidP="008F36DD">
      <w:r w:rsidRPr="0081318F">
        <w:t>Bij elke activering van de flexibiliteit in het kader van onderhavige overeenkomst, verbindt de FSP</w:t>
      </w:r>
      <w:r w:rsidR="00114234">
        <w:t xml:space="preserve"> </w:t>
      </w:r>
      <w:r w:rsidRPr="0081318F">
        <w:t xml:space="preserve">zich </w:t>
      </w:r>
      <w:r w:rsidR="0060017F">
        <w:t>er</w:t>
      </w:r>
      <w:r w:rsidRPr="0081318F">
        <w:t>toe om dit</w:t>
      </w:r>
      <w:r w:rsidR="00012A43">
        <w:t>,</w:t>
      </w:r>
      <w:r w:rsidRPr="0081318F">
        <w:t xml:space="preserve"> ten laatste de eerste werkdag na de activering</w:t>
      </w:r>
      <w:r w:rsidR="00012A43">
        <w:t>,</w:t>
      </w:r>
      <w:r w:rsidRPr="0081318F">
        <w:t xml:space="preserve"> te melden aan de </w:t>
      </w:r>
      <w:r w:rsidR="008D6DCE" w:rsidRPr="007235F2">
        <w:t>DNB</w:t>
      </w:r>
      <w:r w:rsidR="000D0A78">
        <w:t>,</w:t>
      </w:r>
      <w:r w:rsidR="008D6DCE" w:rsidRPr="007235F2">
        <w:t xml:space="preserve"> </w:t>
      </w:r>
      <w:r w:rsidR="0060017F">
        <w:t>volgens de modaliteiten vermeld in de dienstencatalogus (Bijlage 1, kolom E)</w:t>
      </w:r>
      <w:r w:rsidRPr="00E52F49">
        <w:t>.</w:t>
      </w:r>
      <w:r w:rsidR="00114234">
        <w:t xml:space="preserve"> </w:t>
      </w:r>
      <w:r w:rsidRPr="00E52F49">
        <w:t>Daarenboven zullen de FSP en de DNB samenwerken om de tijd die nodig is voor het verstrekken van deze informatie te verminderen.</w:t>
      </w:r>
      <w:r w:rsidRPr="008D6DCE">
        <w:t xml:space="preserve">  </w:t>
      </w:r>
    </w:p>
    <w:bookmarkEnd w:id="4"/>
    <w:p w14:paraId="0F2D8A6D" w14:textId="7D34690A" w:rsidR="00412CFF" w:rsidRPr="004A550E" w:rsidRDefault="008D6DCE" w:rsidP="00412CFF">
      <w:pPr>
        <w:pStyle w:val="Kop1"/>
      </w:pPr>
      <w:r>
        <w:lastRenderedPageBreak/>
        <w:t>M</w:t>
      </w:r>
      <w:r w:rsidR="00412CFF">
        <w:t>eting</w:t>
      </w:r>
      <w:r w:rsidR="00D304EF">
        <w:t>,</w:t>
      </w:r>
      <w:r w:rsidR="00412CFF">
        <w:t xml:space="preserve"> </w:t>
      </w:r>
      <w:r>
        <w:t xml:space="preserve">berekening </w:t>
      </w:r>
      <w:r w:rsidR="00D304EF">
        <w:t xml:space="preserve">en communicatie </w:t>
      </w:r>
      <w:r w:rsidR="00412CFF" w:rsidRPr="004A550E">
        <w:t>van de flexibiliteit</w:t>
      </w:r>
      <w:r w:rsidR="00D304EF">
        <w:t>svolumes</w:t>
      </w:r>
      <w:r w:rsidR="00412CFF">
        <w:t xml:space="preserve"> </w:t>
      </w:r>
    </w:p>
    <w:p w14:paraId="44BA7C62" w14:textId="12BC7AF7" w:rsidR="008D6DCE" w:rsidRPr="00847B7C" w:rsidRDefault="00847B7C" w:rsidP="008D6DCE">
      <w:r w:rsidRPr="00742742">
        <w:t xml:space="preserve">Dit artikel is van toepassing op alle Flexibiliteitsdiensten, behalve als de DNB niet betrokken is bij de meting, de berekening en de communicatie </w:t>
      </w:r>
      <w:r w:rsidR="00D304EF">
        <w:t xml:space="preserve">aan de FRP </w:t>
      </w:r>
      <w:r w:rsidRPr="00742742">
        <w:t>van de flexibiliteitsgegevens</w:t>
      </w:r>
      <w:r w:rsidR="00D304EF">
        <w:t>. D</w:t>
      </w:r>
      <w:r w:rsidRPr="00742742">
        <w:t xml:space="preserve">esgevallend </w:t>
      </w:r>
      <w:r w:rsidR="00D304EF">
        <w:t xml:space="preserve">wordt </w:t>
      </w:r>
      <w:r w:rsidRPr="00742742">
        <w:t xml:space="preserve">dit </w:t>
      </w:r>
      <w:r w:rsidR="00D304EF">
        <w:t xml:space="preserve">verduidelijkt </w:t>
      </w:r>
      <w:r w:rsidRPr="00742742">
        <w:t xml:space="preserve">in de </w:t>
      </w:r>
      <w:r w:rsidR="00D304EF">
        <w:t>d</w:t>
      </w:r>
      <w:r w:rsidRPr="00742742">
        <w:t>ienstencatalogus (</w:t>
      </w:r>
      <w:r w:rsidR="00D304EF">
        <w:t>B</w:t>
      </w:r>
      <w:r w:rsidRPr="00742742">
        <w:t>ijlage 1</w:t>
      </w:r>
      <w:r w:rsidR="00D304EF">
        <w:t>, kolom E)</w:t>
      </w:r>
      <w:r w:rsidRPr="00742742">
        <w:t>.</w:t>
      </w:r>
    </w:p>
    <w:p w14:paraId="02FF1929" w14:textId="77777777" w:rsidR="00742742" w:rsidRDefault="00742742" w:rsidP="004B50CF">
      <w:pPr>
        <w:rPr>
          <w:i/>
          <w:u w:val="single"/>
        </w:rPr>
      </w:pPr>
    </w:p>
    <w:p w14:paraId="36D41E0E" w14:textId="52A945B8" w:rsidR="00D304EF" w:rsidRPr="002466B8" w:rsidRDefault="00D304EF" w:rsidP="00D304EF">
      <w:r>
        <w:t xml:space="preserve">De DNB is verantwoordelijk </w:t>
      </w:r>
      <w:r w:rsidRPr="002466B8">
        <w:t>voor de berekening van de flexibiliteit</w:t>
      </w:r>
      <w:r>
        <w:t>svolumes</w:t>
      </w:r>
      <w:r w:rsidRPr="002466B8">
        <w:t xml:space="preserve"> (beschikbaar en/of geactiveerd) van </w:t>
      </w:r>
      <w:r>
        <w:t>elk</w:t>
      </w:r>
      <w:r w:rsidRPr="002466B8">
        <w:t xml:space="preserve"> </w:t>
      </w:r>
      <w:r>
        <w:t xml:space="preserve">SDP–F aangesloten op zijn net en hun communicatie aan de FRP (onder al of niet geaggregeerde vorm, volgens de van toepassing zijnde marktprocessen). De tel- en/of meetgegevens die hiervoor gebruikt worden </w:t>
      </w:r>
      <w:r w:rsidRPr="002466B8">
        <w:t xml:space="preserve">komen van </w:t>
      </w:r>
      <w:r>
        <w:t>een of meer tel- en/of meetinstrumenten zoals vermeld in de Pool voor elk SDP-F afzonderlijk</w:t>
      </w:r>
      <w:r w:rsidRPr="002466B8">
        <w:t>.</w:t>
      </w:r>
      <w:r>
        <w:t xml:space="preserve"> In het geval van </w:t>
      </w:r>
      <w:r w:rsidR="00EA3E4E">
        <w:t xml:space="preserve">het </w:t>
      </w:r>
      <w:r>
        <w:t>gebruik van een privé tel- of meetinstrument of de communicatie van deze gegevens aan de DNB, zal de FSP waken over de goede werking ervan.</w:t>
      </w:r>
    </w:p>
    <w:p w14:paraId="18B82E84" w14:textId="77777777" w:rsidR="00344FF5" w:rsidRPr="008F36DD" w:rsidRDefault="00344FF5" w:rsidP="008F36DD">
      <w:pPr>
        <w:rPr>
          <w:color w:val="9BBB59" w:themeColor="accent3"/>
        </w:rPr>
      </w:pPr>
    </w:p>
    <w:p w14:paraId="0B3AD099" w14:textId="524C9C60" w:rsidR="004C1E17" w:rsidRPr="008B19D4" w:rsidRDefault="004C1E17" w:rsidP="004C1E17">
      <w:r w:rsidRPr="004C1E17">
        <w:t>Indien voor de berekening van de flexibiliteitsvolumes andere informatie nodig is dan de meetgegevens</w:t>
      </w:r>
      <w:r w:rsidRPr="004C1E17">
        <w:rPr>
          <w:color w:val="FF0000"/>
        </w:rPr>
        <w:t xml:space="preserve"> </w:t>
      </w:r>
      <w:r w:rsidRPr="004C1E17">
        <w:t xml:space="preserve">dan worden deze per SDP-F en per Flexibiliteitsdienst gepreciseerd onder de rubriek ‘Informatie voor de </w:t>
      </w:r>
      <w:proofErr w:type="spellStart"/>
      <w:r w:rsidRPr="004C1E17">
        <w:t>settlement</w:t>
      </w:r>
      <w:proofErr w:type="spellEnd"/>
      <w:r w:rsidRPr="004C1E17">
        <w:t xml:space="preserve"> van de Pool’ (Bijlage 3). De FSP is verantwoordelijk voor hun juistheid en het ter beschikking stellen </w:t>
      </w:r>
      <w:r w:rsidR="008B19D4" w:rsidRPr="008B19D4">
        <w:t>ervan bij het updaten van de Bijlage 3 volgens de procedure beschreven in het artikel 5.2.</w:t>
      </w:r>
      <w:r w:rsidRPr="008B19D4">
        <w:t xml:space="preserve"> </w:t>
      </w:r>
    </w:p>
    <w:p w14:paraId="231CB315" w14:textId="77777777" w:rsidR="004C1E17" w:rsidRDefault="004C1E17" w:rsidP="008F36DD">
      <w:pPr>
        <w:rPr>
          <w:highlight w:val="yellow"/>
        </w:rPr>
      </w:pPr>
    </w:p>
    <w:p w14:paraId="4F8A90F5" w14:textId="297FDF29" w:rsidR="00417482" w:rsidRDefault="004C1E17" w:rsidP="004C1E17">
      <w:pPr>
        <w:rPr>
          <w:lang w:eastAsia="fr-BE"/>
        </w:rPr>
      </w:pPr>
      <w:r>
        <w:t xml:space="preserve">De FSP kan beschikken over de meetgegevens met betrekking tot de SDP-F’s van de Pool die nodig zijn voor de uitvoering van zijn activiteiten. Daartoe moet hij vooraf het bewijs leveren aan de DNB dat de betrokken DNG toestemming verleent om deze gegevens over te maken aan de FSP. </w:t>
      </w:r>
      <w:r w:rsidR="00A515A6" w:rsidRPr="00A515A6">
        <w:t xml:space="preserve">Dit bewijs zal geleverd worden onder de vorm van een officieel mandaat van de DNG volgens een model dat vastgelegd is door de DNB. </w:t>
      </w:r>
    </w:p>
    <w:p w14:paraId="73C17521" w14:textId="77777777" w:rsidR="004C1E17" w:rsidRDefault="004C1E17" w:rsidP="004C1E17">
      <w:r>
        <w:t xml:space="preserve">De DNB streeft naar eenzelfde beschikbaarheid als deze bepaald voor de leveringsmarkt in het TRDE. </w:t>
      </w:r>
    </w:p>
    <w:p w14:paraId="629301E7" w14:textId="77777777" w:rsidR="004C1E17" w:rsidRDefault="004C1E17" w:rsidP="008F36DD">
      <w:pPr>
        <w:rPr>
          <w:highlight w:val="yellow"/>
        </w:rPr>
      </w:pPr>
    </w:p>
    <w:p w14:paraId="44663EE9" w14:textId="4622FE2C" w:rsidR="008F36DD" w:rsidRPr="00A515A6" w:rsidRDefault="008F36DD" w:rsidP="008F36DD">
      <w:r w:rsidRPr="005A014F">
        <w:t xml:space="preserve">Indien de FSP wenst te beschikken over </w:t>
      </w:r>
      <w:r w:rsidR="005A014F">
        <w:t xml:space="preserve">andere </w:t>
      </w:r>
      <w:r w:rsidR="00294B85">
        <w:t xml:space="preserve">dan </w:t>
      </w:r>
      <w:r w:rsidRPr="005A014F">
        <w:t xml:space="preserve">de </w:t>
      </w:r>
      <w:r w:rsidR="00294B85">
        <w:t xml:space="preserve">wettelijk bepaalde </w:t>
      </w:r>
      <w:r w:rsidRPr="005A014F">
        <w:t xml:space="preserve">gegevens met betrekking tot de </w:t>
      </w:r>
      <w:r w:rsidR="005B3C4B" w:rsidRPr="005A014F">
        <w:t>SDP–F</w:t>
      </w:r>
      <w:r w:rsidR="00701F2A" w:rsidRPr="005A014F">
        <w:t xml:space="preserve"> </w:t>
      </w:r>
      <w:r w:rsidRPr="005A014F">
        <w:t xml:space="preserve">van </w:t>
      </w:r>
      <w:r w:rsidR="005B3C4B" w:rsidRPr="005A014F">
        <w:t>de P</w:t>
      </w:r>
      <w:r w:rsidRPr="005A014F">
        <w:t xml:space="preserve">ool, sluiten de FSP en de </w:t>
      </w:r>
      <w:r w:rsidR="00701F2A" w:rsidRPr="005A014F">
        <w:t xml:space="preserve">DNB </w:t>
      </w:r>
      <w:r w:rsidRPr="005A014F">
        <w:t xml:space="preserve">hiervoor een </w:t>
      </w:r>
      <w:r w:rsidR="00F73148" w:rsidRPr="005A014F">
        <w:t xml:space="preserve">afzonderlijk </w:t>
      </w:r>
      <w:r w:rsidR="005B3C4B" w:rsidRPr="005A014F">
        <w:t>datatoegangscontract</w:t>
      </w:r>
      <w:r w:rsidR="005B3C4B" w:rsidRPr="005A014F" w:rsidDel="005B3C4B">
        <w:t xml:space="preserve"> </w:t>
      </w:r>
      <w:r w:rsidRPr="005A014F">
        <w:t xml:space="preserve">af. </w:t>
      </w:r>
      <w:r w:rsidR="00294B85">
        <w:t xml:space="preserve">Deze gegevens worden gecommuniceerd per e-mail of elke andere manier van communicatie overeengekomen tussen de DNB en de FSP. </w:t>
      </w:r>
    </w:p>
    <w:p w14:paraId="7239A5CE" w14:textId="3257E7EE" w:rsidR="001E696A" w:rsidRDefault="001E696A" w:rsidP="008F36DD"/>
    <w:p w14:paraId="7169555F" w14:textId="5A112444" w:rsidR="001E696A" w:rsidRPr="00BA64A2" w:rsidRDefault="001E696A" w:rsidP="008F36DD">
      <w:r w:rsidRPr="00BA64A2">
        <w:t xml:space="preserve">In geval </w:t>
      </w:r>
      <w:r w:rsidR="00651BD8" w:rsidRPr="00BA64A2">
        <w:t xml:space="preserve">de SDP-F zich bij een DNG van een </w:t>
      </w:r>
      <w:r w:rsidR="00E439E3">
        <w:t>gesloten distributienet</w:t>
      </w:r>
      <w:r w:rsidR="00651BD8" w:rsidRPr="00BA64A2">
        <w:t>, aangesloten op het distribut</w:t>
      </w:r>
      <w:r w:rsidR="00BF2F97" w:rsidRPr="00BA64A2">
        <w:t>ie</w:t>
      </w:r>
      <w:r w:rsidR="00651BD8" w:rsidRPr="00BA64A2">
        <w:t>net</w:t>
      </w:r>
      <w:r w:rsidR="00BF2F97" w:rsidRPr="00BA64A2">
        <w:t xml:space="preserve">, </w:t>
      </w:r>
      <w:r w:rsidR="00651BD8" w:rsidRPr="00BA64A2">
        <w:t>bevindt</w:t>
      </w:r>
      <w:r w:rsidR="009E243D">
        <w:t>,</w:t>
      </w:r>
      <w:r w:rsidR="00BF2F97" w:rsidRPr="00BA64A2">
        <w:t xml:space="preserve"> wordt</w:t>
      </w:r>
      <w:r w:rsidR="00BA64A2">
        <w:t xml:space="preserve"> </w:t>
      </w:r>
      <w:r w:rsidR="00BF2F97" w:rsidRPr="00BA64A2">
        <w:t xml:space="preserve">de uitvoering van onderhavig </w:t>
      </w:r>
      <w:r w:rsidR="00BA64A2" w:rsidRPr="00BA64A2">
        <w:t>artikel overeengekomen tussen de DNB en</w:t>
      </w:r>
      <w:r w:rsidR="00BA64A2">
        <w:t xml:space="preserve"> </w:t>
      </w:r>
      <w:r w:rsidR="00BA64A2" w:rsidRPr="00BA64A2">
        <w:t>de beheer</w:t>
      </w:r>
      <w:r w:rsidR="00BA64A2">
        <w:t xml:space="preserve">der van het betrokken </w:t>
      </w:r>
      <w:r w:rsidR="00E439E3">
        <w:t>gesloten distributienet</w:t>
      </w:r>
      <w:r w:rsidR="00661AA5">
        <w:t xml:space="preserve"> </w:t>
      </w:r>
      <w:r w:rsidR="001E395A">
        <w:t xml:space="preserve">in overeenstemming met </w:t>
      </w:r>
      <w:r w:rsidR="00246F64">
        <w:t>het geldende regle</w:t>
      </w:r>
      <w:r w:rsidR="00070E69">
        <w:t>mentair kader</w:t>
      </w:r>
      <w:r w:rsidR="00BA64A2">
        <w:t>.</w:t>
      </w:r>
      <w:r w:rsidRPr="00BA64A2">
        <w:t xml:space="preserve">   </w:t>
      </w:r>
    </w:p>
    <w:p w14:paraId="00351BF4" w14:textId="77777777" w:rsidR="00F07160" w:rsidRDefault="00480364" w:rsidP="00F07160">
      <w:pPr>
        <w:pStyle w:val="Kop1"/>
      </w:pPr>
      <w:r>
        <w:t>A</w:t>
      </w:r>
      <w:r w:rsidR="00F07160">
        <w:t>ansprakelijkheid</w:t>
      </w:r>
    </w:p>
    <w:p w14:paraId="107DFEE4" w14:textId="77777777" w:rsidR="000B77D8" w:rsidRPr="00FD48D0" w:rsidRDefault="000B77D8" w:rsidP="000B77D8">
      <w:pPr>
        <w:rPr>
          <w:highlight w:val="yellow"/>
        </w:rPr>
      </w:pPr>
      <w:r w:rsidRPr="00FD48D0">
        <w:rPr>
          <w:highlight w:val="yellow"/>
        </w:rPr>
        <w:t xml:space="preserve">De Partijen zullen gedurende de looptijd van de onderhavige overeenkomst de nodige en redelijke maatregelen nemen om eventuele schade van de ene Partij aan de andere te voorkomen en, in voorkomend geval, te beperken. </w:t>
      </w:r>
    </w:p>
    <w:p w14:paraId="4CA81A7D" w14:textId="77777777" w:rsidR="000B77D8" w:rsidRPr="00FD48D0" w:rsidRDefault="000B77D8" w:rsidP="00332FA9">
      <w:pPr>
        <w:rPr>
          <w:highlight w:val="yellow"/>
        </w:rPr>
      </w:pPr>
    </w:p>
    <w:p w14:paraId="680D1551" w14:textId="1D628ADF" w:rsidR="000B77D8" w:rsidRPr="00FD48D0" w:rsidRDefault="00831DB2" w:rsidP="00332FA9">
      <w:pPr>
        <w:rPr>
          <w:highlight w:val="yellow"/>
        </w:rPr>
      </w:pPr>
      <w:r w:rsidRPr="00FD48D0">
        <w:rPr>
          <w:highlight w:val="yellow"/>
        </w:rPr>
        <w:t>Behoudens schade die het gevolg is van bedrog of opzet</w:t>
      </w:r>
      <w:r w:rsidR="00DA0706" w:rsidRPr="00FD48D0">
        <w:rPr>
          <w:highlight w:val="yellow"/>
        </w:rPr>
        <w:t xml:space="preserve"> door </w:t>
      </w:r>
      <w:r w:rsidR="00933977" w:rsidRPr="00FD48D0">
        <w:rPr>
          <w:highlight w:val="yellow"/>
        </w:rPr>
        <w:t>een Partij</w:t>
      </w:r>
      <w:r w:rsidRPr="00FD48D0">
        <w:rPr>
          <w:highlight w:val="yellow"/>
        </w:rPr>
        <w:t>, waarvoor d</w:t>
      </w:r>
      <w:r w:rsidR="003329FD" w:rsidRPr="00FD48D0">
        <w:rPr>
          <w:highlight w:val="yellow"/>
        </w:rPr>
        <w:t>i</w:t>
      </w:r>
      <w:r w:rsidRPr="00FD48D0">
        <w:rPr>
          <w:highlight w:val="yellow"/>
        </w:rPr>
        <w:t xml:space="preserve">e </w:t>
      </w:r>
      <w:r w:rsidR="003329FD" w:rsidRPr="00FD48D0">
        <w:rPr>
          <w:highlight w:val="yellow"/>
        </w:rPr>
        <w:t xml:space="preserve">Partij </w:t>
      </w:r>
      <w:r w:rsidRPr="00FD48D0">
        <w:rPr>
          <w:highlight w:val="yellow"/>
        </w:rPr>
        <w:t xml:space="preserve">steeds volledig aansprakelijk is, </w:t>
      </w:r>
      <w:r w:rsidR="003329FD" w:rsidRPr="00FD48D0">
        <w:rPr>
          <w:highlight w:val="yellow"/>
        </w:rPr>
        <w:t xml:space="preserve">zijn de Partijen ten opzichte van elkaar </w:t>
      </w:r>
      <w:r w:rsidRPr="00FD48D0">
        <w:rPr>
          <w:highlight w:val="yellow"/>
        </w:rPr>
        <w:t xml:space="preserve">enkel </w:t>
      </w:r>
      <w:r w:rsidR="000B77D8" w:rsidRPr="00FD48D0">
        <w:rPr>
          <w:highlight w:val="yellow"/>
        </w:rPr>
        <w:t xml:space="preserve">aansprakelijk voor elke </w:t>
      </w:r>
      <w:r w:rsidR="00246015" w:rsidRPr="00FD48D0">
        <w:rPr>
          <w:highlight w:val="yellow"/>
        </w:rPr>
        <w:t>rechtstreekse materiële of lichamelijke schade</w:t>
      </w:r>
      <w:r w:rsidR="000B77D8" w:rsidRPr="00FD48D0">
        <w:rPr>
          <w:highlight w:val="yellow"/>
        </w:rPr>
        <w:t xml:space="preserve">, ten gevolge van elke actie die </w:t>
      </w:r>
      <w:r w:rsidR="00CB6579" w:rsidRPr="00FD48D0">
        <w:rPr>
          <w:highlight w:val="yellow"/>
        </w:rPr>
        <w:t xml:space="preserve">de schadeveroorzakende </w:t>
      </w:r>
      <w:r w:rsidR="00173AD3" w:rsidRPr="00FD48D0">
        <w:rPr>
          <w:highlight w:val="yellow"/>
        </w:rPr>
        <w:t>Partij</w:t>
      </w:r>
      <w:r w:rsidR="000B77D8" w:rsidRPr="00FD48D0">
        <w:rPr>
          <w:highlight w:val="yellow"/>
        </w:rPr>
        <w:t xml:space="preserve"> heeft ondernomen</w:t>
      </w:r>
      <w:r w:rsidRPr="00FD48D0">
        <w:rPr>
          <w:highlight w:val="yellow"/>
        </w:rPr>
        <w:t>, gevraagd</w:t>
      </w:r>
      <w:r w:rsidR="000B77D8" w:rsidRPr="00FD48D0">
        <w:rPr>
          <w:highlight w:val="yellow"/>
        </w:rPr>
        <w:t xml:space="preserve"> of nagelaten heeft te ondernemen</w:t>
      </w:r>
      <w:r w:rsidR="00173AD3" w:rsidRPr="00FD48D0">
        <w:rPr>
          <w:highlight w:val="yellow"/>
        </w:rPr>
        <w:t xml:space="preserve"> en die </w:t>
      </w:r>
      <w:r w:rsidR="003657B6" w:rsidRPr="00FD48D0">
        <w:rPr>
          <w:highlight w:val="yellow"/>
        </w:rPr>
        <w:t xml:space="preserve">aan de oorzaak ligt van de betreffende schade alsook ten gevolge van elke inbreuk op </w:t>
      </w:r>
      <w:r w:rsidR="000B77D8" w:rsidRPr="00FD48D0">
        <w:rPr>
          <w:highlight w:val="yellow"/>
        </w:rPr>
        <w:t xml:space="preserve">de bepalingen van de onderhavige overeenkomst. </w:t>
      </w:r>
    </w:p>
    <w:p w14:paraId="13C2C803" w14:textId="77777777" w:rsidR="000B77D8" w:rsidRPr="00FD48D0" w:rsidRDefault="000B77D8" w:rsidP="000B77D8">
      <w:pPr>
        <w:rPr>
          <w:highlight w:val="yellow"/>
        </w:rPr>
      </w:pPr>
    </w:p>
    <w:p w14:paraId="327FC773" w14:textId="3C7B26DD" w:rsidR="000B77D8" w:rsidRPr="00FD48D0" w:rsidRDefault="000B77D8" w:rsidP="000B77D8">
      <w:pPr>
        <w:rPr>
          <w:highlight w:val="yellow"/>
        </w:rPr>
      </w:pPr>
      <w:r w:rsidRPr="00FD48D0">
        <w:rPr>
          <w:highlight w:val="yellow"/>
        </w:rPr>
        <w:t xml:space="preserve">Deze aansprakelijkheid, zowel van de FSP als van de DNB, kan nooit leiden tot een hogere vergoeding dan de integrale vergoeding van de werkelijk geleden schade. </w:t>
      </w:r>
      <w:r w:rsidR="00A936AD" w:rsidRPr="00FD48D0">
        <w:rPr>
          <w:highlight w:val="yellow"/>
        </w:rPr>
        <w:t>Behoudens schade die het gevolg is van bedrog of opzet</w:t>
      </w:r>
      <w:r w:rsidR="001D0016" w:rsidRPr="00FD48D0">
        <w:rPr>
          <w:highlight w:val="yellow"/>
        </w:rPr>
        <w:t>, is d</w:t>
      </w:r>
      <w:r w:rsidRPr="00FD48D0">
        <w:rPr>
          <w:highlight w:val="yellow"/>
        </w:rPr>
        <w:t>e aansprakelijkheid beperkt tot 2.000.000 euro per incident</w:t>
      </w:r>
      <w:r w:rsidR="00CC5DDF" w:rsidRPr="00FD48D0">
        <w:rPr>
          <w:highlight w:val="yellow"/>
        </w:rPr>
        <w:t xml:space="preserve"> </w:t>
      </w:r>
      <w:bookmarkStart w:id="5" w:name="_Hlk33191100"/>
      <w:r w:rsidR="00CC5DDF" w:rsidRPr="00FD48D0">
        <w:rPr>
          <w:highlight w:val="yellow"/>
        </w:rPr>
        <w:t>en tot 5.000.000 euro per jaar voor het geheel van incidenten</w:t>
      </w:r>
      <w:bookmarkEnd w:id="5"/>
      <w:r w:rsidRPr="00FD48D0">
        <w:rPr>
          <w:highlight w:val="yellow"/>
        </w:rPr>
        <w:t xml:space="preserve">. Dit maximumbedrag geldt niet voor schade aan personen. </w:t>
      </w:r>
    </w:p>
    <w:p w14:paraId="6B134EA2" w14:textId="77777777" w:rsidR="000B77D8" w:rsidRPr="00FD48D0" w:rsidRDefault="000B77D8" w:rsidP="000B77D8">
      <w:pPr>
        <w:rPr>
          <w:highlight w:val="yellow"/>
        </w:rPr>
      </w:pPr>
    </w:p>
    <w:p w14:paraId="65315CF0" w14:textId="77777777" w:rsidR="002E2BEA" w:rsidRPr="00FD48D0" w:rsidRDefault="002E2BEA" w:rsidP="002E2BEA">
      <w:pPr>
        <w:rPr>
          <w:highlight w:val="yellow"/>
        </w:rPr>
      </w:pPr>
      <w:r w:rsidRPr="00FD48D0">
        <w:rPr>
          <w:highlight w:val="yellow"/>
        </w:rPr>
        <w:t>Partijen zullen elkaar tevens vrijwaren voor claims van derden, met betrekking tot de schade die de betrokken Partij veroorzaakt heeft aan die derde, in het kader van de uitvoering van onderhavige overeenkomst.</w:t>
      </w:r>
    </w:p>
    <w:p w14:paraId="5A29FCC8" w14:textId="77777777" w:rsidR="001B6DF6" w:rsidRPr="00FD48D0" w:rsidRDefault="001B6DF6" w:rsidP="000B77D8">
      <w:pPr>
        <w:rPr>
          <w:highlight w:val="yellow"/>
        </w:rPr>
      </w:pPr>
    </w:p>
    <w:p w14:paraId="5EBC7E1B" w14:textId="35BAFC47" w:rsidR="000B77D8" w:rsidRPr="00FD48D0" w:rsidRDefault="00374C08" w:rsidP="000B77D8">
      <w:pPr>
        <w:rPr>
          <w:highlight w:val="yellow"/>
        </w:rPr>
      </w:pPr>
      <w:r w:rsidRPr="00FD48D0">
        <w:rPr>
          <w:highlight w:val="yellow"/>
        </w:rPr>
        <w:t xml:space="preserve">Onverminderd </w:t>
      </w:r>
      <w:r w:rsidR="00086003" w:rsidRPr="00FD48D0">
        <w:rPr>
          <w:highlight w:val="yellow"/>
        </w:rPr>
        <w:t xml:space="preserve">het specifiek </w:t>
      </w:r>
      <w:r w:rsidR="00C80FD9" w:rsidRPr="00FD48D0">
        <w:rPr>
          <w:highlight w:val="yellow"/>
        </w:rPr>
        <w:t>schade</w:t>
      </w:r>
      <w:r w:rsidR="00086003" w:rsidRPr="00FD48D0">
        <w:rPr>
          <w:highlight w:val="yellow"/>
        </w:rPr>
        <w:t xml:space="preserve">vergoedingsregime </w:t>
      </w:r>
      <w:r w:rsidR="009D0363" w:rsidRPr="00FD48D0">
        <w:rPr>
          <w:highlight w:val="yellow"/>
        </w:rPr>
        <w:t xml:space="preserve">dat geldig is op gewestelijk niveau, </w:t>
      </w:r>
      <w:r w:rsidR="000B77D8" w:rsidRPr="00FD48D0">
        <w:rPr>
          <w:highlight w:val="yellow"/>
        </w:rPr>
        <w:t xml:space="preserve">kan de FSP geen aanspraak maken op een schadevergoeding van </w:t>
      </w:r>
      <w:r w:rsidR="002E2BEA" w:rsidRPr="00FD48D0">
        <w:rPr>
          <w:highlight w:val="yellow"/>
        </w:rPr>
        <w:t xml:space="preserve">of vrijwaring door </w:t>
      </w:r>
      <w:r w:rsidR="000B77D8" w:rsidRPr="00FD48D0">
        <w:rPr>
          <w:highlight w:val="yellow"/>
        </w:rPr>
        <w:t>de DNB</w:t>
      </w:r>
      <w:r w:rsidR="00595691" w:rsidRPr="00FD48D0">
        <w:rPr>
          <w:highlight w:val="yellow"/>
        </w:rPr>
        <w:t>:</w:t>
      </w:r>
    </w:p>
    <w:p w14:paraId="003EC953" w14:textId="77777777" w:rsidR="000B77D8" w:rsidRPr="00FD48D0" w:rsidRDefault="000B77D8" w:rsidP="000B77D8">
      <w:pPr>
        <w:rPr>
          <w:highlight w:val="yellow"/>
        </w:rPr>
      </w:pPr>
    </w:p>
    <w:p w14:paraId="03BE1DC4" w14:textId="5A6B12AA" w:rsidR="000B77D8" w:rsidRPr="00FD48D0" w:rsidRDefault="00794E19" w:rsidP="00794E19">
      <w:pPr>
        <w:pStyle w:val="Lijstalinea"/>
        <w:numPr>
          <w:ilvl w:val="0"/>
          <w:numId w:val="8"/>
        </w:numPr>
        <w:ind w:left="360"/>
        <w:jc w:val="both"/>
        <w:rPr>
          <w:highlight w:val="yellow"/>
        </w:rPr>
      </w:pPr>
      <w:r w:rsidRPr="00FD48D0">
        <w:rPr>
          <w:highlight w:val="yellow"/>
        </w:rPr>
        <w:t>I</w:t>
      </w:r>
      <w:r w:rsidR="000B77D8" w:rsidRPr="00FD48D0">
        <w:rPr>
          <w:highlight w:val="yellow"/>
        </w:rPr>
        <w:t>n</w:t>
      </w:r>
      <w:r w:rsidRPr="00FD48D0">
        <w:rPr>
          <w:highlight w:val="yellow"/>
        </w:rPr>
        <w:t xml:space="preserve"> </w:t>
      </w:r>
      <w:r w:rsidR="000B77D8" w:rsidRPr="00FD48D0">
        <w:rPr>
          <w:highlight w:val="yellow"/>
        </w:rPr>
        <w:t xml:space="preserve">geval van </w:t>
      </w:r>
      <w:r w:rsidR="0085232F" w:rsidRPr="00FD48D0">
        <w:rPr>
          <w:highlight w:val="yellow"/>
        </w:rPr>
        <w:t xml:space="preserve">een </w:t>
      </w:r>
      <w:r w:rsidR="000B77D8" w:rsidRPr="00FD48D0">
        <w:rPr>
          <w:highlight w:val="yellow"/>
        </w:rPr>
        <w:t xml:space="preserve">weigering om een </w:t>
      </w:r>
      <w:r w:rsidR="00D95395" w:rsidRPr="00FD48D0">
        <w:rPr>
          <w:highlight w:val="yellow"/>
        </w:rPr>
        <w:t xml:space="preserve">SDP-F </w:t>
      </w:r>
      <w:r w:rsidRPr="00FD48D0">
        <w:rPr>
          <w:highlight w:val="yellow"/>
        </w:rPr>
        <w:t xml:space="preserve">toe te voegen in de </w:t>
      </w:r>
      <w:r w:rsidR="00D95395" w:rsidRPr="00FD48D0">
        <w:rPr>
          <w:highlight w:val="yellow"/>
        </w:rPr>
        <w:t>P</w:t>
      </w:r>
      <w:r w:rsidRPr="00FD48D0">
        <w:rPr>
          <w:highlight w:val="yellow"/>
        </w:rPr>
        <w:t xml:space="preserve">ool van de FSP of </w:t>
      </w:r>
      <w:r w:rsidR="000B77D8" w:rsidRPr="00FD48D0">
        <w:rPr>
          <w:highlight w:val="yellow"/>
        </w:rPr>
        <w:t xml:space="preserve">bij wijziging van een </w:t>
      </w:r>
      <w:r w:rsidR="00D95395" w:rsidRPr="00FD48D0">
        <w:rPr>
          <w:highlight w:val="yellow"/>
        </w:rPr>
        <w:t>P</w:t>
      </w:r>
      <w:r w:rsidR="000B77D8" w:rsidRPr="00FD48D0">
        <w:rPr>
          <w:highlight w:val="yellow"/>
        </w:rPr>
        <w:t xml:space="preserve">ool op aanvraag van de DNB volgens de procedure beschreven in artikel </w:t>
      </w:r>
      <w:r w:rsidRPr="00FD48D0">
        <w:rPr>
          <w:highlight w:val="yellow"/>
        </w:rPr>
        <w:t>5;</w:t>
      </w:r>
    </w:p>
    <w:p w14:paraId="2F88ACEA" w14:textId="77777777" w:rsidR="000B77D8" w:rsidRPr="00FD48D0" w:rsidRDefault="000B77D8" w:rsidP="007F2418">
      <w:pPr>
        <w:rPr>
          <w:highlight w:val="yellow"/>
        </w:rPr>
      </w:pPr>
    </w:p>
    <w:p w14:paraId="295E6483" w14:textId="77777777" w:rsidR="00DA0706" w:rsidRPr="00FD48D0" w:rsidRDefault="00DA0706" w:rsidP="00794E19">
      <w:pPr>
        <w:pStyle w:val="Lijstalinea"/>
        <w:numPr>
          <w:ilvl w:val="0"/>
          <w:numId w:val="8"/>
        </w:numPr>
        <w:ind w:left="360"/>
        <w:jc w:val="both"/>
        <w:rPr>
          <w:highlight w:val="yellow"/>
        </w:rPr>
      </w:pPr>
      <w:r w:rsidRPr="00FD48D0">
        <w:rPr>
          <w:highlight w:val="yellow"/>
        </w:rPr>
        <w:t>In geval de DNG een onderbreking ondervindt ten gevolge van een overschrijding van zijn aansluitingsvermogen.</w:t>
      </w:r>
    </w:p>
    <w:p w14:paraId="2542BE89" w14:textId="77777777" w:rsidR="00DA0706" w:rsidRPr="00FD48D0" w:rsidRDefault="00DA0706" w:rsidP="00794E19">
      <w:pPr>
        <w:pStyle w:val="Lijstalinea"/>
        <w:numPr>
          <w:ilvl w:val="0"/>
          <w:numId w:val="0"/>
        </w:numPr>
        <w:ind w:left="360"/>
        <w:jc w:val="both"/>
        <w:rPr>
          <w:highlight w:val="yellow"/>
        </w:rPr>
      </w:pPr>
    </w:p>
    <w:p w14:paraId="0C944DCD" w14:textId="77777777" w:rsidR="000B77D8" w:rsidRPr="00FD48D0" w:rsidRDefault="00794E19" w:rsidP="00794E19">
      <w:pPr>
        <w:pStyle w:val="Lijstalinea"/>
        <w:numPr>
          <w:ilvl w:val="0"/>
          <w:numId w:val="8"/>
        </w:numPr>
        <w:ind w:left="360"/>
        <w:jc w:val="both"/>
        <w:rPr>
          <w:highlight w:val="yellow"/>
        </w:rPr>
      </w:pPr>
      <w:r w:rsidRPr="00FD48D0">
        <w:rPr>
          <w:highlight w:val="yellow"/>
        </w:rPr>
        <w:t>I</w:t>
      </w:r>
      <w:r w:rsidR="000B77D8" w:rsidRPr="00FD48D0">
        <w:rPr>
          <w:highlight w:val="yellow"/>
        </w:rPr>
        <w:t xml:space="preserve">ndien een geplande onderbreking die werd gecommuniceerd aan de DNG binnen de wettelijke termijnen, de activering van de flexibiliteit bij deze DNG verhindert. </w:t>
      </w:r>
    </w:p>
    <w:p w14:paraId="307959E6" w14:textId="77777777" w:rsidR="000B77D8" w:rsidRPr="00FD48D0" w:rsidRDefault="000B77D8" w:rsidP="00794E19">
      <w:pPr>
        <w:pStyle w:val="Lijstalinea"/>
        <w:numPr>
          <w:ilvl w:val="0"/>
          <w:numId w:val="0"/>
        </w:numPr>
        <w:ind w:left="360"/>
        <w:jc w:val="both"/>
        <w:rPr>
          <w:highlight w:val="yellow"/>
        </w:rPr>
      </w:pPr>
    </w:p>
    <w:p w14:paraId="3A7A9307" w14:textId="77777777" w:rsidR="00F07160" w:rsidRPr="00FD48D0" w:rsidRDefault="00794E19" w:rsidP="007F2418">
      <w:pPr>
        <w:pStyle w:val="Lijstalinea"/>
        <w:numPr>
          <w:ilvl w:val="0"/>
          <w:numId w:val="8"/>
        </w:numPr>
        <w:ind w:left="360"/>
        <w:rPr>
          <w:highlight w:val="yellow"/>
        </w:rPr>
      </w:pPr>
      <w:r w:rsidRPr="00FD48D0">
        <w:rPr>
          <w:highlight w:val="yellow"/>
        </w:rPr>
        <w:t>I</w:t>
      </w:r>
      <w:r w:rsidR="000B77D8" w:rsidRPr="00FD48D0">
        <w:rPr>
          <w:highlight w:val="yellow"/>
        </w:rPr>
        <w:t>ndien een</w:t>
      </w:r>
      <w:r w:rsidR="008F36DD" w:rsidRPr="00FD48D0">
        <w:rPr>
          <w:highlight w:val="yellow"/>
        </w:rPr>
        <w:t xml:space="preserve"> </w:t>
      </w:r>
      <w:r w:rsidR="000B77D8" w:rsidRPr="00FD48D0">
        <w:rPr>
          <w:highlight w:val="yellow"/>
        </w:rPr>
        <w:t>ongeplande onderbreking de activering van de flexibiliteit bij een DNG verhindert.</w:t>
      </w:r>
    </w:p>
    <w:p w14:paraId="0B6733CC" w14:textId="77777777" w:rsidR="000B77D8" w:rsidRPr="00FD48D0" w:rsidRDefault="000B77D8" w:rsidP="007F2418">
      <w:pPr>
        <w:pStyle w:val="Lijstalinea"/>
        <w:numPr>
          <w:ilvl w:val="0"/>
          <w:numId w:val="0"/>
        </w:numPr>
        <w:ind w:left="360"/>
        <w:rPr>
          <w:highlight w:val="yellow"/>
        </w:rPr>
      </w:pPr>
    </w:p>
    <w:p w14:paraId="113AD667" w14:textId="0BBC2926" w:rsidR="000B77D8" w:rsidRPr="00FD48D0" w:rsidRDefault="00794E19" w:rsidP="00345F38">
      <w:pPr>
        <w:pStyle w:val="Lijstalinea"/>
        <w:numPr>
          <w:ilvl w:val="0"/>
          <w:numId w:val="8"/>
        </w:numPr>
        <w:ind w:left="360"/>
        <w:jc w:val="both"/>
        <w:rPr>
          <w:highlight w:val="yellow"/>
        </w:rPr>
      </w:pPr>
      <w:r w:rsidRPr="00FD48D0">
        <w:rPr>
          <w:highlight w:val="yellow"/>
        </w:rPr>
        <w:t>I</w:t>
      </w:r>
      <w:r w:rsidR="000B77D8" w:rsidRPr="00FD48D0">
        <w:rPr>
          <w:highlight w:val="yellow"/>
        </w:rPr>
        <w:t xml:space="preserve">ndien een situatie van overmacht of </w:t>
      </w:r>
      <w:r w:rsidR="00D21B0B" w:rsidRPr="00FD48D0">
        <w:rPr>
          <w:highlight w:val="yellow"/>
        </w:rPr>
        <w:t xml:space="preserve">een </w:t>
      </w:r>
      <w:r w:rsidR="000B77D8" w:rsidRPr="00FD48D0">
        <w:rPr>
          <w:highlight w:val="yellow"/>
        </w:rPr>
        <w:t>noodsituatie – zoals gedefinieerd in het TRDE en met inbegrip van de activ</w:t>
      </w:r>
      <w:r w:rsidR="008F36DD" w:rsidRPr="00FD48D0">
        <w:rPr>
          <w:highlight w:val="yellow"/>
        </w:rPr>
        <w:t xml:space="preserve">ering </w:t>
      </w:r>
      <w:r w:rsidR="000B77D8" w:rsidRPr="00FD48D0">
        <w:rPr>
          <w:highlight w:val="yellow"/>
        </w:rPr>
        <w:t xml:space="preserve">door de TNB van het afschakelplan bij energieschaarste </w:t>
      </w:r>
      <w:r w:rsidR="00345F38" w:rsidRPr="00FD48D0">
        <w:rPr>
          <w:highlight w:val="yellow"/>
        </w:rPr>
        <w:t>–</w:t>
      </w:r>
      <w:r w:rsidR="000B77D8" w:rsidRPr="00FD48D0">
        <w:rPr>
          <w:highlight w:val="yellow"/>
        </w:rPr>
        <w:t xml:space="preserve"> de activering van de flexibiliteit bij een DNG verhindert</w:t>
      </w:r>
      <w:r w:rsidR="00E63724" w:rsidRPr="00FD48D0">
        <w:rPr>
          <w:highlight w:val="yellow"/>
        </w:rPr>
        <w:t xml:space="preserve">. </w:t>
      </w:r>
    </w:p>
    <w:p w14:paraId="193FF73A" w14:textId="77777777" w:rsidR="00C219EF" w:rsidRPr="00FD48D0" w:rsidRDefault="00C219EF" w:rsidP="007F2418">
      <w:pPr>
        <w:pStyle w:val="Lijstalinea"/>
        <w:numPr>
          <w:ilvl w:val="0"/>
          <w:numId w:val="0"/>
        </w:numPr>
        <w:ind w:left="360"/>
        <w:rPr>
          <w:highlight w:val="yellow"/>
        </w:rPr>
      </w:pPr>
    </w:p>
    <w:p w14:paraId="45FC1C53" w14:textId="6EF6FEDF" w:rsidR="00C219EF" w:rsidRPr="00FD48D0" w:rsidRDefault="00C219EF" w:rsidP="00345F38">
      <w:pPr>
        <w:pStyle w:val="Lijstalinea"/>
        <w:numPr>
          <w:ilvl w:val="0"/>
          <w:numId w:val="8"/>
        </w:numPr>
        <w:ind w:left="360"/>
        <w:jc w:val="both"/>
        <w:rPr>
          <w:highlight w:val="yellow"/>
        </w:rPr>
      </w:pPr>
      <w:r w:rsidRPr="00FD48D0">
        <w:rPr>
          <w:highlight w:val="yellow"/>
        </w:rPr>
        <w:t xml:space="preserve">Indien de DNB een </w:t>
      </w:r>
      <w:r w:rsidR="001D3D61" w:rsidRPr="00FD48D0">
        <w:rPr>
          <w:highlight w:val="yellow"/>
        </w:rPr>
        <w:t xml:space="preserve">SDP-F </w:t>
      </w:r>
      <w:r w:rsidRPr="00FD48D0">
        <w:rPr>
          <w:highlight w:val="yellow"/>
        </w:rPr>
        <w:t xml:space="preserve">uit de </w:t>
      </w:r>
      <w:r w:rsidR="001D3D61" w:rsidRPr="00FD48D0">
        <w:rPr>
          <w:highlight w:val="yellow"/>
        </w:rPr>
        <w:t>P</w:t>
      </w:r>
      <w:r w:rsidRPr="00FD48D0">
        <w:rPr>
          <w:highlight w:val="yellow"/>
        </w:rPr>
        <w:t>ool</w:t>
      </w:r>
      <w:r w:rsidR="00345F38" w:rsidRPr="00FD48D0">
        <w:rPr>
          <w:highlight w:val="yellow"/>
        </w:rPr>
        <w:t xml:space="preserve"> van de FSP </w:t>
      </w:r>
      <w:r w:rsidRPr="00FD48D0">
        <w:rPr>
          <w:highlight w:val="yellow"/>
        </w:rPr>
        <w:t>verwijdert bij een van de aanleidingen beschreven in art</w:t>
      </w:r>
      <w:r w:rsidR="00345F38" w:rsidRPr="00FD48D0">
        <w:rPr>
          <w:highlight w:val="yellow"/>
        </w:rPr>
        <w:t>ikel 5.</w:t>
      </w:r>
      <w:r w:rsidR="001D3D61" w:rsidRPr="00FD48D0">
        <w:rPr>
          <w:highlight w:val="yellow"/>
        </w:rPr>
        <w:t>3.</w:t>
      </w:r>
    </w:p>
    <w:p w14:paraId="73D77517" w14:textId="77777777" w:rsidR="00DA0706" w:rsidRPr="00FD48D0" w:rsidRDefault="00DA0706" w:rsidP="007F2418">
      <w:pPr>
        <w:pStyle w:val="Lijstalinea"/>
        <w:numPr>
          <w:ilvl w:val="0"/>
          <w:numId w:val="0"/>
        </w:numPr>
        <w:ind w:left="360"/>
        <w:rPr>
          <w:highlight w:val="yellow"/>
        </w:rPr>
      </w:pPr>
    </w:p>
    <w:p w14:paraId="2BB3E480" w14:textId="4C8357EB" w:rsidR="00345F38" w:rsidRPr="00FD48D0" w:rsidRDefault="00DA0706" w:rsidP="00345F38">
      <w:pPr>
        <w:pStyle w:val="Lijstalinea"/>
        <w:numPr>
          <w:ilvl w:val="0"/>
          <w:numId w:val="8"/>
        </w:numPr>
        <w:ind w:left="360"/>
        <w:jc w:val="both"/>
        <w:rPr>
          <w:highlight w:val="yellow"/>
        </w:rPr>
      </w:pPr>
      <w:r w:rsidRPr="00FD48D0">
        <w:rPr>
          <w:highlight w:val="yellow"/>
        </w:rPr>
        <w:t xml:space="preserve">Indien de activatie van flexibiliteit op het </w:t>
      </w:r>
      <w:r w:rsidR="001D3D61" w:rsidRPr="00FD48D0">
        <w:rPr>
          <w:highlight w:val="yellow"/>
        </w:rPr>
        <w:t xml:space="preserve">betrokken SDP-F </w:t>
      </w:r>
      <w:r w:rsidRPr="00FD48D0">
        <w:rPr>
          <w:highlight w:val="yellow"/>
        </w:rPr>
        <w:t>niet mogelijk is omdat de flexibele toepassing op dit punt systematisch slechts gedurende een deel van de tijd onder spanning staat, doordat</w:t>
      </w:r>
      <w:r w:rsidR="00345F38" w:rsidRPr="00FD48D0">
        <w:rPr>
          <w:highlight w:val="yellow"/>
        </w:rPr>
        <w:t>:</w:t>
      </w:r>
    </w:p>
    <w:p w14:paraId="2F51C0C4" w14:textId="65D0A64A" w:rsidR="00345F38" w:rsidRPr="00FD48D0" w:rsidRDefault="00DA0706" w:rsidP="00345F38">
      <w:pPr>
        <w:pStyle w:val="Lijstalinea"/>
        <w:numPr>
          <w:ilvl w:val="0"/>
          <w:numId w:val="8"/>
        </w:numPr>
        <w:jc w:val="both"/>
        <w:rPr>
          <w:highlight w:val="yellow"/>
        </w:rPr>
      </w:pPr>
      <w:r w:rsidRPr="00FD48D0">
        <w:rPr>
          <w:highlight w:val="yellow"/>
        </w:rPr>
        <w:t>deze toepassing is aangesloten op het uitsluitend-</w:t>
      </w:r>
      <w:r w:rsidR="00C66870" w:rsidRPr="00FD48D0">
        <w:rPr>
          <w:highlight w:val="yellow"/>
        </w:rPr>
        <w:t>nacht-</w:t>
      </w:r>
      <w:r w:rsidRPr="00FD48D0">
        <w:rPr>
          <w:highlight w:val="yellow"/>
        </w:rPr>
        <w:t xml:space="preserve">circuit van de netgebruiker; </w:t>
      </w:r>
    </w:p>
    <w:p w14:paraId="6E5CF6DE" w14:textId="77777777" w:rsidR="00DA0706" w:rsidRPr="00FD48D0" w:rsidRDefault="00DA0706" w:rsidP="00345F38">
      <w:pPr>
        <w:pStyle w:val="Lijstalinea"/>
        <w:numPr>
          <w:ilvl w:val="0"/>
          <w:numId w:val="8"/>
        </w:numPr>
        <w:jc w:val="both"/>
        <w:rPr>
          <w:highlight w:val="yellow"/>
        </w:rPr>
      </w:pPr>
      <w:r w:rsidRPr="00FD48D0">
        <w:rPr>
          <w:highlight w:val="yellow"/>
        </w:rPr>
        <w:t>er een schakellogica wordt toegepast die de voeding naar de flexibele toepassing onderbreekt gedurende bepaalde tijdsblokken of tariefperiodes.</w:t>
      </w:r>
    </w:p>
    <w:p w14:paraId="7F77906A" w14:textId="77777777" w:rsidR="00DA0706" w:rsidRPr="00FD48D0" w:rsidRDefault="00DA0706" w:rsidP="007F2418">
      <w:pPr>
        <w:pStyle w:val="Lijstalinea"/>
        <w:numPr>
          <w:ilvl w:val="0"/>
          <w:numId w:val="0"/>
        </w:numPr>
        <w:ind w:left="360"/>
        <w:rPr>
          <w:highlight w:val="yellow"/>
        </w:rPr>
      </w:pPr>
    </w:p>
    <w:p w14:paraId="28EC36C2" w14:textId="109B1CF3" w:rsidR="00567D97" w:rsidRPr="00FD48D0" w:rsidRDefault="00567D97" w:rsidP="0058539A">
      <w:pPr>
        <w:pStyle w:val="Lijstalinea"/>
        <w:numPr>
          <w:ilvl w:val="0"/>
          <w:numId w:val="8"/>
        </w:numPr>
        <w:ind w:left="360"/>
        <w:jc w:val="both"/>
        <w:rPr>
          <w:szCs w:val="22"/>
          <w:highlight w:val="yellow"/>
        </w:rPr>
      </w:pPr>
      <w:r w:rsidRPr="00FD48D0">
        <w:rPr>
          <w:szCs w:val="22"/>
          <w:highlight w:val="yellow"/>
        </w:rPr>
        <w:t>In geval van een gemotiveerde opschorting van onderhavige overeenkomst voor schending door de FSP, op voorwaarde dat de procedure als beschreven in artikel 11 gevolgd werd.</w:t>
      </w:r>
    </w:p>
    <w:p w14:paraId="29B2518C" w14:textId="77777777" w:rsidR="00FB419F" w:rsidRPr="00FD48D0" w:rsidRDefault="00FB419F" w:rsidP="00FB419F">
      <w:pPr>
        <w:pStyle w:val="Lijstalinea"/>
        <w:numPr>
          <w:ilvl w:val="0"/>
          <w:numId w:val="0"/>
        </w:numPr>
        <w:ind w:left="1068"/>
        <w:rPr>
          <w:szCs w:val="22"/>
          <w:highlight w:val="yellow"/>
        </w:rPr>
      </w:pPr>
    </w:p>
    <w:p w14:paraId="02E794F4" w14:textId="776F44FB" w:rsidR="00FB419F" w:rsidRPr="00FD48D0" w:rsidRDefault="00D10AD8" w:rsidP="0058539A">
      <w:pPr>
        <w:pStyle w:val="Lijstalinea"/>
        <w:numPr>
          <w:ilvl w:val="0"/>
          <w:numId w:val="8"/>
        </w:numPr>
        <w:ind w:left="360"/>
        <w:jc w:val="both"/>
        <w:rPr>
          <w:szCs w:val="22"/>
          <w:highlight w:val="yellow"/>
        </w:rPr>
      </w:pPr>
      <w:r w:rsidRPr="00FD48D0">
        <w:rPr>
          <w:szCs w:val="22"/>
          <w:highlight w:val="yellow"/>
        </w:rPr>
        <w:t xml:space="preserve">Ten gevolge van </w:t>
      </w:r>
      <w:r w:rsidR="00BB19E7" w:rsidRPr="00FD48D0">
        <w:rPr>
          <w:szCs w:val="22"/>
          <w:highlight w:val="yellow"/>
        </w:rPr>
        <w:t>enige vergoeding of boete in hoofde van de FSP die het gevolg is van het niet nak</w:t>
      </w:r>
      <w:r w:rsidR="00BF0F2B" w:rsidRPr="00FD48D0">
        <w:rPr>
          <w:szCs w:val="22"/>
          <w:highlight w:val="yellow"/>
        </w:rPr>
        <w:t>o</w:t>
      </w:r>
      <w:r w:rsidR="00BB19E7" w:rsidRPr="00FD48D0">
        <w:rPr>
          <w:szCs w:val="22"/>
          <w:highlight w:val="yellow"/>
        </w:rPr>
        <w:t xml:space="preserve">men </w:t>
      </w:r>
      <w:r w:rsidR="00BF0F2B" w:rsidRPr="00FD48D0">
        <w:rPr>
          <w:szCs w:val="22"/>
          <w:highlight w:val="yellow"/>
        </w:rPr>
        <w:t>van de contractuele of reglementaire verplichtingen van de FSP ten opzichte van de FRP</w:t>
      </w:r>
      <w:r w:rsidR="00B77D33" w:rsidRPr="00FD48D0">
        <w:rPr>
          <w:szCs w:val="22"/>
          <w:highlight w:val="yellow"/>
        </w:rPr>
        <w:t xml:space="preserve"> anders dan de eventuele vergoeding voor de beperking van flexibiliteit die </w:t>
      </w:r>
      <w:r w:rsidR="00EF780B" w:rsidRPr="00FD48D0">
        <w:rPr>
          <w:szCs w:val="22"/>
          <w:highlight w:val="yellow"/>
        </w:rPr>
        <w:t>in het wettelijk kader wordt vastgelegd.</w:t>
      </w:r>
    </w:p>
    <w:p w14:paraId="08FD7AE2" w14:textId="77777777" w:rsidR="00567D97" w:rsidRPr="00FD48D0" w:rsidRDefault="00567D97" w:rsidP="00DA0706">
      <w:pPr>
        <w:pStyle w:val="Lijstalinea"/>
        <w:numPr>
          <w:ilvl w:val="0"/>
          <w:numId w:val="0"/>
        </w:numPr>
        <w:ind w:left="1068"/>
        <w:rPr>
          <w:highlight w:val="yellow"/>
        </w:rPr>
      </w:pPr>
    </w:p>
    <w:p w14:paraId="7F5FF1BC" w14:textId="22AB7203" w:rsidR="00DA0706" w:rsidRPr="00345F38" w:rsidRDefault="00DA0706" w:rsidP="00DA0706">
      <w:r w:rsidRPr="00FD48D0">
        <w:rPr>
          <w:highlight w:val="yellow"/>
        </w:rPr>
        <w:t xml:space="preserve">De FSP vrijwaart de DNB voor elke claim met betrekking tot de inbreuk op de confidentialiteit van de gegevens of </w:t>
      </w:r>
      <w:r w:rsidR="00A87E14" w:rsidRPr="00FD48D0">
        <w:rPr>
          <w:highlight w:val="yellow"/>
        </w:rPr>
        <w:t xml:space="preserve">op de </w:t>
      </w:r>
      <w:r w:rsidRPr="00FD48D0">
        <w:rPr>
          <w:highlight w:val="yellow"/>
        </w:rPr>
        <w:t xml:space="preserve">privacy van de betrokken </w:t>
      </w:r>
      <w:proofErr w:type="spellStart"/>
      <w:r w:rsidR="00345F38" w:rsidRPr="00FD48D0">
        <w:rPr>
          <w:highlight w:val="yellow"/>
        </w:rPr>
        <w:t>DNG’s</w:t>
      </w:r>
      <w:proofErr w:type="spellEnd"/>
      <w:r w:rsidRPr="00FD48D0">
        <w:rPr>
          <w:highlight w:val="yellow"/>
        </w:rPr>
        <w:t xml:space="preserve">, tenzij de </w:t>
      </w:r>
      <w:r w:rsidR="00AC1396" w:rsidRPr="00FD48D0">
        <w:rPr>
          <w:highlight w:val="yellow"/>
        </w:rPr>
        <w:t xml:space="preserve">inbreuk op de confidentialiteit van die gegevens het gevolg is van een inbreuk door de </w:t>
      </w:r>
      <w:r w:rsidRPr="00FD48D0">
        <w:rPr>
          <w:highlight w:val="yellow"/>
        </w:rPr>
        <w:t xml:space="preserve">DNB </w:t>
      </w:r>
      <w:r w:rsidR="0088363B" w:rsidRPr="00FD48D0">
        <w:rPr>
          <w:highlight w:val="yellow"/>
        </w:rPr>
        <w:t xml:space="preserve">op </w:t>
      </w:r>
      <w:r w:rsidRPr="00FD48D0">
        <w:rPr>
          <w:highlight w:val="yellow"/>
        </w:rPr>
        <w:t xml:space="preserve">de bepalingen </w:t>
      </w:r>
      <w:r w:rsidR="0088363B" w:rsidRPr="00FD48D0">
        <w:rPr>
          <w:highlight w:val="yellow"/>
        </w:rPr>
        <w:t xml:space="preserve">van </w:t>
      </w:r>
      <w:r w:rsidR="00345F38" w:rsidRPr="00FD48D0">
        <w:rPr>
          <w:highlight w:val="yellow"/>
        </w:rPr>
        <w:t>artikel</w:t>
      </w:r>
      <w:r w:rsidRPr="00FD48D0">
        <w:rPr>
          <w:highlight w:val="yellow"/>
        </w:rPr>
        <w:t xml:space="preserve"> </w:t>
      </w:r>
      <w:r w:rsidR="00345F38" w:rsidRPr="00FD48D0">
        <w:rPr>
          <w:highlight w:val="yellow"/>
        </w:rPr>
        <w:t>9</w:t>
      </w:r>
      <w:r w:rsidRPr="00FD48D0">
        <w:rPr>
          <w:highlight w:val="yellow"/>
        </w:rPr>
        <w:t xml:space="preserve"> </w:t>
      </w:r>
      <w:r w:rsidR="008B23BA" w:rsidRPr="00FD48D0">
        <w:rPr>
          <w:highlight w:val="yellow"/>
        </w:rPr>
        <w:t>van deze overeenkomst</w:t>
      </w:r>
      <w:r w:rsidRPr="00FD48D0">
        <w:rPr>
          <w:highlight w:val="yellow"/>
        </w:rPr>
        <w:t>.</w:t>
      </w:r>
    </w:p>
    <w:p w14:paraId="1EC9BDFF" w14:textId="18CC9CBA" w:rsidR="00F07160" w:rsidRDefault="00DA0706" w:rsidP="00F07160">
      <w:pPr>
        <w:pStyle w:val="Kop1"/>
      </w:pPr>
      <w:r>
        <w:t>C</w:t>
      </w:r>
      <w:r w:rsidR="00F07160">
        <w:t>onfidentialiteit</w:t>
      </w:r>
      <w:r w:rsidR="00B236AF">
        <w:t xml:space="preserve"> en </w:t>
      </w:r>
      <w:r w:rsidR="00CB648F">
        <w:t>bescherming van persoonsgegevens</w:t>
      </w:r>
    </w:p>
    <w:p w14:paraId="3C8AAD7D" w14:textId="72561B77" w:rsidR="00F15B29" w:rsidRPr="001E036D" w:rsidRDefault="00F15B29" w:rsidP="00F15B29">
      <w:r w:rsidRPr="001E036D">
        <w:t xml:space="preserve">De bepalingen uit het </w:t>
      </w:r>
      <w:r w:rsidR="001D3D61">
        <w:t xml:space="preserve">TRDE </w:t>
      </w:r>
      <w:r w:rsidRPr="001E036D">
        <w:t>met betrekking tot vertrouwelijkheid</w:t>
      </w:r>
      <w:r w:rsidR="008C0BA5">
        <w:t>,</w:t>
      </w:r>
      <w:r w:rsidRPr="001E036D">
        <w:t xml:space="preserve"> </w:t>
      </w:r>
      <w:r w:rsidR="00486FEE" w:rsidRPr="001E036D">
        <w:rPr>
          <w:rFonts w:cs="Arial"/>
          <w:lang w:val="nl-NL"/>
        </w:rPr>
        <w:t>evenals</w:t>
      </w:r>
      <w:r w:rsidR="00CA5085" w:rsidRPr="001E036D">
        <w:rPr>
          <w:rFonts w:cs="Arial"/>
          <w:lang w:val="nl-NL"/>
        </w:rPr>
        <w:t xml:space="preserve"> </w:t>
      </w:r>
      <w:r w:rsidR="00486FEE" w:rsidRPr="001E036D">
        <w:rPr>
          <w:rFonts w:cs="Arial"/>
          <w:lang w:val="nl-NL"/>
        </w:rPr>
        <w:t>de vigerende reglementering inzake privacy</w:t>
      </w:r>
      <w:r w:rsidR="008C0BA5">
        <w:rPr>
          <w:rFonts w:cs="Arial"/>
          <w:lang w:val="nl-NL"/>
        </w:rPr>
        <w:t>,</w:t>
      </w:r>
      <w:r w:rsidR="00486FEE" w:rsidRPr="001E036D">
        <w:t xml:space="preserve"> </w:t>
      </w:r>
      <w:r w:rsidRPr="001E036D">
        <w:t xml:space="preserve">zijn van toepassing op alle gegevens en informatie uitgewisseld tussen de Partijen in het kader van onderhavige overeenkomst. </w:t>
      </w:r>
    </w:p>
    <w:p w14:paraId="2F2E63B0" w14:textId="54D8CDD9" w:rsidR="00567D97" w:rsidRPr="001E036D" w:rsidRDefault="00567D97" w:rsidP="00567D97">
      <w:pPr>
        <w:pStyle w:val="Tekst1T1"/>
        <w:jc w:val="both"/>
        <w:rPr>
          <w:rFonts w:ascii="Arial" w:hAnsi="Arial"/>
          <w:sz w:val="22"/>
          <w:lang w:val="nl-BE"/>
        </w:rPr>
      </w:pPr>
      <w:r w:rsidRPr="001E036D">
        <w:rPr>
          <w:rFonts w:ascii="Arial" w:hAnsi="Arial"/>
          <w:lang w:val="nl-BE"/>
        </w:rPr>
        <w:t xml:space="preserve">Bij uitbreiding, en in afwachting van een </w:t>
      </w:r>
      <w:r w:rsidR="001E036D" w:rsidRPr="001E036D">
        <w:rPr>
          <w:rFonts w:ascii="Arial" w:hAnsi="Arial"/>
          <w:lang w:val="nl-BE"/>
        </w:rPr>
        <w:t xml:space="preserve">eventuele </w:t>
      </w:r>
      <w:r w:rsidRPr="001E036D">
        <w:rPr>
          <w:rFonts w:ascii="Arial" w:hAnsi="Arial"/>
          <w:lang w:val="nl-BE"/>
        </w:rPr>
        <w:t xml:space="preserve">specifieke reglementering voor de flexibiliteitsmarkt, worden de vertrouwelijkheidsregels met betrekking tot de meetgegevens, die van toepassing zijn op de meters gebruikt in het kader van de werking van de energiemarkt, eveneens toegepast op de meetgegevens van </w:t>
      </w:r>
      <w:r w:rsidR="001D3D61">
        <w:rPr>
          <w:rFonts w:ascii="Arial" w:hAnsi="Arial"/>
          <w:lang w:val="nl-BE"/>
        </w:rPr>
        <w:t>privé</w:t>
      </w:r>
      <w:r w:rsidRPr="001E036D">
        <w:rPr>
          <w:rFonts w:ascii="Arial" w:hAnsi="Arial"/>
          <w:lang w:val="nl-BE"/>
        </w:rPr>
        <w:t>meters die worden gebruikt in het kader van onderhavige overeenkomst</w:t>
      </w:r>
      <w:r w:rsidRPr="001E036D">
        <w:rPr>
          <w:rFonts w:ascii="Arial" w:hAnsi="Arial"/>
          <w:sz w:val="22"/>
          <w:lang w:val="nl-BE"/>
        </w:rPr>
        <w:t xml:space="preserve">.  </w:t>
      </w:r>
    </w:p>
    <w:p w14:paraId="21B31129" w14:textId="77777777" w:rsidR="00F15B29" w:rsidRDefault="00F15B29" w:rsidP="00F15B29"/>
    <w:p w14:paraId="6DA60A8A" w14:textId="47FD718C" w:rsidR="00F15B29" w:rsidRPr="001E036D" w:rsidRDefault="00F15B29" w:rsidP="00F07160">
      <w:r w:rsidRPr="001E036D">
        <w:t>De informatie die door de FSP wordt uitgewisseld met de DNB in het kader van deze overeenkomst</w:t>
      </w:r>
      <w:r w:rsidR="00567D97" w:rsidRPr="001E036D">
        <w:t>, of die reeds in het bezit is van de DNB</w:t>
      </w:r>
      <w:r w:rsidR="00601694" w:rsidRPr="001E036D">
        <w:t>,</w:t>
      </w:r>
      <w:r w:rsidRPr="001E036D">
        <w:t xml:space="preserve"> dient beschouwd te worden als confidentiële informatie, met uitzondering van de informatie die reeds publiek bekend is. Als uitzondering op deze bepaling mag de DNB de betrokken informatie doorgeven aan de bevoegde overheden</w:t>
      </w:r>
      <w:r w:rsidR="001D3D61">
        <w:t xml:space="preserve"> of aan elke andere instantie die kan aantonen dat zij nood heeft aan deze gegevens of dat zij het recht heeft om over deze gegevens te beschikken. </w:t>
      </w:r>
    </w:p>
    <w:p w14:paraId="15EF3643" w14:textId="77777777" w:rsidR="00BB7909" w:rsidRDefault="00BB7909" w:rsidP="00F07160">
      <w:pPr>
        <w:rPr>
          <w:color w:val="4F81BD" w:themeColor="accent1"/>
        </w:rPr>
      </w:pPr>
    </w:p>
    <w:p w14:paraId="150171FF" w14:textId="0A433982" w:rsidR="00BB7909" w:rsidRDefault="00BB7909" w:rsidP="00BB7909">
      <w:pPr>
        <w:pStyle w:val="Tekst1T1"/>
        <w:jc w:val="both"/>
        <w:rPr>
          <w:rFonts w:ascii="Arial" w:hAnsi="Arial" w:cs="Arial"/>
          <w:szCs w:val="22"/>
          <w:lang w:val="nl-BE"/>
        </w:rPr>
      </w:pPr>
      <w:r w:rsidRPr="001E036D">
        <w:rPr>
          <w:rFonts w:ascii="Arial" w:hAnsi="Arial" w:cs="Arial"/>
          <w:szCs w:val="22"/>
          <w:lang w:val="nl-BE"/>
        </w:rPr>
        <w:t xml:space="preserve">In elk geval blijven de </w:t>
      </w:r>
      <w:proofErr w:type="spellStart"/>
      <w:r w:rsidRPr="001E036D">
        <w:rPr>
          <w:rFonts w:ascii="Arial" w:hAnsi="Arial" w:cs="Arial"/>
          <w:szCs w:val="22"/>
          <w:lang w:val="nl-BE"/>
        </w:rPr>
        <w:t>DNG’s</w:t>
      </w:r>
      <w:proofErr w:type="spellEnd"/>
      <w:r w:rsidRPr="001E036D">
        <w:rPr>
          <w:rFonts w:ascii="Arial" w:hAnsi="Arial" w:cs="Arial"/>
          <w:szCs w:val="22"/>
          <w:lang w:val="nl-BE"/>
        </w:rPr>
        <w:t xml:space="preserve"> eigenaar van hun meetgegevens. </w:t>
      </w:r>
      <w:r w:rsidR="001E036D" w:rsidRPr="001E036D">
        <w:rPr>
          <w:rFonts w:ascii="Arial" w:hAnsi="Arial" w:cs="Arial"/>
          <w:szCs w:val="22"/>
          <w:lang w:val="nl-BE"/>
        </w:rPr>
        <w:t xml:space="preserve">De DNB </w:t>
      </w:r>
      <w:r w:rsidRPr="001E036D">
        <w:rPr>
          <w:rFonts w:ascii="Arial" w:hAnsi="Arial" w:cs="Arial"/>
          <w:szCs w:val="22"/>
          <w:lang w:val="nl-BE"/>
        </w:rPr>
        <w:t xml:space="preserve">maakt slechts gegevens over aan de FSP van een individuele DNG indien de FSP over een bewijs beschikt dat de DNG dit aanvaardt.  </w:t>
      </w:r>
    </w:p>
    <w:p w14:paraId="5001DDC8" w14:textId="0D6C476F" w:rsidR="00CB648F" w:rsidRDefault="00CB648F" w:rsidP="00BB7909">
      <w:pPr>
        <w:pStyle w:val="Tekst1T1"/>
        <w:jc w:val="both"/>
        <w:rPr>
          <w:rFonts w:ascii="Arial" w:hAnsi="Arial" w:cs="Arial"/>
          <w:szCs w:val="22"/>
          <w:lang w:val="nl-BE"/>
        </w:rPr>
      </w:pPr>
    </w:p>
    <w:p w14:paraId="0DFD3808" w14:textId="767DB9FB" w:rsidR="00CB648F" w:rsidRPr="001E036D" w:rsidRDefault="00FF01D0" w:rsidP="00BB7909">
      <w:pPr>
        <w:pStyle w:val="Tekst1T1"/>
        <w:jc w:val="both"/>
        <w:rPr>
          <w:rFonts w:ascii="Arial" w:hAnsi="Arial" w:cs="Arial"/>
          <w:szCs w:val="22"/>
          <w:lang w:val="nl-BE"/>
        </w:rPr>
      </w:pPr>
      <w:r w:rsidRPr="00FF01D0">
        <w:rPr>
          <w:rFonts w:ascii="Arial" w:hAnsi="Arial" w:cs="Arial"/>
          <w:szCs w:val="22"/>
          <w:lang w:val="nl-BE"/>
        </w:rPr>
        <w:t xml:space="preserve">Vooraleer over te gaan tot enige verwerking van persoonsgegevens tussen de Partijen, zullen zij overleg voeren over de toepasselijkheid, </w:t>
      </w:r>
      <w:r w:rsidR="008C5130">
        <w:rPr>
          <w:rFonts w:ascii="Arial" w:hAnsi="Arial" w:cs="Arial"/>
          <w:szCs w:val="22"/>
          <w:lang w:val="nl-BE"/>
        </w:rPr>
        <w:t xml:space="preserve">de </w:t>
      </w:r>
      <w:r w:rsidRPr="00FF01D0">
        <w:rPr>
          <w:rFonts w:ascii="Arial" w:hAnsi="Arial" w:cs="Arial"/>
          <w:szCs w:val="22"/>
          <w:lang w:val="nl-BE"/>
        </w:rPr>
        <w:t xml:space="preserve">gevolgen en </w:t>
      </w:r>
      <w:r w:rsidR="008C5130">
        <w:rPr>
          <w:rFonts w:ascii="Arial" w:hAnsi="Arial" w:cs="Arial"/>
          <w:szCs w:val="22"/>
          <w:lang w:val="nl-BE"/>
        </w:rPr>
        <w:t xml:space="preserve">de </w:t>
      </w:r>
      <w:r w:rsidRPr="00FF01D0">
        <w:rPr>
          <w:rFonts w:ascii="Arial" w:hAnsi="Arial" w:cs="Arial"/>
          <w:szCs w:val="22"/>
          <w:lang w:val="nl-BE"/>
        </w:rPr>
        <w:t>implementatie van de daarop van toepassing zijnde wetgeving en reglementering en in het bijzonder de Europese “Algemene Verordening Gegevensbescherming</w:t>
      </w:r>
      <w:r w:rsidR="003347A4">
        <w:rPr>
          <w:rFonts w:ascii="Arial" w:hAnsi="Arial" w:cs="Arial"/>
          <w:szCs w:val="22"/>
          <w:lang w:val="nl-BE"/>
        </w:rPr>
        <w:t xml:space="preserve">” – (EU) 2016/679 </w:t>
      </w:r>
      <w:r w:rsidRPr="00FF01D0">
        <w:rPr>
          <w:rFonts w:ascii="Arial" w:hAnsi="Arial" w:cs="Arial"/>
          <w:szCs w:val="22"/>
          <w:lang w:val="nl-BE"/>
        </w:rPr>
        <w:t xml:space="preserve">en de mogelijkheid tot verwerking. In geen geval zullen persoonsgegevens verwerkt worden zonder dat </w:t>
      </w:r>
      <w:r w:rsidR="00036A70">
        <w:rPr>
          <w:rFonts w:ascii="Arial" w:hAnsi="Arial" w:cs="Arial"/>
          <w:szCs w:val="22"/>
          <w:lang w:val="nl-BE"/>
        </w:rPr>
        <w:t xml:space="preserve">de </w:t>
      </w:r>
      <w:r w:rsidRPr="00FF01D0">
        <w:rPr>
          <w:rFonts w:ascii="Arial" w:hAnsi="Arial" w:cs="Arial"/>
          <w:szCs w:val="22"/>
          <w:lang w:val="nl-BE"/>
        </w:rPr>
        <w:t>Partijen hierover voorafgaandelijk een overeenkomst hebben afgesloten waarin</w:t>
      </w:r>
      <w:r w:rsidR="009420F2">
        <w:rPr>
          <w:rFonts w:ascii="Arial" w:hAnsi="Arial" w:cs="Arial"/>
          <w:szCs w:val="22"/>
          <w:lang w:val="nl-BE"/>
        </w:rPr>
        <w:t>,</w:t>
      </w:r>
      <w:r w:rsidRPr="00FF01D0">
        <w:rPr>
          <w:rFonts w:ascii="Arial" w:hAnsi="Arial" w:cs="Arial"/>
          <w:szCs w:val="22"/>
          <w:lang w:val="nl-BE"/>
        </w:rPr>
        <w:t xml:space="preserve"> onder meer maar niet hiertoe beperkt, voorwaarden en maatregelen zullen opgenomen worden voor deze verwerking en de bescherming van de betrokken gegevens, rekening houdende met de resp</w:t>
      </w:r>
      <w:r w:rsidR="008A5A12">
        <w:rPr>
          <w:rFonts w:ascii="Arial" w:hAnsi="Arial" w:cs="Arial"/>
          <w:szCs w:val="22"/>
          <w:lang w:val="nl-BE"/>
        </w:rPr>
        <w:t>ectievelijke</w:t>
      </w:r>
      <w:r w:rsidRPr="00FF01D0">
        <w:rPr>
          <w:rFonts w:ascii="Arial" w:hAnsi="Arial" w:cs="Arial"/>
          <w:szCs w:val="22"/>
          <w:lang w:val="nl-BE"/>
        </w:rPr>
        <w:t xml:space="preserve"> rol(</w:t>
      </w:r>
      <w:proofErr w:type="spellStart"/>
      <w:r w:rsidRPr="00FF01D0">
        <w:rPr>
          <w:rFonts w:ascii="Arial" w:hAnsi="Arial" w:cs="Arial"/>
          <w:szCs w:val="22"/>
          <w:lang w:val="nl-BE"/>
        </w:rPr>
        <w:t>len</w:t>
      </w:r>
      <w:proofErr w:type="spellEnd"/>
      <w:r w:rsidRPr="00FF01D0">
        <w:rPr>
          <w:rFonts w:ascii="Arial" w:hAnsi="Arial" w:cs="Arial"/>
          <w:szCs w:val="22"/>
          <w:lang w:val="nl-BE"/>
        </w:rPr>
        <w:t>) van iedere Partij</w:t>
      </w:r>
      <w:r w:rsidR="00DE5429">
        <w:rPr>
          <w:rFonts w:ascii="Arial" w:hAnsi="Arial" w:cs="Arial"/>
          <w:szCs w:val="22"/>
          <w:lang w:val="nl-BE"/>
        </w:rPr>
        <w:t>.</w:t>
      </w:r>
    </w:p>
    <w:p w14:paraId="737F0C50" w14:textId="4002ACCB" w:rsidR="00F07160" w:rsidRDefault="00DB461D" w:rsidP="00F07160">
      <w:pPr>
        <w:pStyle w:val="Kop1"/>
      </w:pPr>
      <w:r>
        <w:t>Vergoeding van de DNB</w:t>
      </w:r>
    </w:p>
    <w:p w14:paraId="2C56166E" w14:textId="1B555C0A" w:rsidR="00DB461D" w:rsidRPr="001E036D" w:rsidRDefault="00DB461D" w:rsidP="00DB461D">
      <w:r>
        <w:t>D</w:t>
      </w:r>
      <w:r w:rsidRPr="001E036D">
        <w:t xml:space="preserve">e kosten van de DNB </w:t>
      </w:r>
      <w:r>
        <w:t xml:space="preserve">veroorzaakt door de uitvoering van de onderhavige overeenkomst zullen </w:t>
      </w:r>
      <w:r w:rsidR="00E23C58">
        <w:t>slechts</w:t>
      </w:r>
      <w:r>
        <w:t xml:space="preserve"> aan de FSP </w:t>
      </w:r>
      <w:r w:rsidRPr="001E036D">
        <w:t xml:space="preserve">worden gefactureerd, voor zover de toerekening van deze kosten wordt voorzien in de distributienettarieven goedgekeurd door de bevoegde regulator. </w:t>
      </w:r>
    </w:p>
    <w:p w14:paraId="6CA0178F" w14:textId="43811588" w:rsidR="00405344" w:rsidRPr="006C050F" w:rsidRDefault="00405344" w:rsidP="001A788C">
      <w:pPr>
        <w:pStyle w:val="Kop1"/>
      </w:pPr>
      <w:r w:rsidRPr="006C050F">
        <w:t xml:space="preserve">Procedure voor </w:t>
      </w:r>
      <w:r w:rsidR="00F47A78">
        <w:t xml:space="preserve">het </w:t>
      </w:r>
      <w:r w:rsidR="00F47A78" w:rsidRPr="006C050F">
        <w:t>niet</w:t>
      </w:r>
      <w:r w:rsidR="00F47A78">
        <w:t>-</w:t>
      </w:r>
      <w:r w:rsidRPr="006C050F">
        <w:t>respecteren van contractuele verplichtingen</w:t>
      </w:r>
    </w:p>
    <w:p w14:paraId="54B4B778" w14:textId="77777777" w:rsidR="00405344" w:rsidRPr="006C050F" w:rsidRDefault="00405344" w:rsidP="00405344">
      <w:r w:rsidRPr="006C050F">
        <w:t xml:space="preserve">Wanneer een van de Partijen vaststelt dat de andere Partij (hierna genoemd: de </w:t>
      </w:r>
      <w:r w:rsidR="006C050F" w:rsidRPr="006C050F">
        <w:t>“</w:t>
      </w:r>
      <w:r w:rsidRPr="006C050F">
        <w:t xml:space="preserve">Partij in gebreke”) een of meerdere clausules van onderhavige overeenkomst niet respecteert, zullen de Partijen samen overleggen om zo snel mogelijk een einde te stellen aan de vastgestelde inbreuk.  </w:t>
      </w:r>
    </w:p>
    <w:p w14:paraId="33EF4D70" w14:textId="77777777" w:rsidR="00405344" w:rsidRPr="006C050F" w:rsidRDefault="00405344" w:rsidP="00405344"/>
    <w:p w14:paraId="7E7A892A" w14:textId="4A23D354" w:rsidR="00405344" w:rsidRPr="006C050F" w:rsidRDefault="00405344" w:rsidP="00405344">
      <w:r w:rsidRPr="006C050F">
        <w:t>Indien de Partij in gebreke</w:t>
      </w:r>
      <w:r w:rsidR="006C050F" w:rsidRPr="006C050F">
        <w:t>,</w:t>
      </w:r>
      <w:r w:rsidRPr="006C050F">
        <w:t xml:space="preserve"> in gebreke blijft om een oplossing te vinden voor de fout en/of de inbreuk, heeft de andere Partij het recht om de Partij </w:t>
      </w:r>
      <w:r w:rsidR="0050776E">
        <w:t xml:space="preserve">in gebreke </w:t>
      </w:r>
      <w:r w:rsidRPr="006C050F">
        <w:t>aan te manen zijn verplichtingen te respecteren en het bewijs te leveren dat zij alle nodige corrigerende maatregelen getroffen heeft.</w:t>
      </w:r>
    </w:p>
    <w:p w14:paraId="3DED1B66" w14:textId="77777777" w:rsidR="00405344" w:rsidRPr="006C050F" w:rsidRDefault="00405344" w:rsidP="00405344"/>
    <w:p w14:paraId="4C40FDBB" w14:textId="49F30253" w:rsidR="00BB7909" w:rsidRDefault="00405344" w:rsidP="00405344">
      <w:pPr>
        <w:pStyle w:val="Tekst1T1"/>
        <w:jc w:val="both"/>
        <w:rPr>
          <w:rFonts w:ascii="Arial" w:hAnsi="Arial"/>
          <w:lang w:val="nl-BE"/>
        </w:rPr>
      </w:pPr>
      <w:r w:rsidRPr="006C050F">
        <w:rPr>
          <w:rFonts w:ascii="Arial" w:hAnsi="Arial"/>
          <w:lang w:val="nl-BE"/>
        </w:rPr>
        <w:t>Indien de Partij in gebreke</w:t>
      </w:r>
      <w:r w:rsidR="006C050F" w:rsidRPr="006C050F">
        <w:rPr>
          <w:rFonts w:ascii="Arial" w:hAnsi="Arial"/>
          <w:lang w:val="nl-BE"/>
        </w:rPr>
        <w:t>,</w:t>
      </w:r>
      <w:r w:rsidRPr="006C050F">
        <w:rPr>
          <w:rFonts w:ascii="Arial" w:hAnsi="Arial"/>
          <w:lang w:val="nl-BE"/>
        </w:rPr>
        <w:t xml:space="preserve"> in gebreke blijft om dit bewijs te leveren en/of de vastgestelde inbreuk zich herhaalt, heeft de andere Partij het recht om, zonder afbreuk te doen aan de andere bepalingen die van toepassing zijn met betrekking tot de verantwoordelijkheden die voortvloeien uit de contracten en andere gevallen van opschorting en/of opzegging voorzien door de van kracht zijnde wetgeving en reglementen, onderhavige overeenkomst op te schorten, zolang de Partij in gebreke geen bewijs aanvoert dat zij alle nodige corrigerende maatregelen getroffen heeft. Deze opschorting wordt gemeld aan de Partij in gebreke door eenvoudig aangetekend schrijven</w:t>
      </w:r>
      <w:r w:rsidR="00E23C58">
        <w:rPr>
          <w:rFonts w:ascii="Arial" w:hAnsi="Arial"/>
          <w:lang w:val="nl-BE"/>
        </w:rPr>
        <w:t xml:space="preserve">. </w:t>
      </w:r>
      <w:r w:rsidRPr="006C050F">
        <w:rPr>
          <w:rFonts w:ascii="Arial" w:hAnsi="Arial"/>
          <w:lang w:val="nl-BE"/>
        </w:rPr>
        <w:t>Nadat de Partij in gebreke het gevraagde bewijs geleverd heeft, zal de andere Partij de opschorting van de overeenkomst zo snel mogelijk ongedaan maken door middel van een aangetekend schrijven</w:t>
      </w:r>
      <w:r w:rsidR="00E23C58">
        <w:rPr>
          <w:rFonts w:ascii="Arial" w:hAnsi="Arial"/>
          <w:lang w:val="nl-BE"/>
        </w:rPr>
        <w:t xml:space="preserve">. </w:t>
      </w:r>
      <w:r w:rsidR="00EA1C12">
        <w:rPr>
          <w:rFonts w:ascii="Arial" w:hAnsi="Arial"/>
          <w:lang w:val="nl-BE"/>
        </w:rPr>
        <w:t xml:space="preserve">Indien de </w:t>
      </w:r>
      <w:r w:rsidR="00C60E5E">
        <w:rPr>
          <w:rFonts w:ascii="Arial" w:hAnsi="Arial"/>
          <w:lang w:val="nl-BE"/>
        </w:rPr>
        <w:t xml:space="preserve">Partij in gebreke het gevraagde bewijs </w:t>
      </w:r>
      <w:r w:rsidR="009B2568">
        <w:rPr>
          <w:rFonts w:ascii="Arial" w:hAnsi="Arial"/>
          <w:lang w:val="nl-BE"/>
        </w:rPr>
        <w:t xml:space="preserve">niet aanlevert, kan de andere Partij </w:t>
      </w:r>
      <w:r w:rsidR="00380862">
        <w:rPr>
          <w:rFonts w:ascii="Arial" w:hAnsi="Arial"/>
          <w:lang w:val="nl-BE"/>
        </w:rPr>
        <w:t>de onderhavige overeenkomst beëindigen</w:t>
      </w:r>
      <w:r w:rsidR="00C8339B">
        <w:rPr>
          <w:rFonts w:ascii="Arial" w:hAnsi="Arial"/>
          <w:lang w:val="nl-BE"/>
        </w:rPr>
        <w:t xml:space="preserve"> </w:t>
      </w:r>
      <w:r w:rsidR="00E40F77">
        <w:rPr>
          <w:rFonts w:ascii="Arial" w:hAnsi="Arial"/>
          <w:lang w:val="nl-BE"/>
        </w:rPr>
        <w:t>overeenkomstig de voorzieningen in artikel 12.</w:t>
      </w:r>
    </w:p>
    <w:p w14:paraId="7452DB6D" w14:textId="77777777" w:rsidR="001A788C" w:rsidRDefault="001A788C" w:rsidP="00405344">
      <w:pPr>
        <w:pStyle w:val="Tekst1T1"/>
        <w:jc w:val="both"/>
        <w:rPr>
          <w:rFonts w:ascii="Arial" w:hAnsi="Arial"/>
          <w:lang w:val="nl-BE"/>
        </w:rPr>
      </w:pPr>
    </w:p>
    <w:p w14:paraId="29B8E567" w14:textId="77777777" w:rsidR="001A788C" w:rsidRPr="006C050F" w:rsidRDefault="001A788C" w:rsidP="00405344">
      <w:pPr>
        <w:pStyle w:val="Tekst1T1"/>
        <w:jc w:val="both"/>
        <w:rPr>
          <w:rFonts w:ascii="Arial" w:hAnsi="Arial"/>
          <w:lang w:val="nl-BE"/>
        </w:rPr>
      </w:pPr>
      <w:r>
        <w:rPr>
          <w:rFonts w:ascii="Arial" w:hAnsi="Arial"/>
          <w:lang w:val="nl-BE"/>
        </w:rPr>
        <w:t xml:space="preserve">Bij uitzondering op de hierboven beschreven procedure zal onderhavige overeenkomst onmiddellijk opgeschort worden van zodra de FSP niet meer beschikt over de vergunning waarvan sprake in artikel 3. </w:t>
      </w:r>
    </w:p>
    <w:p w14:paraId="35455D30" w14:textId="77777777" w:rsidR="00F07160" w:rsidRPr="006C050F" w:rsidRDefault="005E28E5" w:rsidP="00F07160">
      <w:pPr>
        <w:pStyle w:val="Kop1"/>
      </w:pPr>
      <w:r w:rsidRPr="006C050F">
        <w:t xml:space="preserve">Duur van het contract </w:t>
      </w:r>
      <w:r w:rsidR="006C050F" w:rsidRPr="006C050F">
        <w:t>-</w:t>
      </w:r>
      <w:r w:rsidRPr="006C050F">
        <w:t xml:space="preserve"> einde van het contract</w:t>
      </w:r>
    </w:p>
    <w:p w14:paraId="4114B9D4" w14:textId="1B625A0C" w:rsidR="00EA0C8F" w:rsidRDefault="00EA0C8F" w:rsidP="00F07160">
      <w:r>
        <w:t xml:space="preserve">Deze overeenkomst treedt in werking op </w:t>
      </w:r>
      <w:r w:rsidRPr="00EA5F14">
        <w:rPr>
          <w:highlight w:val="yellow"/>
        </w:rPr>
        <w:t>XXX</w:t>
      </w:r>
      <w:r>
        <w:t xml:space="preserve"> voor onbepaalde duur</w:t>
      </w:r>
      <w:r w:rsidR="00E40F77">
        <w:t xml:space="preserve">, </w:t>
      </w:r>
      <w:r w:rsidR="001402BA">
        <w:t xml:space="preserve">tenzij de toepasselijke gewestelijke regelgeving dit anders bepaalt. </w:t>
      </w:r>
      <w:r>
        <w:t xml:space="preserve"> </w:t>
      </w:r>
    </w:p>
    <w:p w14:paraId="5329C71E" w14:textId="77777777" w:rsidR="00EA0C8F" w:rsidRDefault="00EA0C8F" w:rsidP="00F07160"/>
    <w:p w14:paraId="07FE7385" w14:textId="305D11B5" w:rsidR="006559F7" w:rsidRDefault="006559F7" w:rsidP="006559F7">
      <w:r>
        <w:t>Deze overeenkomst en haar bijlagen vervangen en vernietigen alle vorige contracten en afspraken tussen de Partijen die hetzelfde voorwerp hebben.</w:t>
      </w:r>
    </w:p>
    <w:p w14:paraId="32C3F4BA" w14:textId="77777777" w:rsidR="006559F7" w:rsidRDefault="006559F7" w:rsidP="00F07160"/>
    <w:p w14:paraId="04C8A038" w14:textId="4596EDEC" w:rsidR="005E28E5" w:rsidRPr="00EA0C8F" w:rsidRDefault="005E28E5" w:rsidP="00F07160">
      <w:r w:rsidRPr="00EA0C8F">
        <w:t>De FSP kan onderhavige overeenkomst beëindigen mits een vooropzeg van 3 maanden</w:t>
      </w:r>
      <w:r w:rsidR="00A17A74">
        <w:t>,</w:t>
      </w:r>
      <w:r w:rsidRPr="00EA0C8F">
        <w:t xml:space="preserve"> betekend bij aangetekend schrijven. De DNB kan onderhavige overeenkomst beëindigen om </w:t>
      </w:r>
      <w:r w:rsidR="00F445E4">
        <w:t xml:space="preserve">de </w:t>
      </w:r>
      <w:r w:rsidRPr="00EA0C8F">
        <w:t>juiste redenen</w:t>
      </w:r>
      <w:r w:rsidR="00F445E4">
        <w:t>,</w:t>
      </w:r>
      <w:r w:rsidRPr="00EA0C8F">
        <w:t xml:space="preserve"> mits een vooropzeg van 6 maanden.</w:t>
      </w:r>
    </w:p>
    <w:p w14:paraId="1FB7416A" w14:textId="77777777" w:rsidR="00EB1AC3" w:rsidRDefault="00EB1AC3" w:rsidP="00F07160"/>
    <w:p w14:paraId="54553468" w14:textId="67134804" w:rsidR="00EB1AC3" w:rsidRDefault="00EB1AC3" w:rsidP="00F07160">
      <w:r>
        <w:lastRenderedPageBreak/>
        <w:t>Indien de DNB zich genoodzaakt ziet om, ten</w:t>
      </w:r>
      <w:r w:rsidR="00EA0C8F">
        <w:t xml:space="preserve"> </w:t>
      </w:r>
      <w:r>
        <w:t xml:space="preserve">gevolge van wijzigingen van het </w:t>
      </w:r>
      <w:proofErr w:type="spellStart"/>
      <w:r>
        <w:t>regulatoir</w:t>
      </w:r>
      <w:proofErr w:type="spellEnd"/>
      <w:r>
        <w:t xml:space="preserve"> kader, </w:t>
      </w:r>
      <w:r w:rsidR="00B23F2C">
        <w:t xml:space="preserve">in het bijzonder </w:t>
      </w:r>
      <w:r w:rsidR="00DB461D">
        <w:t>het TRDE</w:t>
      </w:r>
      <w:r w:rsidR="00B23F2C">
        <w:t xml:space="preserve">, </w:t>
      </w:r>
      <w:r>
        <w:t xml:space="preserve">de overeenkomst op te zeggen, zal hij een nieuwe overeenkomst ter ondertekening aanbieden die beantwoordt aan de op dat moment geldende regelgeving. </w:t>
      </w:r>
    </w:p>
    <w:p w14:paraId="63C85CC2" w14:textId="77777777" w:rsidR="004A550E" w:rsidRDefault="004A550E" w:rsidP="00F07160"/>
    <w:p w14:paraId="189B7CA9" w14:textId="77777777" w:rsidR="00110D6F" w:rsidRDefault="00110D6F" w:rsidP="00110D6F">
      <w:r>
        <w:t>De datum naast de handtekening van de Partij die als laatste tekent, doet dienst als datum voor de onderhavige overeenkomst.</w:t>
      </w:r>
    </w:p>
    <w:p w14:paraId="200A0E60" w14:textId="77777777" w:rsidR="00EA0C8F" w:rsidRDefault="00EA0C8F" w:rsidP="00110D6F"/>
    <w:p w14:paraId="3CD64E72" w14:textId="77777777" w:rsidR="00EA0C8F" w:rsidRDefault="00EA0C8F" w:rsidP="00110D6F"/>
    <w:p w14:paraId="048C2F87" w14:textId="77777777" w:rsidR="00EA0C8F" w:rsidRDefault="00EA0C8F" w:rsidP="00110D6F"/>
    <w:p w14:paraId="110805CB" w14:textId="77777777" w:rsidR="00EA0C8F" w:rsidRDefault="00EA0C8F" w:rsidP="00110D6F"/>
    <w:p w14:paraId="5286D70B" w14:textId="19F49A8A" w:rsidR="009C24BA" w:rsidRDefault="009C24BA" w:rsidP="00110D6F"/>
    <w:p w14:paraId="57D955EE" w14:textId="47C27556" w:rsidR="009C24BA" w:rsidRDefault="009C24BA" w:rsidP="00110D6F"/>
    <w:p w14:paraId="0A1C30F9" w14:textId="768F73EE" w:rsidR="009C24BA" w:rsidRDefault="009C24BA" w:rsidP="00110D6F"/>
    <w:p w14:paraId="785F697E" w14:textId="7F5F06AC" w:rsidR="009C24BA" w:rsidRDefault="009C24BA" w:rsidP="00110D6F"/>
    <w:p w14:paraId="7B8FF715" w14:textId="5D06D18B" w:rsidR="009C24BA" w:rsidRDefault="009C24BA" w:rsidP="00110D6F"/>
    <w:p w14:paraId="69A1B782" w14:textId="7C09D349" w:rsidR="009C24BA" w:rsidRDefault="009C24BA" w:rsidP="00110D6F"/>
    <w:p w14:paraId="1FFB884A" w14:textId="0FA84099" w:rsidR="009C24BA" w:rsidRDefault="009C24BA" w:rsidP="00110D6F"/>
    <w:p w14:paraId="44C2EC86" w14:textId="04F89A57" w:rsidR="009C24BA" w:rsidRDefault="009C24BA" w:rsidP="00110D6F"/>
    <w:p w14:paraId="50459DEC" w14:textId="19C847EB" w:rsidR="009C24BA" w:rsidRDefault="009C24BA" w:rsidP="00110D6F"/>
    <w:p w14:paraId="337BCC67" w14:textId="2F5D5094" w:rsidR="009C24BA" w:rsidRDefault="009C24BA" w:rsidP="00110D6F"/>
    <w:p w14:paraId="29E90A58" w14:textId="6C3E9DDE" w:rsidR="009C24BA" w:rsidRDefault="009C24BA" w:rsidP="00110D6F"/>
    <w:p w14:paraId="393B4DED" w14:textId="332955BD" w:rsidR="009C24BA" w:rsidRDefault="009C24BA" w:rsidP="00110D6F"/>
    <w:p w14:paraId="53CB08ED" w14:textId="2F226110" w:rsidR="009C24BA" w:rsidRDefault="009C24BA" w:rsidP="00110D6F"/>
    <w:p w14:paraId="54F26B0B" w14:textId="730162BB" w:rsidR="009C24BA" w:rsidRDefault="009C24BA" w:rsidP="00110D6F"/>
    <w:p w14:paraId="173582B1" w14:textId="7AE3835C" w:rsidR="009C24BA" w:rsidRDefault="009C24BA" w:rsidP="00110D6F"/>
    <w:p w14:paraId="05335012" w14:textId="1C936888" w:rsidR="009C24BA" w:rsidRDefault="009C24BA" w:rsidP="00110D6F"/>
    <w:p w14:paraId="5E1DE067" w14:textId="3B36B5B2" w:rsidR="009C24BA" w:rsidRDefault="009C24BA" w:rsidP="00110D6F"/>
    <w:p w14:paraId="3CE5452E" w14:textId="77777777" w:rsidR="009C24BA" w:rsidRDefault="009C24BA" w:rsidP="00110D6F"/>
    <w:p w14:paraId="0172AE63" w14:textId="77777777" w:rsidR="00110D6F" w:rsidRDefault="00110D6F" w:rsidP="00110D6F">
      <w:r>
        <w:t>____________________________</w:t>
      </w:r>
    </w:p>
    <w:p w14:paraId="2798C271" w14:textId="77777777" w:rsidR="00110D6F" w:rsidRDefault="00110D6F" w:rsidP="00110D6F"/>
    <w:p w14:paraId="2A681E8D" w14:textId="77777777" w:rsidR="00110D6F" w:rsidRDefault="00110D6F" w:rsidP="00110D6F">
      <w:r>
        <w:t>De Partijen gaan onherroepelijk akkoord met de clausules van de onderhavige overeenkomst waarvan ze erkennen kennis te hebben genomen.</w:t>
      </w:r>
    </w:p>
    <w:p w14:paraId="7768E0B9" w14:textId="77777777" w:rsidR="00EA0C8F" w:rsidRDefault="00EA0C8F" w:rsidP="00110D6F"/>
    <w:p w14:paraId="0D820512" w14:textId="77777777" w:rsidR="00EA0C8F" w:rsidRDefault="00EA0C8F" w:rsidP="00110D6F"/>
    <w:p w14:paraId="500935F7" w14:textId="77777777" w:rsidR="00EA0C8F" w:rsidRDefault="00EA0C8F" w:rsidP="00110D6F"/>
    <w:p w14:paraId="0C6827F0" w14:textId="77777777" w:rsidR="00110D6F" w:rsidRDefault="00110D6F" w:rsidP="00110D6F">
      <w:r>
        <w:t>Opgemaakt in twee exemplaren. Elk van de Partijen verklaart een exemplaar ontvangen te hebben.</w:t>
      </w:r>
    </w:p>
    <w:p w14:paraId="12D0E88C" w14:textId="77777777" w:rsidR="00110D6F" w:rsidRDefault="00110D6F" w:rsidP="00110D6F"/>
    <w:p w14:paraId="73760BD6" w14:textId="77777777" w:rsidR="00110D6F" w:rsidRDefault="00110D6F" w:rsidP="00110D6F">
      <w:pPr>
        <w:jc w:val="right"/>
      </w:pPr>
      <w:r>
        <w:t>Gedaan te __________, op ________</w:t>
      </w:r>
    </w:p>
    <w:p w14:paraId="12B10DCD" w14:textId="77777777" w:rsidR="00110D6F" w:rsidRDefault="00110D6F" w:rsidP="00110D6F"/>
    <w:p w14:paraId="2D6B2B18" w14:textId="77777777" w:rsidR="00110D6F" w:rsidRDefault="00110D6F" w:rsidP="00110D6F"/>
    <w:p w14:paraId="03610559" w14:textId="77777777" w:rsidR="00110D6F" w:rsidRDefault="00110D6F" w:rsidP="00110D6F"/>
    <w:p w14:paraId="3C16E1B4" w14:textId="77777777" w:rsidR="00110D6F" w:rsidRDefault="00110D6F" w:rsidP="00110D6F">
      <w:r>
        <w:t xml:space="preserve">Voor </w:t>
      </w:r>
      <w:r w:rsidR="00EA0C8F">
        <w:t>de DNB</w:t>
      </w:r>
      <w:r>
        <w:t>,</w:t>
      </w:r>
      <w:r>
        <w:tab/>
        <w:t xml:space="preserve">  </w:t>
      </w:r>
      <w:r>
        <w:tab/>
      </w:r>
      <w:r>
        <w:tab/>
      </w:r>
      <w:r>
        <w:tab/>
      </w:r>
      <w:r w:rsidR="00EA0C8F">
        <w:tab/>
      </w:r>
      <w:r w:rsidR="00EA0C8F">
        <w:tab/>
      </w:r>
      <w:r>
        <w:t>Voor de FSP,</w:t>
      </w:r>
    </w:p>
    <w:p w14:paraId="3AAB761D" w14:textId="4DA32429" w:rsidR="00953B4A" w:rsidRDefault="00953B4A" w:rsidP="00771FF0">
      <w:pPr>
        <w:rPr>
          <w:b/>
          <w:color w:val="FF0000"/>
          <w:sz w:val="22"/>
          <w:u w:val="single"/>
        </w:rPr>
        <w:sectPr w:rsidR="00953B4A" w:rsidSect="00030C59">
          <w:footerReference w:type="default" r:id="rId11"/>
          <w:pgSz w:w="11906" w:h="16838"/>
          <w:pgMar w:top="1440" w:right="1440" w:bottom="1440" w:left="1440" w:header="709" w:footer="709" w:gutter="0"/>
          <w:cols w:space="708"/>
          <w:docGrid w:linePitch="360"/>
        </w:sectPr>
      </w:pPr>
    </w:p>
    <w:tbl>
      <w:tblPr>
        <w:tblW w:w="78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1702"/>
        <w:gridCol w:w="6111"/>
      </w:tblGrid>
      <w:tr w:rsidR="00836AA3" w:rsidRPr="00FA3FF7" w14:paraId="4A35AD6D" w14:textId="77777777" w:rsidTr="00836AA3">
        <w:trPr>
          <w:trHeight w:val="451"/>
        </w:trPr>
        <w:tc>
          <w:tcPr>
            <w:tcW w:w="1702" w:type="dxa"/>
          </w:tcPr>
          <w:p w14:paraId="1FA0077B" w14:textId="77777777" w:rsidR="00836AA3" w:rsidRPr="00C04BD1" w:rsidRDefault="00836AA3" w:rsidP="00836AA3">
            <w:pPr>
              <w:spacing w:before="120" w:after="120"/>
              <w:rPr>
                <w:b/>
                <w:sz w:val="28"/>
                <w:szCs w:val="28"/>
                <w:u w:val="single"/>
                <w:lang w:val="fr-BE"/>
              </w:rPr>
            </w:pPr>
            <w:r w:rsidRPr="00110D6F">
              <w:rPr>
                <w:b/>
                <w:sz w:val="28"/>
                <w:szCs w:val="28"/>
                <w:u w:val="single"/>
              </w:rPr>
              <w:lastRenderedPageBreak/>
              <w:br w:type="page"/>
            </w:r>
            <w:proofErr w:type="spellStart"/>
            <w:r>
              <w:rPr>
                <w:b/>
                <w:sz w:val="28"/>
                <w:szCs w:val="28"/>
                <w:u w:val="single"/>
                <w:lang w:val="fr-BE"/>
              </w:rPr>
              <w:t>Bijlage</w:t>
            </w:r>
            <w:proofErr w:type="spellEnd"/>
            <w:r w:rsidRPr="00C04BD1">
              <w:rPr>
                <w:b/>
                <w:sz w:val="28"/>
                <w:szCs w:val="28"/>
                <w:u w:val="single"/>
                <w:lang w:val="fr-BE"/>
              </w:rPr>
              <w:t xml:space="preserve"> 1</w:t>
            </w:r>
          </w:p>
        </w:tc>
        <w:tc>
          <w:tcPr>
            <w:tcW w:w="6111" w:type="dxa"/>
            <w:shd w:val="clear" w:color="auto" w:fill="E0E0E0"/>
          </w:tcPr>
          <w:p w14:paraId="594BC0F0" w14:textId="77777777" w:rsidR="00836AA3" w:rsidRPr="00FA3FF7" w:rsidRDefault="00836AA3" w:rsidP="00836AA3">
            <w:pPr>
              <w:spacing w:before="120" w:after="120"/>
              <w:rPr>
                <w:b/>
                <w:sz w:val="28"/>
                <w:szCs w:val="28"/>
                <w:u w:val="single"/>
              </w:rPr>
            </w:pPr>
            <w:r>
              <w:rPr>
                <w:b/>
                <w:sz w:val="28"/>
                <w:szCs w:val="28"/>
                <w:u w:val="single"/>
              </w:rPr>
              <w:t>Dienstencatalogus</w:t>
            </w:r>
          </w:p>
        </w:tc>
      </w:tr>
    </w:tbl>
    <w:p w14:paraId="084AFA34" w14:textId="77777777" w:rsidR="00836AA3" w:rsidRPr="00FA3FF7" w:rsidRDefault="00836AA3" w:rsidP="00836AA3">
      <w:pPr>
        <w:ind w:left="142"/>
      </w:pPr>
    </w:p>
    <w:p w14:paraId="3F6D5AEE" w14:textId="77777777" w:rsidR="00836AA3" w:rsidRPr="00FA3FF7" w:rsidRDefault="00836AA3" w:rsidP="00836AA3">
      <w:pPr>
        <w:ind w:left="142"/>
      </w:pPr>
    </w:p>
    <w:tbl>
      <w:tblPr>
        <w:tblStyle w:val="Tabelraster"/>
        <w:tblW w:w="13291" w:type="dxa"/>
        <w:tblLayout w:type="fixed"/>
        <w:tblLook w:val="04A0" w:firstRow="1" w:lastRow="0" w:firstColumn="1" w:lastColumn="0" w:noHBand="0" w:noVBand="1"/>
      </w:tblPr>
      <w:tblGrid>
        <w:gridCol w:w="2122"/>
        <w:gridCol w:w="1417"/>
        <w:gridCol w:w="1843"/>
        <w:gridCol w:w="4649"/>
        <w:gridCol w:w="3260"/>
      </w:tblGrid>
      <w:tr w:rsidR="00836AA3" w14:paraId="22101735" w14:textId="77777777" w:rsidTr="00836AA3">
        <w:tc>
          <w:tcPr>
            <w:tcW w:w="2122" w:type="dxa"/>
          </w:tcPr>
          <w:p w14:paraId="61464595" w14:textId="77777777" w:rsidR="00836AA3" w:rsidRPr="00853DC3" w:rsidRDefault="00836AA3" w:rsidP="00836AA3">
            <w:pPr>
              <w:pStyle w:val="bodytext"/>
              <w:jc w:val="center"/>
              <w:rPr>
                <w:b/>
                <w:bCs/>
                <w:color w:val="auto"/>
                <w:sz w:val="20"/>
                <w:lang w:val="nl-BE"/>
              </w:rPr>
            </w:pPr>
            <w:r w:rsidRPr="00853DC3">
              <w:rPr>
                <w:b/>
                <w:bCs/>
                <w:color w:val="auto"/>
                <w:sz w:val="20"/>
                <w:lang w:val="nl-BE"/>
              </w:rPr>
              <w:t>A</w:t>
            </w:r>
          </w:p>
        </w:tc>
        <w:tc>
          <w:tcPr>
            <w:tcW w:w="1417" w:type="dxa"/>
          </w:tcPr>
          <w:p w14:paraId="5FE85F43" w14:textId="77777777" w:rsidR="00836AA3" w:rsidRPr="00853DC3" w:rsidRDefault="00836AA3" w:rsidP="00836AA3">
            <w:pPr>
              <w:pStyle w:val="bodytext"/>
              <w:jc w:val="center"/>
              <w:rPr>
                <w:b/>
                <w:bCs/>
                <w:color w:val="auto"/>
                <w:sz w:val="20"/>
                <w:lang w:val="nl-BE"/>
              </w:rPr>
            </w:pPr>
            <w:r>
              <w:rPr>
                <w:b/>
                <w:bCs/>
                <w:color w:val="auto"/>
                <w:sz w:val="20"/>
                <w:lang w:val="nl-BE"/>
              </w:rPr>
              <w:t>B</w:t>
            </w:r>
          </w:p>
        </w:tc>
        <w:tc>
          <w:tcPr>
            <w:tcW w:w="1843" w:type="dxa"/>
          </w:tcPr>
          <w:p w14:paraId="709B6A06" w14:textId="77777777" w:rsidR="00836AA3" w:rsidRPr="00853DC3" w:rsidDel="00950BFF" w:rsidRDefault="00836AA3" w:rsidP="00836AA3">
            <w:pPr>
              <w:pStyle w:val="bodytext"/>
              <w:jc w:val="center"/>
              <w:rPr>
                <w:b/>
                <w:bCs/>
                <w:color w:val="auto"/>
                <w:sz w:val="20"/>
                <w:lang w:val="nl-BE"/>
              </w:rPr>
            </w:pPr>
            <w:r>
              <w:rPr>
                <w:b/>
                <w:bCs/>
                <w:color w:val="auto"/>
                <w:sz w:val="20"/>
                <w:lang w:val="nl-BE"/>
              </w:rPr>
              <w:t>C</w:t>
            </w:r>
          </w:p>
        </w:tc>
        <w:tc>
          <w:tcPr>
            <w:tcW w:w="4649" w:type="dxa"/>
          </w:tcPr>
          <w:p w14:paraId="153F5C79" w14:textId="77777777" w:rsidR="00836AA3" w:rsidRPr="00853DC3" w:rsidRDefault="00836AA3" w:rsidP="00836AA3">
            <w:pPr>
              <w:pStyle w:val="bodytext"/>
              <w:jc w:val="center"/>
              <w:rPr>
                <w:b/>
                <w:bCs/>
                <w:color w:val="auto"/>
                <w:sz w:val="20"/>
                <w:lang w:val="nl-BE"/>
              </w:rPr>
            </w:pPr>
            <w:r>
              <w:rPr>
                <w:b/>
                <w:bCs/>
                <w:color w:val="auto"/>
                <w:sz w:val="20"/>
                <w:lang w:val="nl-BE"/>
              </w:rPr>
              <w:t>D</w:t>
            </w:r>
          </w:p>
        </w:tc>
        <w:tc>
          <w:tcPr>
            <w:tcW w:w="3260" w:type="dxa"/>
          </w:tcPr>
          <w:p w14:paraId="3ACB3DD6" w14:textId="77777777" w:rsidR="00836AA3" w:rsidRPr="00853DC3" w:rsidRDefault="00836AA3" w:rsidP="00836AA3">
            <w:pPr>
              <w:pStyle w:val="bodytext"/>
              <w:jc w:val="center"/>
              <w:rPr>
                <w:b/>
                <w:bCs/>
                <w:color w:val="auto"/>
                <w:sz w:val="20"/>
                <w:lang w:val="nl-BE"/>
              </w:rPr>
            </w:pPr>
            <w:r>
              <w:rPr>
                <w:b/>
                <w:bCs/>
                <w:color w:val="auto"/>
                <w:sz w:val="20"/>
                <w:lang w:val="nl-BE"/>
              </w:rPr>
              <w:t>E</w:t>
            </w:r>
          </w:p>
        </w:tc>
      </w:tr>
      <w:tr w:rsidR="00836AA3" w14:paraId="51631FF1" w14:textId="77777777" w:rsidTr="00836AA3">
        <w:tc>
          <w:tcPr>
            <w:tcW w:w="2122" w:type="dxa"/>
          </w:tcPr>
          <w:p w14:paraId="5E570546" w14:textId="77777777" w:rsidR="00836AA3" w:rsidRPr="00853DC3" w:rsidRDefault="00836AA3" w:rsidP="00836AA3">
            <w:pPr>
              <w:pStyle w:val="bodytext"/>
              <w:jc w:val="center"/>
              <w:rPr>
                <w:b/>
                <w:bCs/>
                <w:color w:val="auto"/>
                <w:sz w:val="20"/>
                <w:lang w:val="nl-BE"/>
              </w:rPr>
            </w:pPr>
            <w:r w:rsidRPr="00853DC3">
              <w:rPr>
                <w:b/>
                <w:bCs/>
                <w:color w:val="auto"/>
                <w:sz w:val="20"/>
                <w:lang w:val="nl-BE"/>
              </w:rPr>
              <w:t>Flexibiliteitsdienst</w:t>
            </w:r>
          </w:p>
        </w:tc>
        <w:tc>
          <w:tcPr>
            <w:tcW w:w="1417" w:type="dxa"/>
          </w:tcPr>
          <w:p w14:paraId="4B723109" w14:textId="77777777" w:rsidR="00836AA3" w:rsidRPr="00853DC3" w:rsidRDefault="00836AA3" w:rsidP="00836AA3">
            <w:pPr>
              <w:pStyle w:val="bodytext"/>
              <w:jc w:val="center"/>
              <w:rPr>
                <w:b/>
                <w:bCs/>
                <w:color w:val="auto"/>
                <w:sz w:val="20"/>
                <w:lang w:val="nl-BE"/>
              </w:rPr>
            </w:pPr>
            <w:r w:rsidRPr="00853DC3">
              <w:rPr>
                <w:b/>
                <w:bCs/>
                <w:color w:val="auto"/>
                <w:sz w:val="20"/>
                <w:lang w:val="nl-BE"/>
              </w:rPr>
              <w:t>FRP</w:t>
            </w:r>
          </w:p>
        </w:tc>
        <w:tc>
          <w:tcPr>
            <w:tcW w:w="1843" w:type="dxa"/>
          </w:tcPr>
          <w:p w14:paraId="2FD2C6E9" w14:textId="77777777" w:rsidR="00836AA3" w:rsidRDefault="00836AA3" w:rsidP="00836AA3">
            <w:pPr>
              <w:pStyle w:val="bodytext"/>
              <w:jc w:val="center"/>
              <w:rPr>
                <w:b/>
                <w:bCs/>
                <w:color w:val="auto"/>
                <w:sz w:val="20"/>
                <w:lang w:val="nl-BE"/>
              </w:rPr>
            </w:pPr>
            <w:bookmarkStart w:id="6" w:name="_Hlk42066981"/>
            <w:r w:rsidRPr="00853DC3">
              <w:rPr>
                <w:b/>
                <w:bCs/>
                <w:color w:val="auto"/>
                <w:sz w:val="20"/>
                <w:lang w:val="nl-BE"/>
              </w:rPr>
              <w:t>Algemene voorwaarden voor Flexibiliteits</w:t>
            </w:r>
            <w:r>
              <w:rPr>
                <w:b/>
                <w:bCs/>
                <w:color w:val="auto"/>
                <w:sz w:val="20"/>
                <w:lang w:val="nl-BE"/>
              </w:rPr>
              <w:t>-</w:t>
            </w:r>
            <w:r w:rsidRPr="00853DC3">
              <w:rPr>
                <w:b/>
                <w:bCs/>
                <w:color w:val="auto"/>
                <w:sz w:val="20"/>
                <w:lang w:val="nl-BE"/>
              </w:rPr>
              <w:t xml:space="preserve">diensten </w:t>
            </w:r>
            <w:bookmarkEnd w:id="6"/>
          </w:p>
          <w:p w14:paraId="76D0019B" w14:textId="683AB8DC" w:rsidR="00A36C7C" w:rsidRPr="00853DC3" w:rsidRDefault="00A36C7C" w:rsidP="00836AA3">
            <w:pPr>
              <w:pStyle w:val="bodytext"/>
              <w:jc w:val="center"/>
              <w:rPr>
                <w:b/>
                <w:bCs/>
                <w:color w:val="auto"/>
                <w:sz w:val="20"/>
                <w:lang w:val="nl-BE"/>
              </w:rPr>
            </w:pPr>
          </w:p>
        </w:tc>
        <w:tc>
          <w:tcPr>
            <w:tcW w:w="4649" w:type="dxa"/>
          </w:tcPr>
          <w:p w14:paraId="24DA8142" w14:textId="77777777" w:rsidR="00836AA3" w:rsidRPr="00853DC3" w:rsidRDefault="00836AA3" w:rsidP="00836AA3">
            <w:pPr>
              <w:pStyle w:val="bodytext"/>
              <w:jc w:val="center"/>
              <w:rPr>
                <w:b/>
                <w:bCs/>
                <w:color w:val="auto"/>
                <w:sz w:val="20"/>
                <w:lang w:val="nl-NL"/>
              </w:rPr>
            </w:pPr>
            <w:r>
              <w:rPr>
                <w:b/>
                <w:bCs/>
                <w:color w:val="auto"/>
                <w:sz w:val="20"/>
                <w:lang w:val="nl-BE"/>
              </w:rPr>
              <w:t xml:space="preserve">Specifieke voorwaarden voor deelname aan de Flexibiliteitsdienst </w:t>
            </w:r>
          </w:p>
        </w:tc>
        <w:tc>
          <w:tcPr>
            <w:tcW w:w="3260" w:type="dxa"/>
          </w:tcPr>
          <w:p w14:paraId="6D9D94D2" w14:textId="77777777" w:rsidR="00836AA3" w:rsidRPr="00853DC3" w:rsidRDefault="00836AA3" w:rsidP="00836AA3">
            <w:pPr>
              <w:pStyle w:val="bodytext"/>
              <w:jc w:val="center"/>
              <w:rPr>
                <w:b/>
                <w:bCs/>
                <w:color w:val="auto"/>
                <w:sz w:val="20"/>
                <w:lang w:val="nl-BE"/>
              </w:rPr>
            </w:pPr>
            <w:r>
              <w:rPr>
                <w:b/>
                <w:bCs/>
                <w:color w:val="auto"/>
                <w:sz w:val="20"/>
                <w:lang w:val="nl-BE"/>
              </w:rPr>
              <w:t>Bijkomende informatie</w:t>
            </w:r>
          </w:p>
        </w:tc>
      </w:tr>
      <w:tr w:rsidR="00836AA3" w:rsidRPr="00847B7C" w14:paraId="430B4D94" w14:textId="77777777" w:rsidTr="00836AA3">
        <w:tc>
          <w:tcPr>
            <w:tcW w:w="2122" w:type="dxa"/>
          </w:tcPr>
          <w:p w14:paraId="62CD50DE" w14:textId="77777777" w:rsidR="00836AA3" w:rsidRPr="00F73148" w:rsidRDefault="00836AA3" w:rsidP="00F73148">
            <w:pPr>
              <w:pStyle w:val="bodytext"/>
              <w:jc w:val="center"/>
              <w:rPr>
                <w:b/>
                <w:bCs/>
                <w:color w:val="auto"/>
                <w:sz w:val="20"/>
                <w:lang w:val="nl-BE"/>
              </w:rPr>
            </w:pPr>
            <w:r w:rsidRPr="00F73148">
              <w:rPr>
                <w:b/>
                <w:bCs/>
                <w:color w:val="auto"/>
                <w:sz w:val="20"/>
                <w:lang w:val="nl-BE"/>
              </w:rPr>
              <w:t>Frequentie-begrenzingsreserve (FCR)</w:t>
            </w:r>
          </w:p>
        </w:tc>
        <w:tc>
          <w:tcPr>
            <w:tcW w:w="1417" w:type="dxa"/>
          </w:tcPr>
          <w:p w14:paraId="79A43933" w14:textId="77777777" w:rsidR="00836AA3" w:rsidRPr="00384966" w:rsidRDefault="00836AA3" w:rsidP="00836AA3">
            <w:pPr>
              <w:pStyle w:val="bodytext"/>
              <w:jc w:val="both"/>
              <w:rPr>
                <w:color w:val="auto"/>
                <w:szCs w:val="16"/>
                <w:lang w:val="nl-BE"/>
              </w:rPr>
            </w:pPr>
            <w:r w:rsidRPr="00384966">
              <w:rPr>
                <w:color w:val="auto"/>
                <w:szCs w:val="16"/>
                <w:lang w:val="nl-BE"/>
              </w:rPr>
              <w:t>Elia Transmission Belgium</w:t>
            </w:r>
          </w:p>
        </w:tc>
        <w:tc>
          <w:tcPr>
            <w:tcW w:w="1843" w:type="dxa"/>
          </w:tcPr>
          <w:p w14:paraId="2C335097" w14:textId="77777777" w:rsidR="00836AA3" w:rsidRPr="00384966" w:rsidRDefault="00836AA3" w:rsidP="00836AA3">
            <w:pPr>
              <w:pStyle w:val="bodytext"/>
              <w:jc w:val="both"/>
              <w:rPr>
                <w:color w:val="auto"/>
                <w:szCs w:val="16"/>
                <w:lang w:val="nl-BE"/>
              </w:rPr>
            </w:pPr>
            <w:r w:rsidRPr="00384966">
              <w:rPr>
                <w:color w:val="auto"/>
                <w:szCs w:val="16"/>
                <w:lang w:val="nl-BE"/>
              </w:rPr>
              <w:t xml:space="preserve">Zie </w:t>
            </w:r>
            <w:hyperlink r:id="rId12" w:history="1">
              <w:r w:rsidRPr="00384966">
                <w:rPr>
                  <w:rStyle w:val="Hyperlink"/>
                  <w:szCs w:val="16"/>
                  <w:lang w:val="nl-BE"/>
                </w:rPr>
                <w:t>www.elia.be</w:t>
              </w:r>
            </w:hyperlink>
          </w:p>
          <w:p w14:paraId="47A77C75" w14:textId="77777777" w:rsidR="00836AA3" w:rsidRPr="00384966" w:rsidRDefault="00836AA3" w:rsidP="00836AA3">
            <w:pPr>
              <w:pStyle w:val="bodytext"/>
              <w:jc w:val="both"/>
              <w:rPr>
                <w:color w:val="auto"/>
                <w:szCs w:val="16"/>
                <w:lang w:val="nl-BE"/>
              </w:rPr>
            </w:pPr>
          </w:p>
        </w:tc>
        <w:tc>
          <w:tcPr>
            <w:tcW w:w="4649" w:type="dxa"/>
          </w:tcPr>
          <w:p w14:paraId="19707A97" w14:textId="5708F5E1" w:rsidR="0009691D" w:rsidRDefault="007A54BE" w:rsidP="0009691D">
            <w:pPr>
              <w:pStyle w:val="bodytext"/>
              <w:rPr>
                <w:color w:val="auto"/>
                <w:lang w:val="nl-NL"/>
              </w:rPr>
            </w:pPr>
            <w:r>
              <w:rPr>
                <w:color w:val="auto"/>
                <w:lang w:val="nl-NL"/>
              </w:rPr>
              <w:t xml:space="preserve">De hiernavolgende voorwaarden gelden slechts voor zover </w:t>
            </w:r>
            <w:r w:rsidR="00CE6F2A">
              <w:rPr>
                <w:color w:val="auto"/>
                <w:lang w:val="nl-NL"/>
              </w:rPr>
              <w:t xml:space="preserve">volgens de </w:t>
            </w:r>
            <w:r w:rsidR="00817649">
              <w:rPr>
                <w:color w:val="auto"/>
                <w:lang w:val="nl-NL"/>
              </w:rPr>
              <w:t xml:space="preserve">toepasselijke </w:t>
            </w:r>
            <w:r w:rsidR="00CE6F2A">
              <w:rPr>
                <w:color w:val="auto"/>
                <w:lang w:val="nl-NL"/>
              </w:rPr>
              <w:t xml:space="preserve">gewestelijke reglementering </w:t>
            </w:r>
            <w:r w:rsidR="0069756A">
              <w:rPr>
                <w:color w:val="auto"/>
                <w:lang w:val="nl-NL"/>
              </w:rPr>
              <w:t xml:space="preserve">de onderhavige overeenkomst </w:t>
            </w:r>
            <w:r w:rsidR="001973FF">
              <w:rPr>
                <w:color w:val="auto"/>
                <w:lang w:val="nl-NL"/>
              </w:rPr>
              <w:t>verplicht</w:t>
            </w:r>
            <w:r w:rsidR="0069756A">
              <w:rPr>
                <w:color w:val="auto"/>
                <w:lang w:val="nl-NL"/>
              </w:rPr>
              <w:t xml:space="preserve"> is op de FCR Flexibili</w:t>
            </w:r>
            <w:r w:rsidR="00922654">
              <w:rPr>
                <w:color w:val="auto"/>
                <w:lang w:val="nl-NL"/>
              </w:rPr>
              <w:t>teitsdienst.</w:t>
            </w:r>
          </w:p>
          <w:p w14:paraId="29199F6A" w14:textId="77777777" w:rsidR="00E27510" w:rsidRDefault="00836AA3" w:rsidP="00E27510">
            <w:pPr>
              <w:pStyle w:val="bodytext"/>
              <w:numPr>
                <w:ilvl w:val="0"/>
                <w:numId w:val="51"/>
              </w:numPr>
              <w:rPr>
                <w:color w:val="auto"/>
                <w:lang w:val="nl-NL"/>
              </w:rPr>
            </w:pPr>
            <w:r w:rsidRPr="00384966">
              <w:rPr>
                <w:color w:val="auto"/>
                <w:lang w:val="nl-BE"/>
              </w:rPr>
              <w:t xml:space="preserve">Voor SDP-F’s aangesloten op het HS-net: alvorens een SDP-F in de Pool van de FSP </w:t>
            </w:r>
            <w:r>
              <w:rPr>
                <w:color w:val="auto"/>
                <w:lang w:val="nl-BE"/>
              </w:rPr>
              <w:t xml:space="preserve">toe te voegen, moet </w:t>
            </w:r>
            <w:r w:rsidRPr="003A3450">
              <w:rPr>
                <w:color w:val="auto"/>
                <w:lang w:val="nl-NL"/>
              </w:rPr>
              <w:t>de DNB</w:t>
            </w:r>
            <w:r>
              <w:rPr>
                <w:color w:val="auto"/>
                <w:lang w:val="nl-NL"/>
              </w:rPr>
              <w:t xml:space="preserve">, op vraag van </w:t>
            </w:r>
            <w:r w:rsidRPr="003A3450">
              <w:rPr>
                <w:color w:val="auto"/>
                <w:lang w:val="nl-NL"/>
              </w:rPr>
              <w:t>de DNG</w:t>
            </w:r>
            <w:r>
              <w:rPr>
                <w:color w:val="auto"/>
                <w:lang w:val="nl-NL"/>
              </w:rPr>
              <w:t xml:space="preserve">, </w:t>
            </w:r>
            <w:r w:rsidRPr="003A3450">
              <w:rPr>
                <w:color w:val="auto"/>
                <w:lang w:val="nl-NL"/>
              </w:rPr>
              <w:t>het document Customer Contract Check (CCC) afleveren, waarin de relevante elementen van het aansluitingscontract opgenomen zijn. De DNB levert dit document af binnen een termijn van maximaal 15 werkdagen na ontvangst van de aanvraag.</w:t>
            </w:r>
          </w:p>
          <w:p w14:paraId="56E07AA0" w14:textId="44E4CFB7" w:rsidR="00836AA3" w:rsidRPr="00CF277E" w:rsidRDefault="00836AA3" w:rsidP="00E27510">
            <w:pPr>
              <w:pStyle w:val="bodytext"/>
              <w:ind w:left="360"/>
              <w:rPr>
                <w:color w:val="auto"/>
                <w:lang w:val="nl-NL"/>
              </w:rPr>
            </w:pPr>
            <w:r w:rsidRPr="00E27510">
              <w:rPr>
                <w:color w:val="auto"/>
                <w:lang w:val="nl-NL"/>
              </w:rPr>
              <w:t>Het gevraagd flexibel vermogen kan in geen geval het aansluitingsvermogen overschrijden. Voor de SDP-F’s aangesloten op HS betreft dit het contractueel aansluitingsvermogen.</w:t>
            </w:r>
          </w:p>
        </w:tc>
        <w:tc>
          <w:tcPr>
            <w:tcW w:w="3260" w:type="dxa"/>
          </w:tcPr>
          <w:p w14:paraId="36FD0A9A" w14:textId="35E9EEB9" w:rsidR="00922654" w:rsidRDefault="00922654" w:rsidP="00836AA3">
            <w:pPr>
              <w:pStyle w:val="bodytext"/>
              <w:numPr>
                <w:ilvl w:val="0"/>
                <w:numId w:val="51"/>
              </w:numPr>
              <w:rPr>
                <w:color w:val="auto"/>
                <w:lang w:val="nl-BE"/>
              </w:rPr>
            </w:pPr>
            <w:r>
              <w:rPr>
                <w:color w:val="auto"/>
                <w:lang w:val="nl-BE"/>
              </w:rPr>
              <w:t>De SDP-F</w:t>
            </w:r>
            <w:r w:rsidR="006E3AC7">
              <w:rPr>
                <w:color w:val="auto"/>
                <w:lang w:val="nl-BE"/>
              </w:rPr>
              <w:t xml:space="preserve">’s aangesloten op het laagspanningsnet en </w:t>
            </w:r>
            <w:r w:rsidR="000732DC">
              <w:rPr>
                <w:color w:val="auto"/>
                <w:lang w:val="nl-BE"/>
              </w:rPr>
              <w:t xml:space="preserve">de SDP-F’s aangesloten op het hoogspanningsnet kunnen </w:t>
            </w:r>
            <w:r w:rsidR="00F110E9">
              <w:rPr>
                <w:color w:val="auto"/>
                <w:lang w:val="nl-BE"/>
              </w:rPr>
              <w:t>deelnemen aan de FCR Flexibiliteitsdienst</w:t>
            </w:r>
            <w:r w:rsidR="00BC66A9">
              <w:rPr>
                <w:color w:val="auto"/>
                <w:lang w:val="nl-BE"/>
              </w:rPr>
              <w:t>.</w:t>
            </w:r>
          </w:p>
          <w:p w14:paraId="7CCD2FC7" w14:textId="582FA5EB" w:rsidR="00836AA3" w:rsidRDefault="00836AA3" w:rsidP="00836AA3">
            <w:pPr>
              <w:pStyle w:val="bodytext"/>
              <w:numPr>
                <w:ilvl w:val="0"/>
                <w:numId w:val="51"/>
              </w:numPr>
              <w:rPr>
                <w:color w:val="auto"/>
                <w:lang w:val="nl-BE"/>
              </w:rPr>
            </w:pPr>
            <w:r w:rsidRPr="00384966">
              <w:rPr>
                <w:color w:val="auto"/>
                <w:lang w:val="nl-BE"/>
              </w:rPr>
              <w:t xml:space="preserve">De DNB is niet betrokken bij de meting van deze Flexibiliteitsdienst noch bij het </w:t>
            </w:r>
            <w:r>
              <w:rPr>
                <w:color w:val="auto"/>
                <w:lang w:val="nl-BE"/>
              </w:rPr>
              <w:t xml:space="preserve">ter beschikking stellen en </w:t>
            </w:r>
            <w:r w:rsidRPr="00384966">
              <w:rPr>
                <w:color w:val="auto"/>
                <w:lang w:val="nl-BE"/>
              </w:rPr>
              <w:t>overmaken van de meetgegevens aan de FRP.</w:t>
            </w:r>
          </w:p>
          <w:p w14:paraId="66AED575" w14:textId="77777777" w:rsidR="00836AA3" w:rsidRDefault="00836AA3" w:rsidP="00836AA3">
            <w:pPr>
              <w:pStyle w:val="bodytext"/>
              <w:numPr>
                <w:ilvl w:val="0"/>
                <w:numId w:val="51"/>
              </w:numPr>
              <w:rPr>
                <w:color w:val="auto"/>
                <w:lang w:val="nl-BE"/>
              </w:rPr>
            </w:pPr>
            <w:r>
              <w:rPr>
                <w:color w:val="auto"/>
                <w:lang w:val="nl-BE"/>
              </w:rPr>
              <w:t>In uitzondering op het artikel 4.1, kan het SDP-F gebruikt voor deze Flexibiliteitsdienst zich bevinden in een specifiek circuit van de installatie, zelfs indien een andere SDP-F zich op het hoofd van de installatie bevindt.</w:t>
            </w:r>
          </w:p>
          <w:p w14:paraId="5C3FE68F" w14:textId="77777777" w:rsidR="00836AA3" w:rsidRDefault="00836AA3" w:rsidP="00836AA3">
            <w:pPr>
              <w:pStyle w:val="bodytext"/>
              <w:numPr>
                <w:ilvl w:val="0"/>
                <w:numId w:val="51"/>
              </w:numPr>
              <w:rPr>
                <w:color w:val="auto"/>
                <w:lang w:val="nl-BE"/>
              </w:rPr>
            </w:pPr>
            <w:r>
              <w:rPr>
                <w:color w:val="auto"/>
                <w:lang w:val="nl-BE"/>
              </w:rPr>
              <w:t>De activeringen van de flexibiliteit moeten niet aan de DNB worden gecommuniceerd.</w:t>
            </w:r>
          </w:p>
          <w:p w14:paraId="1A7CDBDC" w14:textId="77777777" w:rsidR="00836AA3" w:rsidRPr="003A3450" w:rsidRDefault="00836AA3" w:rsidP="00836AA3">
            <w:pPr>
              <w:pStyle w:val="bodytext"/>
              <w:ind w:left="360"/>
              <w:rPr>
                <w:color w:val="auto"/>
                <w:lang w:val="nl-BE"/>
              </w:rPr>
            </w:pPr>
          </w:p>
        </w:tc>
      </w:tr>
    </w:tbl>
    <w:p w14:paraId="6FEE4928" w14:textId="77777777" w:rsidR="00A36C7C" w:rsidRDefault="00A36C7C">
      <w:r>
        <w:br w:type="page"/>
      </w:r>
    </w:p>
    <w:tbl>
      <w:tblPr>
        <w:tblStyle w:val="Tabelraster"/>
        <w:tblW w:w="13291" w:type="dxa"/>
        <w:tblLayout w:type="fixed"/>
        <w:tblLook w:val="04A0" w:firstRow="1" w:lastRow="0" w:firstColumn="1" w:lastColumn="0" w:noHBand="0" w:noVBand="1"/>
      </w:tblPr>
      <w:tblGrid>
        <w:gridCol w:w="2122"/>
        <w:gridCol w:w="1417"/>
        <w:gridCol w:w="1843"/>
        <w:gridCol w:w="4649"/>
        <w:gridCol w:w="3260"/>
      </w:tblGrid>
      <w:tr w:rsidR="00A36C7C" w:rsidRPr="00596AD5" w14:paraId="0E629215" w14:textId="77777777" w:rsidTr="00836AA3">
        <w:tc>
          <w:tcPr>
            <w:tcW w:w="2122" w:type="dxa"/>
          </w:tcPr>
          <w:p w14:paraId="07760B66" w14:textId="257D1F49" w:rsidR="00A36C7C" w:rsidRPr="00F73148" w:rsidRDefault="00A36C7C" w:rsidP="00A36C7C">
            <w:pPr>
              <w:pStyle w:val="bodytext"/>
              <w:jc w:val="center"/>
              <w:rPr>
                <w:b/>
                <w:bCs/>
                <w:color w:val="3C4043"/>
                <w:sz w:val="20"/>
                <w:szCs w:val="21"/>
                <w:shd w:val="clear" w:color="auto" w:fill="FFFFFF"/>
                <w:lang w:val="en-GB"/>
              </w:rPr>
            </w:pPr>
            <w:r w:rsidRPr="00853DC3">
              <w:rPr>
                <w:b/>
                <w:bCs/>
                <w:color w:val="auto"/>
                <w:sz w:val="20"/>
                <w:lang w:val="nl-BE"/>
              </w:rPr>
              <w:lastRenderedPageBreak/>
              <w:t>A</w:t>
            </w:r>
          </w:p>
        </w:tc>
        <w:tc>
          <w:tcPr>
            <w:tcW w:w="1417" w:type="dxa"/>
          </w:tcPr>
          <w:p w14:paraId="56A006C5" w14:textId="4C2604BE" w:rsidR="00A36C7C" w:rsidRPr="00384966" w:rsidRDefault="00A36C7C" w:rsidP="00A36C7C">
            <w:pPr>
              <w:pStyle w:val="bodytext"/>
              <w:jc w:val="center"/>
              <w:rPr>
                <w:color w:val="auto"/>
                <w:szCs w:val="16"/>
                <w:lang w:val="nl-BE"/>
              </w:rPr>
            </w:pPr>
            <w:r>
              <w:rPr>
                <w:b/>
                <w:bCs/>
                <w:color w:val="auto"/>
                <w:sz w:val="20"/>
                <w:lang w:val="nl-BE"/>
              </w:rPr>
              <w:t>B</w:t>
            </w:r>
          </w:p>
        </w:tc>
        <w:tc>
          <w:tcPr>
            <w:tcW w:w="1843" w:type="dxa"/>
          </w:tcPr>
          <w:p w14:paraId="54308EAE" w14:textId="6990C2F7" w:rsidR="00A36C7C" w:rsidRPr="00384966" w:rsidRDefault="00A36C7C" w:rsidP="00A36C7C">
            <w:pPr>
              <w:pStyle w:val="bodytext"/>
              <w:jc w:val="center"/>
              <w:rPr>
                <w:color w:val="auto"/>
                <w:szCs w:val="16"/>
                <w:lang w:val="nl-BE"/>
              </w:rPr>
            </w:pPr>
            <w:r>
              <w:rPr>
                <w:b/>
                <w:bCs/>
                <w:color w:val="auto"/>
                <w:sz w:val="20"/>
                <w:lang w:val="nl-BE"/>
              </w:rPr>
              <w:t>C</w:t>
            </w:r>
          </w:p>
        </w:tc>
        <w:tc>
          <w:tcPr>
            <w:tcW w:w="4649" w:type="dxa"/>
          </w:tcPr>
          <w:p w14:paraId="65DE7E41" w14:textId="719464AE" w:rsidR="00A36C7C" w:rsidRDefault="00A36C7C" w:rsidP="00A36C7C">
            <w:pPr>
              <w:pStyle w:val="bodytext"/>
              <w:ind w:left="360"/>
              <w:jc w:val="center"/>
              <w:rPr>
                <w:color w:val="auto"/>
                <w:lang w:val="nl-NL"/>
              </w:rPr>
            </w:pPr>
            <w:r>
              <w:rPr>
                <w:b/>
                <w:bCs/>
                <w:color w:val="auto"/>
                <w:sz w:val="20"/>
                <w:lang w:val="nl-BE"/>
              </w:rPr>
              <w:t>D</w:t>
            </w:r>
          </w:p>
        </w:tc>
        <w:tc>
          <w:tcPr>
            <w:tcW w:w="3260" w:type="dxa"/>
          </w:tcPr>
          <w:p w14:paraId="239E63AC" w14:textId="64E75714" w:rsidR="00A36C7C" w:rsidRDefault="00A36C7C" w:rsidP="00A36C7C">
            <w:pPr>
              <w:pStyle w:val="bodytext"/>
              <w:ind w:left="360"/>
              <w:jc w:val="center"/>
              <w:rPr>
                <w:color w:val="auto"/>
                <w:lang w:val="nl-NL"/>
              </w:rPr>
            </w:pPr>
            <w:r>
              <w:rPr>
                <w:b/>
                <w:bCs/>
                <w:color w:val="auto"/>
                <w:sz w:val="20"/>
                <w:lang w:val="nl-BE"/>
              </w:rPr>
              <w:t>E</w:t>
            </w:r>
          </w:p>
        </w:tc>
      </w:tr>
      <w:tr w:rsidR="00A36C7C" w:rsidRPr="00596AD5" w14:paraId="4A982C44" w14:textId="77777777" w:rsidTr="00836AA3">
        <w:tc>
          <w:tcPr>
            <w:tcW w:w="2122" w:type="dxa"/>
          </w:tcPr>
          <w:p w14:paraId="11CB9088" w14:textId="1A047B73" w:rsidR="00A36C7C" w:rsidRPr="00F73148" w:rsidRDefault="00A36C7C" w:rsidP="00A36C7C">
            <w:pPr>
              <w:pStyle w:val="bodytext"/>
              <w:jc w:val="center"/>
              <w:rPr>
                <w:b/>
                <w:bCs/>
                <w:color w:val="3C4043"/>
                <w:sz w:val="20"/>
                <w:szCs w:val="21"/>
                <w:shd w:val="clear" w:color="auto" w:fill="FFFFFF"/>
                <w:lang w:val="en-GB"/>
              </w:rPr>
            </w:pPr>
            <w:r w:rsidRPr="00853DC3">
              <w:rPr>
                <w:b/>
                <w:bCs/>
                <w:color w:val="auto"/>
                <w:sz w:val="20"/>
                <w:lang w:val="nl-BE"/>
              </w:rPr>
              <w:t>Flexibiliteitsdienst</w:t>
            </w:r>
          </w:p>
        </w:tc>
        <w:tc>
          <w:tcPr>
            <w:tcW w:w="1417" w:type="dxa"/>
          </w:tcPr>
          <w:p w14:paraId="497473B8" w14:textId="3900B4CF" w:rsidR="00A36C7C" w:rsidRPr="00384966" w:rsidRDefault="00A36C7C" w:rsidP="00A36C7C">
            <w:pPr>
              <w:pStyle w:val="bodytext"/>
              <w:jc w:val="center"/>
              <w:rPr>
                <w:color w:val="auto"/>
                <w:szCs w:val="16"/>
                <w:lang w:val="nl-BE"/>
              </w:rPr>
            </w:pPr>
            <w:r w:rsidRPr="00853DC3">
              <w:rPr>
                <w:b/>
                <w:bCs/>
                <w:color w:val="auto"/>
                <w:sz w:val="20"/>
                <w:lang w:val="nl-BE"/>
              </w:rPr>
              <w:t>FRP</w:t>
            </w:r>
          </w:p>
        </w:tc>
        <w:tc>
          <w:tcPr>
            <w:tcW w:w="1843" w:type="dxa"/>
          </w:tcPr>
          <w:p w14:paraId="74349C9D" w14:textId="21692E4B" w:rsidR="00A36C7C" w:rsidRDefault="00A36C7C" w:rsidP="00A36C7C">
            <w:pPr>
              <w:pStyle w:val="bodytext"/>
              <w:jc w:val="center"/>
              <w:rPr>
                <w:b/>
                <w:bCs/>
                <w:color w:val="auto"/>
                <w:sz w:val="20"/>
                <w:lang w:val="nl-BE"/>
              </w:rPr>
            </w:pPr>
            <w:r w:rsidRPr="00853DC3">
              <w:rPr>
                <w:b/>
                <w:bCs/>
                <w:color w:val="auto"/>
                <w:sz w:val="20"/>
                <w:lang w:val="nl-BE"/>
              </w:rPr>
              <w:t>Algemene voorwaarden voor Flexibiliteits</w:t>
            </w:r>
            <w:r>
              <w:rPr>
                <w:b/>
                <w:bCs/>
                <w:color w:val="auto"/>
                <w:sz w:val="20"/>
                <w:lang w:val="nl-BE"/>
              </w:rPr>
              <w:t>-</w:t>
            </w:r>
            <w:r w:rsidRPr="00853DC3">
              <w:rPr>
                <w:b/>
                <w:bCs/>
                <w:color w:val="auto"/>
                <w:sz w:val="20"/>
                <w:lang w:val="nl-BE"/>
              </w:rPr>
              <w:t>diensten</w:t>
            </w:r>
          </w:p>
          <w:p w14:paraId="13882A2B" w14:textId="4425AB97" w:rsidR="00A36C7C" w:rsidRPr="00384966" w:rsidRDefault="00A36C7C" w:rsidP="00A36C7C">
            <w:pPr>
              <w:pStyle w:val="bodytext"/>
              <w:jc w:val="center"/>
              <w:rPr>
                <w:color w:val="auto"/>
                <w:szCs w:val="16"/>
                <w:lang w:val="nl-BE"/>
              </w:rPr>
            </w:pPr>
          </w:p>
        </w:tc>
        <w:tc>
          <w:tcPr>
            <w:tcW w:w="4649" w:type="dxa"/>
          </w:tcPr>
          <w:p w14:paraId="69C682AB" w14:textId="5B21C571" w:rsidR="00A36C7C" w:rsidRDefault="00A36C7C" w:rsidP="00A36C7C">
            <w:pPr>
              <w:pStyle w:val="bodytext"/>
              <w:ind w:left="360"/>
              <w:jc w:val="center"/>
              <w:rPr>
                <w:color w:val="auto"/>
                <w:lang w:val="nl-NL"/>
              </w:rPr>
            </w:pPr>
            <w:r>
              <w:rPr>
                <w:b/>
                <w:bCs/>
                <w:color w:val="auto"/>
                <w:sz w:val="20"/>
                <w:lang w:val="nl-BE"/>
              </w:rPr>
              <w:t>Specifieke voorwaarden voor deelname aan de Flexibiliteitsdienst</w:t>
            </w:r>
          </w:p>
        </w:tc>
        <w:tc>
          <w:tcPr>
            <w:tcW w:w="3260" w:type="dxa"/>
          </w:tcPr>
          <w:p w14:paraId="7F8FCC29" w14:textId="4B20680D" w:rsidR="00A36C7C" w:rsidRDefault="00A36C7C" w:rsidP="00A36C7C">
            <w:pPr>
              <w:pStyle w:val="bodytext"/>
              <w:ind w:left="360"/>
              <w:jc w:val="center"/>
              <w:rPr>
                <w:color w:val="auto"/>
                <w:lang w:val="nl-NL"/>
              </w:rPr>
            </w:pPr>
            <w:r>
              <w:rPr>
                <w:b/>
                <w:bCs/>
                <w:color w:val="auto"/>
                <w:sz w:val="20"/>
                <w:lang w:val="nl-BE"/>
              </w:rPr>
              <w:t>Bijkomende informatie</w:t>
            </w:r>
          </w:p>
        </w:tc>
      </w:tr>
      <w:tr w:rsidR="00836AA3" w:rsidRPr="00596AD5" w14:paraId="624F4460" w14:textId="77777777" w:rsidTr="00836AA3">
        <w:tc>
          <w:tcPr>
            <w:tcW w:w="2122" w:type="dxa"/>
          </w:tcPr>
          <w:p w14:paraId="23AC0B9F" w14:textId="1BFA6480" w:rsidR="00836AA3" w:rsidRPr="00F73148" w:rsidRDefault="00836AA3" w:rsidP="00F73148">
            <w:pPr>
              <w:pStyle w:val="bodytext"/>
              <w:jc w:val="center"/>
              <w:rPr>
                <w:b/>
                <w:bCs/>
                <w:color w:val="auto"/>
                <w:sz w:val="20"/>
                <w:lang w:val="en-GB"/>
              </w:rPr>
            </w:pPr>
            <w:proofErr w:type="spellStart"/>
            <w:r w:rsidRPr="00F73148">
              <w:rPr>
                <w:b/>
                <w:bCs/>
                <w:color w:val="3C4043"/>
                <w:sz w:val="20"/>
                <w:szCs w:val="21"/>
                <w:shd w:val="clear" w:color="auto" w:fill="FFFFFF"/>
                <w:lang w:val="en-GB"/>
              </w:rPr>
              <w:t>Automatische</w:t>
            </w:r>
            <w:proofErr w:type="spellEnd"/>
            <w:r w:rsidRPr="00F73148">
              <w:rPr>
                <w:b/>
                <w:bCs/>
                <w:color w:val="3C4043"/>
                <w:sz w:val="20"/>
                <w:szCs w:val="21"/>
                <w:shd w:val="clear" w:color="auto" w:fill="FFFFFF"/>
                <w:lang w:val="en-GB"/>
              </w:rPr>
              <w:t xml:space="preserve"> </w:t>
            </w:r>
            <w:proofErr w:type="spellStart"/>
            <w:r w:rsidRPr="00F73148">
              <w:rPr>
                <w:b/>
                <w:bCs/>
                <w:color w:val="3C4043"/>
                <w:sz w:val="20"/>
                <w:szCs w:val="21"/>
                <w:shd w:val="clear" w:color="auto" w:fill="FFFFFF"/>
                <w:lang w:val="en-GB"/>
              </w:rPr>
              <w:t>frequentieherstel</w:t>
            </w:r>
            <w:proofErr w:type="spellEnd"/>
            <w:r w:rsidRPr="00F73148">
              <w:rPr>
                <w:b/>
                <w:bCs/>
                <w:color w:val="3C4043"/>
                <w:sz w:val="20"/>
                <w:szCs w:val="21"/>
                <w:shd w:val="clear" w:color="auto" w:fill="FFFFFF"/>
                <w:lang w:val="en-GB"/>
              </w:rPr>
              <w:t>-reserve (</w:t>
            </w:r>
            <w:proofErr w:type="spellStart"/>
            <w:r w:rsidRPr="00F73148">
              <w:rPr>
                <w:b/>
                <w:bCs/>
                <w:color w:val="3C4043"/>
                <w:sz w:val="20"/>
                <w:szCs w:val="21"/>
                <w:shd w:val="clear" w:color="auto" w:fill="FFFFFF"/>
                <w:lang w:val="en-GB"/>
              </w:rPr>
              <w:t>aFRR</w:t>
            </w:r>
            <w:proofErr w:type="spellEnd"/>
            <w:r w:rsidRPr="00F73148">
              <w:rPr>
                <w:b/>
                <w:bCs/>
                <w:color w:val="3C4043"/>
                <w:sz w:val="20"/>
                <w:szCs w:val="21"/>
                <w:shd w:val="clear" w:color="auto" w:fill="FFFFFF"/>
                <w:lang w:val="en-GB"/>
              </w:rPr>
              <w:t>)</w:t>
            </w:r>
          </w:p>
        </w:tc>
        <w:tc>
          <w:tcPr>
            <w:tcW w:w="1417" w:type="dxa"/>
          </w:tcPr>
          <w:p w14:paraId="1A4698F9" w14:textId="77777777" w:rsidR="00836AA3" w:rsidRPr="00384966" w:rsidRDefault="00836AA3" w:rsidP="00836AA3">
            <w:pPr>
              <w:pStyle w:val="bodytext"/>
              <w:jc w:val="both"/>
              <w:rPr>
                <w:color w:val="auto"/>
                <w:szCs w:val="16"/>
                <w:lang w:val="en-GB"/>
              </w:rPr>
            </w:pPr>
            <w:r w:rsidRPr="00384966">
              <w:rPr>
                <w:color w:val="auto"/>
                <w:szCs w:val="16"/>
                <w:lang w:val="nl-BE"/>
              </w:rPr>
              <w:t>Elia Transmission Belgium</w:t>
            </w:r>
          </w:p>
        </w:tc>
        <w:tc>
          <w:tcPr>
            <w:tcW w:w="1843" w:type="dxa"/>
          </w:tcPr>
          <w:p w14:paraId="21674381" w14:textId="77777777" w:rsidR="00836AA3" w:rsidRPr="00384966" w:rsidRDefault="00836AA3" w:rsidP="00836AA3">
            <w:pPr>
              <w:pStyle w:val="bodytext"/>
              <w:jc w:val="both"/>
              <w:rPr>
                <w:color w:val="auto"/>
                <w:szCs w:val="16"/>
                <w:lang w:val="nl-BE"/>
              </w:rPr>
            </w:pPr>
            <w:r w:rsidRPr="00384966">
              <w:rPr>
                <w:color w:val="auto"/>
                <w:szCs w:val="16"/>
                <w:lang w:val="nl-BE"/>
              </w:rPr>
              <w:t xml:space="preserve">Zie </w:t>
            </w:r>
            <w:hyperlink r:id="rId13" w:history="1">
              <w:r w:rsidRPr="00384966">
                <w:rPr>
                  <w:rStyle w:val="Hyperlink"/>
                  <w:szCs w:val="16"/>
                  <w:lang w:val="nl-BE"/>
                </w:rPr>
                <w:t>www.elia.be</w:t>
              </w:r>
            </w:hyperlink>
          </w:p>
          <w:p w14:paraId="11956470" w14:textId="77777777" w:rsidR="00836AA3" w:rsidRPr="00384966" w:rsidRDefault="00836AA3" w:rsidP="00836AA3">
            <w:pPr>
              <w:pStyle w:val="bodytext"/>
              <w:jc w:val="both"/>
              <w:rPr>
                <w:color w:val="auto"/>
                <w:szCs w:val="16"/>
                <w:lang w:val="en-GB"/>
              </w:rPr>
            </w:pPr>
          </w:p>
        </w:tc>
        <w:tc>
          <w:tcPr>
            <w:tcW w:w="4649" w:type="dxa"/>
          </w:tcPr>
          <w:p w14:paraId="2B3AD57C" w14:textId="2FD2C646" w:rsidR="00836AA3" w:rsidRDefault="00836AA3" w:rsidP="00836AA3">
            <w:pPr>
              <w:pStyle w:val="bodytext"/>
              <w:numPr>
                <w:ilvl w:val="0"/>
                <w:numId w:val="52"/>
              </w:numPr>
              <w:rPr>
                <w:color w:val="auto"/>
                <w:lang w:val="nl-NL"/>
              </w:rPr>
            </w:pPr>
            <w:r>
              <w:rPr>
                <w:color w:val="auto"/>
                <w:lang w:val="nl-NL"/>
              </w:rPr>
              <w:t>Enkel de SDP-F’s aangesloten op het HS-net mogen worden toegevoegd aan de Pool van de FSP</w:t>
            </w:r>
            <w:r w:rsidR="001D2455">
              <w:rPr>
                <w:color w:val="auto"/>
                <w:lang w:val="nl-NL"/>
              </w:rPr>
              <w:t>, tenzij de toepasselijke regelgeving dit anders bepaalt</w:t>
            </w:r>
            <w:r>
              <w:rPr>
                <w:color w:val="auto"/>
                <w:lang w:val="nl-NL"/>
              </w:rPr>
              <w:t>.</w:t>
            </w:r>
          </w:p>
          <w:p w14:paraId="0B1CC3C0" w14:textId="16DE6D4F" w:rsidR="00836AA3" w:rsidRDefault="00836AA3" w:rsidP="00836AA3">
            <w:pPr>
              <w:pStyle w:val="bodytext"/>
              <w:numPr>
                <w:ilvl w:val="0"/>
                <w:numId w:val="52"/>
              </w:numPr>
              <w:rPr>
                <w:color w:val="auto"/>
                <w:lang w:val="nl-NL"/>
              </w:rPr>
            </w:pPr>
            <w:r>
              <w:rPr>
                <w:color w:val="auto"/>
                <w:lang w:val="nl-NL"/>
              </w:rPr>
              <w:t xml:space="preserve">De hoofdmeter van de DNB moet </w:t>
            </w:r>
            <w:r w:rsidR="001A46F2">
              <w:rPr>
                <w:color w:val="auto"/>
                <w:lang w:val="nl-NL"/>
              </w:rPr>
              <w:t xml:space="preserve">kwartiergemeten </w:t>
            </w:r>
            <w:r>
              <w:rPr>
                <w:color w:val="auto"/>
                <w:lang w:val="nl-NL"/>
              </w:rPr>
              <w:t>zijn.</w:t>
            </w:r>
          </w:p>
          <w:p w14:paraId="698E5E16" w14:textId="77777777" w:rsidR="00836AA3" w:rsidRDefault="00836AA3" w:rsidP="00836AA3">
            <w:pPr>
              <w:pStyle w:val="bodytext"/>
              <w:numPr>
                <w:ilvl w:val="0"/>
                <w:numId w:val="52"/>
              </w:numPr>
              <w:rPr>
                <w:color w:val="auto"/>
                <w:lang w:val="nl-NL"/>
              </w:rPr>
            </w:pPr>
            <w:r w:rsidRPr="004F06DF">
              <w:rPr>
                <w:color w:val="auto"/>
                <w:lang w:val="nl-NL"/>
              </w:rPr>
              <w:t>Alvorens een SDP-F in de Pool van de FSP toe te voegen, moet het aansluitingspunt</w:t>
            </w:r>
            <w:r>
              <w:rPr>
                <w:color w:val="auto"/>
                <w:lang w:val="nl-NL"/>
              </w:rPr>
              <w:t xml:space="preserve">, gelinkt aan deze SDP-F worden </w:t>
            </w:r>
            <w:proofErr w:type="spellStart"/>
            <w:r>
              <w:rPr>
                <w:color w:val="auto"/>
                <w:lang w:val="nl-NL"/>
              </w:rPr>
              <w:t>geprekwalificeerd</w:t>
            </w:r>
            <w:proofErr w:type="spellEnd"/>
            <w:r>
              <w:rPr>
                <w:color w:val="auto"/>
                <w:lang w:val="nl-NL"/>
              </w:rPr>
              <w:t xml:space="preserve"> </w:t>
            </w:r>
            <w:r w:rsidRPr="004F06DF">
              <w:rPr>
                <w:color w:val="auto"/>
                <w:lang w:val="nl-NL"/>
              </w:rPr>
              <w:t>volgens de procedure beschreven in het document C8/01 van Synergrid.</w:t>
            </w:r>
          </w:p>
          <w:p w14:paraId="15BC5AD2" w14:textId="77777777" w:rsidR="00836AA3" w:rsidRPr="004F06DF" w:rsidRDefault="00836AA3" w:rsidP="00836AA3">
            <w:pPr>
              <w:pStyle w:val="bodytext"/>
              <w:numPr>
                <w:ilvl w:val="0"/>
                <w:numId w:val="52"/>
              </w:numPr>
              <w:rPr>
                <w:color w:val="auto"/>
                <w:lang w:val="nl-NL"/>
              </w:rPr>
            </w:pPr>
            <w:r w:rsidRPr="004F06DF">
              <w:rPr>
                <w:color w:val="auto"/>
                <w:lang w:val="nl-NL"/>
              </w:rPr>
              <w:t xml:space="preserve">Het gevraagd flexibel vermogen mag in geen geval het </w:t>
            </w:r>
            <w:proofErr w:type="spellStart"/>
            <w:r w:rsidRPr="004F06DF">
              <w:rPr>
                <w:color w:val="auto"/>
                <w:lang w:val="nl-NL"/>
              </w:rPr>
              <w:t>geprekwalificeerd</w:t>
            </w:r>
            <w:proofErr w:type="spellEnd"/>
            <w:r w:rsidRPr="004F06DF">
              <w:rPr>
                <w:color w:val="auto"/>
                <w:lang w:val="nl-NL"/>
              </w:rPr>
              <w:t xml:space="preserve"> vermogen overschrijden. </w:t>
            </w:r>
          </w:p>
          <w:p w14:paraId="1535CBEC" w14:textId="5A0476EF" w:rsidR="00E23C58" w:rsidRPr="00E23C58" w:rsidRDefault="00836AA3" w:rsidP="00E23C58">
            <w:pPr>
              <w:pStyle w:val="bodytext"/>
              <w:numPr>
                <w:ilvl w:val="0"/>
                <w:numId w:val="52"/>
              </w:numPr>
              <w:rPr>
                <w:color w:val="auto"/>
                <w:lang w:val="nl-BE"/>
              </w:rPr>
            </w:pPr>
            <w:r w:rsidRPr="00E23C58">
              <w:rPr>
                <w:color w:val="auto"/>
                <w:lang w:val="nl-NL"/>
              </w:rPr>
              <w:t>De teller moet conform zijn aan de vereisten van het document C8/06 van Synergrid</w:t>
            </w:r>
            <w:r w:rsidR="00F73148" w:rsidRPr="00E23C58">
              <w:rPr>
                <w:color w:val="auto"/>
                <w:lang w:val="nl-NL"/>
              </w:rPr>
              <w:t>.</w:t>
            </w:r>
            <w:r w:rsidR="00E23C58" w:rsidRPr="00E23C58">
              <w:rPr>
                <w:color w:val="auto"/>
                <w:lang w:val="nl-NL"/>
              </w:rPr>
              <w:t xml:space="preserve"> </w:t>
            </w:r>
            <w:r w:rsidR="00E23C58" w:rsidRPr="00E23C58">
              <w:rPr>
                <w:color w:val="auto"/>
                <w:lang w:val="nl-BE"/>
              </w:rPr>
              <w:t xml:space="preserve">De DNB </w:t>
            </w:r>
            <w:r w:rsidR="00D9281D">
              <w:rPr>
                <w:color w:val="auto"/>
                <w:lang w:val="nl-BE"/>
              </w:rPr>
              <w:t xml:space="preserve">behoudt zich het recht voor om </w:t>
            </w:r>
            <w:r w:rsidR="00E23C58" w:rsidRPr="00E23C58">
              <w:rPr>
                <w:color w:val="auto"/>
                <w:lang w:val="nl-BE"/>
              </w:rPr>
              <w:t>op elk moment t</w:t>
            </w:r>
            <w:r w:rsidR="00E23C58">
              <w:rPr>
                <w:color w:val="auto"/>
                <w:lang w:val="nl-BE"/>
              </w:rPr>
              <w:t xml:space="preserve">er plaatse </w:t>
            </w:r>
            <w:r w:rsidR="00E23C58" w:rsidRPr="00E23C58">
              <w:rPr>
                <w:color w:val="auto"/>
                <w:lang w:val="nl-BE"/>
              </w:rPr>
              <w:t xml:space="preserve">een ad-hoc audit </w:t>
            </w:r>
            <w:r w:rsidR="00E23C58">
              <w:rPr>
                <w:color w:val="auto"/>
                <w:lang w:val="nl-BE"/>
              </w:rPr>
              <w:t>uit</w:t>
            </w:r>
            <w:r w:rsidR="00D9281D">
              <w:rPr>
                <w:color w:val="auto"/>
                <w:lang w:val="nl-BE"/>
              </w:rPr>
              <w:t xml:space="preserve"> te </w:t>
            </w:r>
            <w:r w:rsidR="00E23C58">
              <w:rPr>
                <w:color w:val="auto"/>
                <w:lang w:val="nl-BE"/>
              </w:rPr>
              <w:t>voeren.</w:t>
            </w:r>
          </w:p>
          <w:p w14:paraId="659C42A4" w14:textId="035DB745" w:rsidR="00E23C58" w:rsidRPr="00E23C58" w:rsidRDefault="00836AA3" w:rsidP="00E23C58">
            <w:pPr>
              <w:pStyle w:val="bodytext"/>
              <w:numPr>
                <w:ilvl w:val="0"/>
                <w:numId w:val="52"/>
              </w:numPr>
              <w:rPr>
                <w:color w:val="auto"/>
                <w:lang w:val="nl-BE"/>
              </w:rPr>
            </w:pPr>
            <w:r>
              <w:rPr>
                <w:color w:val="auto"/>
                <w:lang w:val="nl-NL"/>
              </w:rPr>
              <w:t xml:space="preserve">Er moet een gateway worden geregistreerd en geplaatst volgens de vereisten in het document </w:t>
            </w:r>
            <w:r w:rsidRPr="00F73148">
              <w:rPr>
                <w:color w:val="auto"/>
                <w:lang w:val="nl-NL"/>
              </w:rPr>
              <w:t>C8/06 van Synergri</w:t>
            </w:r>
            <w:r w:rsidR="00F73148">
              <w:rPr>
                <w:color w:val="auto"/>
                <w:lang w:val="nl-NL"/>
              </w:rPr>
              <w:t>d.</w:t>
            </w:r>
            <w:r w:rsidR="00E23C58" w:rsidRPr="00E23C58">
              <w:rPr>
                <w:color w:val="auto"/>
                <w:lang w:val="nl-BE"/>
              </w:rPr>
              <w:t xml:space="preserve"> De DNB </w:t>
            </w:r>
            <w:r w:rsidR="00D9281D">
              <w:rPr>
                <w:color w:val="auto"/>
                <w:lang w:val="nl-BE"/>
              </w:rPr>
              <w:t xml:space="preserve">behoudt zich het recht voor om </w:t>
            </w:r>
            <w:r w:rsidR="00E23C58" w:rsidRPr="00E23C58">
              <w:rPr>
                <w:color w:val="auto"/>
                <w:lang w:val="nl-BE"/>
              </w:rPr>
              <w:t>op elk moment t</w:t>
            </w:r>
            <w:r w:rsidR="00E23C58">
              <w:rPr>
                <w:color w:val="auto"/>
                <w:lang w:val="nl-BE"/>
              </w:rPr>
              <w:t xml:space="preserve">er plaatse </w:t>
            </w:r>
            <w:r w:rsidR="00E23C58" w:rsidRPr="00E23C58">
              <w:rPr>
                <w:color w:val="auto"/>
                <w:lang w:val="nl-BE"/>
              </w:rPr>
              <w:t xml:space="preserve">een ad-hoc audit </w:t>
            </w:r>
            <w:r w:rsidR="00E23C58">
              <w:rPr>
                <w:color w:val="auto"/>
                <w:lang w:val="nl-BE"/>
              </w:rPr>
              <w:t>uit</w:t>
            </w:r>
            <w:r w:rsidR="00D9281D">
              <w:rPr>
                <w:color w:val="auto"/>
                <w:lang w:val="nl-BE"/>
              </w:rPr>
              <w:t xml:space="preserve"> te </w:t>
            </w:r>
            <w:r w:rsidR="00E23C58">
              <w:rPr>
                <w:color w:val="auto"/>
                <w:lang w:val="nl-BE"/>
              </w:rPr>
              <w:t>voeren.</w:t>
            </w:r>
          </w:p>
          <w:p w14:paraId="6E46C763" w14:textId="77777777" w:rsidR="00836AA3" w:rsidRPr="00D9281D" w:rsidRDefault="00836AA3" w:rsidP="00836AA3">
            <w:pPr>
              <w:pStyle w:val="bodytext"/>
              <w:rPr>
                <w:color w:val="auto"/>
                <w:lang w:val="nl-BE"/>
              </w:rPr>
            </w:pPr>
          </w:p>
        </w:tc>
        <w:tc>
          <w:tcPr>
            <w:tcW w:w="3260" w:type="dxa"/>
          </w:tcPr>
          <w:p w14:paraId="2C5C0C44" w14:textId="078B29D2" w:rsidR="00836AA3" w:rsidRPr="00384966" w:rsidRDefault="00F73148" w:rsidP="00836AA3">
            <w:pPr>
              <w:pStyle w:val="bodytext"/>
              <w:numPr>
                <w:ilvl w:val="0"/>
                <w:numId w:val="52"/>
              </w:numPr>
              <w:rPr>
                <w:color w:val="auto"/>
                <w:lang w:val="nl-NL"/>
              </w:rPr>
            </w:pPr>
            <w:r>
              <w:rPr>
                <w:color w:val="auto"/>
                <w:lang w:val="nl-NL"/>
              </w:rPr>
              <w:t xml:space="preserve">De ‘business processen’, met inbegrip van de communicatie van de </w:t>
            </w:r>
            <w:r w:rsidR="00836AA3">
              <w:rPr>
                <w:color w:val="auto"/>
                <w:lang w:val="nl-NL"/>
              </w:rPr>
              <w:t xml:space="preserve">activeringen van de flexibiliteit </w:t>
            </w:r>
            <w:r>
              <w:rPr>
                <w:color w:val="auto"/>
                <w:lang w:val="nl-NL"/>
              </w:rPr>
              <w:t>worden toegelicht in het document C8/07 van Synergrid.</w:t>
            </w:r>
            <w:r w:rsidR="00836AA3">
              <w:rPr>
                <w:color w:val="auto"/>
                <w:lang w:val="nl-NL"/>
              </w:rPr>
              <w:t xml:space="preserve"> </w:t>
            </w:r>
          </w:p>
        </w:tc>
      </w:tr>
    </w:tbl>
    <w:p w14:paraId="69C8EAD1" w14:textId="77777777" w:rsidR="00A36C7C" w:rsidRDefault="00A36C7C">
      <w:r>
        <w:br w:type="page"/>
      </w:r>
    </w:p>
    <w:tbl>
      <w:tblPr>
        <w:tblStyle w:val="Tabelraster"/>
        <w:tblW w:w="13291" w:type="dxa"/>
        <w:tblLayout w:type="fixed"/>
        <w:tblLook w:val="04A0" w:firstRow="1" w:lastRow="0" w:firstColumn="1" w:lastColumn="0" w:noHBand="0" w:noVBand="1"/>
      </w:tblPr>
      <w:tblGrid>
        <w:gridCol w:w="2122"/>
        <w:gridCol w:w="1417"/>
        <w:gridCol w:w="1843"/>
        <w:gridCol w:w="4649"/>
        <w:gridCol w:w="3260"/>
      </w:tblGrid>
      <w:tr w:rsidR="00A36C7C" w:rsidRPr="00596AD5" w14:paraId="190E6F34" w14:textId="77777777" w:rsidTr="00836AA3">
        <w:tc>
          <w:tcPr>
            <w:tcW w:w="2122" w:type="dxa"/>
          </w:tcPr>
          <w:p w14:paraId="62E3574E" w14:textId="217F0341" w:rsidR="00A36C7C" w:rsidRPr="00A36C7C" w:rsidRDefault="00A36C7C" w:rsidP="00A36C7C">
            <w:pPr>
              <w:pStyle w:val="bodytext"/>
              <w:jc w:val="center"/>
              <w:rPr>
                <w:b/>
                <w:bCs/>
                <w:color w:val="auto"/>
                <w:sz w:val="20"/>
                <w:lang w:val="nl-BE"/>
              </w:rPr>
            </w:pPr>
            <w:r w:rsidRPr="00853DC3">
              <w:rPr>
                <w:b/>
                <w:bCs/>
                <w:color w:val="auto"/>
                <w:sz w:val="20"/>
                <w:lang w:val="nl-BE"/>
              </w:rPr>
              <w:lastRenderedPageBreak/>
              <w:t>A</w:t>
            </w:r>
          </w:p>
        </w:tc>
        <w:tc>
          <w:tcPr>
            <w:tcW w:w="1417" w:type="dxa"/>
          </w:tcPr>
          <w:p w14:paraId="469932F6" w14:textId="656CE758" w:rsidR="00A36C7C" w:rsidRPr="00384966" w:rsidRDefault="00A36C7C" w:rsidP="00A36C7C">
            <w:pPr>
              <w:pStyle w:val="bodytext"/>
              <w:jc w:val="center"/>
              <w:rPr>
                <w:color w:val="auto"/>
                <w:szCs w:val="16"/>
                <w:lang w:val="nl-BE"/>
              </w:rPr>
            </w:pPr>
            <w:r>
              <w:rPr>
                <w:b/>
                <w:bCs/>
                <w:color w:val="auto"/>
                <w:sz w:val="20"/>
                <w:lang w:val="nl-BE"/>
              </w:rPr>
              <w:t>B</w:t>
            </w:r>
          </w:p>
        </w:tc>
        <w:tc>
          <w:tcPr>
            <w:tcW w:w="1843" w:type="dxa"/>
          </w:tcPr>
          <w:p w14:paraId="7E44E938" w14:textId="1DF41208" w:rsidR="00A36C7C" w:rsidRPr="00384966" w:rsidRDefault="00A36C7C" w:rsidP="00A36C7C">
            <w:pPr>
              <w:pStyle w:val="bodytext"/>
              <w:jc w:val="center"/>
              <w:rPr>
                <w:color w:val="auto"/>
                <w:szCs w:val="16"/>
                <w:lang w:val="nl-BE"/>
              </w:rPr>
            </w:pPr>
            <w:r>
              <w:rPr>
                <w:b/>
                <w:bCs/>
                <w:color w:val="auto"/>
                <w:sz w:val="20"/>
                <w:lang w:val="nl-BE"/>
              </w:rPr>
              <w:t>C</w:t>
            </w:r>
          </w:p>
        </w:tc>
        <w:tc>
          <w:tcPr>
            <w:tcW w:w="4649" w:type="dxa"/>
          </w:tcPr>
          <w:p w14:paraId="34B41217" w14:textId="3764886F" w:rsidR="00A36C7C" w:rsidRDefault="00A36C7C" w:rsidP="00A36C7C">
            <w:pPr>
              <w:pStyle w:val="bodytext"/>
              <w:ind w:left="360"/>
              <w:jc w:val="center"/>
              <w:rPr>
                <w:color w:val="auto"/>
                <w:lang w:val="nl-NL"/>
              </w:rPr>
            </w:pPr>
            <w:r>
              <w:rPr>
                <w:b/>
                <w:bCs/>
                <w:color w:val="auto"/>
                <w:sz w:val="20"/>
                <w:lang w:val="nl-BE"/>
              </w:rPr>
              <w:t>D</w:t>
            </w:r>
          </w:p>
        </w:tc>
        <w:tc>
          <w:tcPr>
            <w:tcW w:w="3260" w:type="dxa"/>
          </w:tcPr>
          <w:p w14:paraId="7B26C2DC" w14:textId="26D2E7C3" w:rsidR="00A36C7C" w:rsidRDefault="00A36C7C" w:rsidP="00A36C7C">
            <w:pPr>
              <w:pStyle w:val="bodytext"/>
              <w:ind w:left="360"/>
              <w:jc w:val="center"/>
              <w:rPr>
                <w:color w:val="auto"/>
                <w:lang w:val="nl-NL"/>
              </w:rPr>
            </w:pPr>
            <w:r>
              <w:rPr>
                <w:b/>
                <w:bCs/>
                <w:color w:val="auto"/>
                <w:sz w:val="20"/>
                <w:lang w:val="nl-BE"/>
              </w:rPr>
              <w:t>E</w:t>
            </w:r>
          </w:p>
        </w:tc>
      </w:tr>
      <w:tr w:rsidR="00A36C7C" w:rsidRPr="00596AD5" w14:paraId="5CB05648" w14:textId="77777777" w:rsidTr="00836AA3">
        <w:tc>
          <w:tcPr>
            <w:tcW w:w="2122" w:type="dxa"/>
          </w:tcPr>
          <w:p w14:paraId="2EB6AB81" w14:textId="0411EABA" w:rsidR="00A36C7C" w:rsidRPr="00F73148" w:rsidRDefault="00A36C7C" w:rsidP="00A36C7C">
            <w:pPr>
              <w:pStyle w:val="bodytext"/>
              <w:jc w:val="center"/>
              <w:rPr>
                <w:b/>
                <w:bCs/>
                <w:color w:val="3C4043"/>
                <w:sz w:val="20"/>
                <w:szCs w:val="21"/>
                <w:shd w:val="clear" w:color="auto" w:fill="FFFFFF"/>
                <w:lang w:val="en-GB"/>
              </w:rPr>
            </w:pPr>
            <w:r w:rsidRPr="00853DC3">
              <w:rPr>
                <w:b/>
                <w:bCs/>
                <w:color w:val="auto"/>
                <w:sz w:val="20"/>
                <w:lang w:val="nl-BE"/>
              </w:rPr>
              <w:t>Flexibiliteitsdienst</w:t>
            </w:r>
          </w:p>
        </w:tc>
        <w:tc>
          <w:tcPr>
            <w:tcW w:w="1417" w:type="dxa"/>
          </w:tcPr>
          <w:p w14:paraId="30DE3953" w14:textId="3E668E9A" w:rsidR="00A36C7C" w:rsidRPr="00384966" w:rsidRDefault="00A36C7C" w:rsidP="00A36C7C">
            <w:pPr>
              <w:pStyle w:val="bodytext"/>
              <w:jc w:val="center"/>
              <w:rPr>
                <w:color w:val="auto"/>
                <w:szCs w:val="16"/>
                <w:lang w:val="nl-BE"/>
              </w:rPr>
            </w:pPr>
            <w:r w:rsidRPr="00853DC3">
              <w:rPr>
                <w:b/>
                <w:bCs/>
                <w:color w:val="auto"/>
                <w:sz w:val="20"/>
                <w:lang w:val="nl-BE"/>
              </w:rPr>
              <w:t>FRP</w:t>
            </w:r>
          </w:p>
        </w:tc>
        <w:tc>
          <w:tcPr>
            <w:tcW w:w="1843" w:type="dxa"/>
          </w:tcPr>
          <w:p w14:paraId="5923A04C" w14:textId="46C97859" w:rsidR="00A36C7C" w:rsidRDefault="00A36C7C" w:rsidP="00A36C7C">
            <w:pPr>
              <w:pStyle w:val="bodytext"/>
              <w:jc w:val="center"/>
              <w:rPr>
                <w:b/>
                <w:bCs/>
                <w:color w:val="auto"/>
                <w:sz w:val="20"/>
                <w:lang w:val="nl-BE"/>
              </w:rPr>
            </w:pPr>
            <w:r w:rsidRPr="00853DC3">
              <w:rPr>
                <w:b/>
                <w:bCs/>
                <w:color w:val="auto"/>
                <w:sz w:val="20"/>
                <w:lang w:val="nl-BE"/>
              </w:rPr>
              <w:t>Algemene voorwaarden voor Flexibiliteits</w:t>
            </w:r>
            <w:r>
              <w:rPr>
                <w:b/>
                <w:bCs/>
                <w:color w:val="auto"/>
                <w:sz w:val="20"/>
                <w:lang w:val="nl-BE"/>
              </w:rPr>
              <w:t>-</w:t>
            </w:r>
            <w:r w:rsidRPr="00853DC3">
              <w:rPr>
                <w:b/>
                <w:bCs/>
                <w:color w:val="auto"/>
                <w:sz w:val="20"/>
                <w:lang w:val="nl-BE"/>
              </w:rPr>
              <w:t>diensten</w:t>
            </w:r>
          </w:p>
          <w:p w14:paraId="5849E73D" w14:textId="39A063DB" w:rsidR="00A36C7C" w:rsidRPr="00384966" w:rsidRDefault="00A36C7C" w:rsidP="00A36C7C">
            <w:pPr>
              <w:pStyle w:val="bodytext"/>
              <w:jc w:val="center"/>
              <w:rPr>
                <w:color w:val="auto"/>
                <w:szCs w:val="16"/>
                <w:lang w:val="nl-BE"/>
              </w:rPr>
            </w:pPr>
          </w:p>
        </w:tc>
        <w:tc>
          <w:tcPr>
            <w:tcW w:w="4649" w:type="dxa"/>
          </w:tcPr>
          <w:p w14:paraId="2638F0F2" w14:textId="3A1AC806" w:rsidR="00A36C7C" w:rsidRDefault="00A36C7C" w:rsidP="00A36C7C">
            <w:pPr>
              <w:pStyle w:val="bodytext"/>
              <w:ind w:left="360"/>
              <w:jc w:val="center"/>
              <w:rPr>
                <w:color w:val="auto"/>
                <w:lang w:val="nl-NL"/>
              </w:rPr>
            </w:pPr>
            <w:r>
              <w:rPr>
                <w:b/>
                <w:bCs/>
                <w:color w:val="auto"/>
                <w:sz w:val="20"/>
                <w:lang w:val="nl-BE"/>
              </w:rPr>
              <w:t>Specifieke voorwaarden voor deelname aan de Flexibiliteitsdienst</w:t>
            </w:r>
          </w:p>
        </w:tc>
        <w:tc>
          <w:tcPr>
            <w:tcW w:w="3260" w:type="dxa"/>
          </w:tcPr>
          <w:p w14:paraId="718028F6" w14:textId="7FE09378" w:rsidR="00A36C7C" w:rsidRDefault="00A36C7C" w:rsidP="00A36C7C">
            <w:pPr>
              <w:pStyle w:val="bodytext"/>
              <w:ind w:left="360"/>
              <w:jc w:val="center"/>
              <w:rPr>
                <w:color w:val="auto"/>
                <w:lang w:val="nl-NL"/>
              </w:rPr>
            </w:pPr>
            <w:r>
              <w:rPr>
                <w:b/>
                <w:bCs/>
                <w:color w:val="auto"/>
                <w:sz w:val="20"/>
                <w:lang w:val="nl-BE"/>
              </w:rPr>
              <w:t>Bijkomende informatie</w:t>
            </w:r>
          </w:p>
        </w:tc>
      </w:tr>
      <w:tr w:rsidR="00836AA3" w:rsidRPr="00596AD5" w14:paraId="20468410" w14:textId="77777777" w:rsidTr="00836AA3">
        <w:tc>
          <w:tcPr>
            <w:tcW w:w="2122" w:type="dxa"/>
          </w:tcPr>
          <w:p w14:paraId="15FEEF25" w14:textId="08380FF5" w:rsidR="00836AA3" w:rsidRPr="00F73148" w:rsidRDefault="00836AA3" w:rsidP="00F73148">
            <w:pPr>
              <w:pStyle w:val="bodytext"/>
              <w:jc w:val="center"/>
              <w:rPr>
                <w:b/>
                <w:bCs/>
                <w:color w:val="auto"/>
                <w:sz w:val="20"/>
                <w:lang w:val="en-GB"/>
              </w:rPr>
            </w:pPr>
            <w:proofErr w:type="spellStart"/>
            <w:r w:rsidRPr="00F73148">
              <w:rPr>
                <w:b/>
                <w:bCs/>
                <w:color w:val="3C4043"/>
                <w:sz w:val="20"/>
                <w:szCs w:val="21"/>
                <w:shd w:val="clear" w:color="auto" w:fill="FFFFFF"/>
                <w:lang w:val="en-GB"/>
              </w:rPr>
              <w:t>Manuele</w:t>
            </w:r>
            <w:proofErr w:type="spellEnd"/>
            <w:r w:rsidRPr="00F73148">
              <w:rPr>
                <w:b/>
                <w:bCs/>
                <w:color w:val="3C4043"/>
                <w:sz w:val="20"/>
                <w:szCs w:val="21"/>
                <w:shd w:val="clear" w:color="auto" w:fill="FFFFFF"/>
                <w:lang w:val="en-GB"/>
              </w:rPr>
              <w:t xml:space="preserve"> </w:t>
            </w:r>
            <w:proofErr w:type="spellStart"/>
            <w:r w:rsidRPr="00F73148">
              <w:rPr>
                <w:b/>
                <w:bCs/>
                <w:color w:val="3C4043"/>
                <w:sz w:val="20"/>
                <w:szCs w:val="21"/>
                <w:shd w:val="clear" w:color="auto" w:fill="FFFFFF"/>
                <w:lang w:val="en-GB"/>
              </w:rPr>
              <w:t>frequentieherstel</w:t>
            </w:r>
            <w:proofErr w:type="spellEnd"/>
            <w:r w:rsidRPr="00F73148">
              <w:rPr>
                <w:b/>
                <w:bCs/>
                <w:color w:val="3C4043"/>
                <w:sz w:val="20"/>
                <w:szCs w:val="21"/>
                <w:shd w:val="clear" w:color="auto" w:fill="FFFFFF"/>
                <w:lang w:val="en-GB"/>
              </w:rPr>
              <w:t>- reserve (</w:t>
            </w:r>
            <w:proofErr w:type="spellStart"/>
            <w:r w:rsidRPr="00F73148">
              <w:rPr>
                <w:b/>
                <w:bCs/>
                <w:color w:val="3C4043"/>
                <w:sz w:val="20"/>
                <w:szCs w:val="21"/>
                <w:shd w:val="clear" w:color="auto" w:fill="FFFFFF"/>
                <w:lang w:val="en-GB"/>
              </w:rPr>
              <w:t>mFRR</w:t>
            </w:r>
            <w:proofErr w:type="spellEnd"/>
            <w:r w:rsidRPr="00F73148">
              <w:rPr>
                <w:b/>
                <w:bCs/>
                <w:color w:val="3C4043"/>
                <w:sz w:val="20"/>
                <w:szCs w:val="21"/>
                <w:shd w:val="clear" w:color="auto" w:fill="FFFFFF"/>
                <w:lang w:val="en-GB"/>
              </w:rPr>
              <w:t>)</w:t>
            </w:r>
          </w:p>
        </w:tc>
        <w:tc>
          <w:tcPr>
            <w:tcW w:w="1417" w:type="dxa"/>
          </w:tcPr>
          <w:p w14:paraId="702910DE" w14:textId="77777777" w:rsidR="00836AA3" w:rsidRPr="00384966" w:rsidRDefault="00836AA3" w:rsidP="00836AA3">
            <w:pPr>
              <w:pStyle w:val="bodytext"/>
              <w:jc w:val="both"/>
              <w:rPr>
                <w:color w:val="auto"/>
                <w:szCs w:val="16"/>
                <w:lang w:val="en-GB"/>
              </w:rPr>
            </w:pPr>
            <w:r w:rsidRPr="00384966">
              <w:rPr>
                <w:color w:val="auto"/>
                <w:szCs w:val="16"/>
                <w:lang w:val="nl-BE"/>
              </w:rPr>
              <w:t>Elia Transmission Belgium</w:t>
            </w:r>
          </w:p>
        </w:tc>
        <w:tc>
          <w:tcPr>
            <w:tcW w:w="1843" w:type="dxa"/>
          </w:tcPr>
          <w:p w14:paraId="7278F7DA" w14:textId="77777777" w:rsidR="00836AA3" w:rsidRPr="00384966" w:rsidRDefault="00836AA3" w:rsidP="00836AA3">
            <w:pPr>
              <w:pStyle w:val="bodytext"/>
              <w:jc w:val="both"/>
              <w:rPr>
                <w:color w:val="auto"/>
                <w:szCs w:val="16"/>
                <w:lang w:val="nl-BE"/>
              </w:rPr>
            </w:pPr>
            <w:r w:rsidRPr="00384966">
              <w:rPr>
                <w:color w:val="auto"/>
                <w:szCs w:val="16"/>
                <w:lang w:val="nl-BE"/>
              </w:rPr>
              <w:t xml:space="preserve">Zie </w:t>
            </w:r>
            <w:hyperlink r:id="rId14" w:history="1">
              <w:r w:rsidRPr="00384966">
                <w:rPr>
                  <w:rStyle w:val="Hyperlink"/>
                  <w:szCs w:val="16"/>
                  <w:lang w:val="nl-BE"/>
                </w:rPr>
                <w:t>www.elia.be</w:t>
              </w:r>
            </w:hyperlink>
          </w:p>
          <w:p w14:paraId="25C952EB" w14:textId="77777777" w:rsidR="00836AA3" w:rsidRPr="00384966" w:rsidRDefault="00836AA3" w:rsidP="00836AA3">
            <w:pPr>
              <w:pStyle w:val="bodytext"/>
              <w:jc w:val="both"/>
              <w:rPr>
                <w:color w:val="auto"/>
                <w:szCs w:val="16"/>
                <w:lang w:val="en-GB"/>
              </w:rPr>
            </w:pPr>
          </w:p>
        </w:tc>
        <w:tc>
          <w:tcPr>
            <w:tcW w:w="4649" w:type="dxa"/>
          </w:tcPr>
          <w:p w14:paraId="377ECA6D" w14:textId="409D83D0" w:rsidR="00836AA3" w:rsidRDefault="00836AA3" w:rsidP="00836AA3">
            <w:pPr>
              <w:pStyle w:val="bodytext"/>
              <w:numPr>
                <w:ilvl w:val="0"/>
                <w:numId w:val="52"/>
              </w:numPr>
              <w:rPr>
                <w:color w:val="auto"/>
                <w:lang w:val="nl-NL"/>
              </w:rPr>
            </w:pPr>
            <w:r>
              <w:rPr>
                <w:color w:val="auto"/>
                <w:lang w:val="nl-NL"/>
              </w:rPr>
              <w:t>Enkel de SDP-F’s aangesloten op het HS-net mogen worden toegevoegd aan de Pool van de FSP</w:t>
            </w:r>
            <w:r w:rsidR="007A4D4B">
              <w:rPr>
                <w:color w:val="auto"/>
                <w:lang w:val="nl-NL"/>
              </w:rPr>
              <w:t>, tenzij de toepasselijke regelgeving dit anders bepaalt.</w:t>
            </w:r>
          </w:p>
          <w:p w14:paraId="16289543" w14:textId="3B082483" w:rsidR="00836AA3" w:rsidRDefault="00836AA3" w:rsidP="00836AA3">
            <w:pPr>
              <w:pStyle w:val="bodytext"/>
              <w:numPr>
                <w:ilvl w:val="0"/>
                <w:numId w:val="52"/>
              </w:numPr>
              <w:rPr>
                <w:color w:val="auto"/>
                <w:lang w:val="nl-NL"/>
              </w:rPr>
            </w:pPr>
            <w:r>
              <w:rPr>
                <w:color w:val="auto"/>
                <w:lang w:val="nl-NL"/>
              </w:rPr>
              <w:t xml:space="preserve">De hoofdmeter van de DNB moet </w:t>
            </w:r>
            <w:r w:rsidR="004E25DE">
              <w:rPr>
                <w:color w:val="auto"/>
                <w:lang w:val="nl-NL"/>
              </w:rPr>
              <w:t xml:space="preserve">kwartiergemeten </w:t>
            </w:r>
            <w:r>
              <w:rPr>
                <w:color w:val="auto"/>
                <w:lang w:val="nl-NL"/>
              </w:rPr>
              <w:t>zijn.</w:t>
            </w:r>
          </w:p>
          <w:p w14:paraId="2DF2E0C4" w14:textId="77777777" w:rsidR="00836AA3" w:rsidRDefault="00836AA3" w:rsidP="00836AA3">
            <w:pPr>
              <w:pStyle w:val="bodytext"/>
              <w:numPr>
                <w:ilvl w:val="0"/>
                <w:numId w:val="52"/>
              </w:numPr>
              <w:rPr>
                <w:color w:val="auto"/>
                <w:lang w:val="nl-NL"/>
              </w:rPr>
            </w:pPr>
            <w:r w:rsidRPr="004F06DF">
              <w:rPr>
                <w:color w:val="auto"/>
                <w:lang w:val="nl-NL"/>
              </w:rPr>
              <w:t>Alvorens een SDP-F in de Pool van de FSP toe te voegen, moet het aansluitingspunt</w:t>
            </w:r>
            <w:r>
              <w:rPr>
                <w:color w:val="auto"/>
                <w:lang w:val="nl-NL"/>
              </w:rPr>
              <w:t xml:space="preserve">, gelinkt aan deze SDP-F worden </w:t>
            </w:r>
            <w:proofErr w:type="spellStart"/>
            <w:r>
              <w:rPr>
                <w:color w:val="auto"/>
                <w:lang w:val="nl-NL"/>
              </w:rPr>
              <w:t>geprekwalificeerd</w:t>
            </w:r>
            <w:proofErr w:type="spellEnd"/>
            <w:r>
              <w:rPr>
                <w:color w:val="auto"/>
                <w:lang w:val="nl-NL"/>
              </w:rPr>
              <w:t xml:space="preserve"> </w:t>
            </w:r>
            <w:r w:rsidRPr="004F06DF">
              <w:rPr>
                <w:color w:val="auto"/>
                <w:lang w:val="nl-NL"/>
              </w:rPr>
              <w:t>volgens de procedure beschreven in het document C8/01 van Synergrid.</w:t>
            </w:r>
          </w:p>
          <w:p w14:paraId="59A5863C" w14:textId="77777777" w:rsidR="00836AA3" w:rsidRDefault="00836AA3" w:rsidP="00836AA3">
            <w:pPr>
              <w:pStyle w:val="bodytext"/>
              <w:numPr>
                <w:ilvl w:val="0"/>
                <w:numId w:val="52"/>
              </w:numPr>
              <w:rPr>
                <w:color w:val="auto"/>
                <w:lang w:val="nl-NL"/>
              </w:rPr>
            </w:pPr>
            <w:r w:rsidRPr="004F06DF">
              <w:rPr>
                <w:color w:val="auto"/>
                <w:lang w:val="nl-NL"/>
              </w:rPr>
              <w:t xml:space="preserve">Het gevraagd flexibel vermogen mag in geen geval het </w:t>
            </w:r>
            <w:proofErr w:type="spellStart"/>
            <w:r w:rsidRPr="004F06DF">
              <w:rPr>
                <w:color w:val="auto"/>
                <w:lang w:val="nl-NL"/>
              </w:rPr>
              <w:t>geprekwalificeerd</w:t>
            </w:r>
            <w:proofErr w:type="spellEnd"/>
            <w:r w:rsidRPr="004F06DF">
              <w:rPr>
                <w:color w:val="auto"/>
                <w:lang w:val="nl-NL"/>
              </w:rPr>
              <w:t xml:space="preserve"> vermogen overschrijden. </w:t>
            </w:r>
          </w:p>
          <w:p w14:paraId="3E1B8D21" w14:textId="77777777" w:rsidR="00836AA3" w:rsidRDefault="00836AA3" w:rsidP="00836AA3">
            <w:pPr>
              <w:pStyle w:val="bodytext"/>
              <w:numPr>
                <w:ilvl w:val="0"/>
                <w:numId w:val="52"/>
              </w:numPr>
              <w:rPr>
                <w:color w:val="auto"/>
                <w:lang w:val="nl-NL"/>
              </w:rPr>
            </w:pPr>
            <w:r w:rsidRPr="0096166B">
              <w:rPr>
                <w:color w:val="auto"/>
                <w:lang w:val="nl-NL"/>
              </w:rPr>
              <w:t>Als het SDP-F zich in een specifiek circuit van de installatie bevindt (e</w:t>
            </w:r>
            <w:r>
              <w:rPr>
                <w:color w:val="auto"/>
                <w:lang w:val="nl-NL"/>
              </w:rPr>
              <w:t xml:space="preserve">n niet op het hoofd van de installatie), moeten de modaliteiten voor de telling conform zijn met het document </w:t>
            </w:r>
            <w:r w:rsidRPr="0096166B">
              <w:rPr>
                <w:color w:val="auto"/>
                <w:lang w:val="nl-NL"/>
              </w:rPr>
              <w:t xml:space="preserve">C8/02 </w:t>
            </w:r>
            <w:r>
              <w:rPr>
                <w:color w:val="auto"/>
                <w:lang w:val="nl-NL"/>
              </w:rPr>
              <w:t xml:space="preserve">van </w:t>
            </w:r>
            <w:r w:rsidRPr="0096166B">
              <w:rPr>
                <w:color w:val="auto"/>
                <w:lang w:val="nl-NL"/>
              </w:rPr>
              <w:t>Synergrid</w:t>
            </w:r>
            <w:r>
              <w:rPr>
                <w:color w:val="auto"/>
                <w:lang w:val="nl-NL"/>
              </w:rPr>
              <w:t>.</w:t>
            </w:r>
          </w:p>
          <w:p w14:paraId="420202F4" w14:textId="77777777" w:rsidR="00836AA3" w:rsidRPr="0096166B" w:rsidRDefault="00836AA3" w:rsidP="00836AA3">
            <w:pPr>
              <w:pStyle w:val="bodytext"/>
              <w:ind w:left="360"/>
              <w:rPr>
                <w:color w:val="auto"/>
                <w:lang w:val="nl-NL"/>
              </w:rPr>
            </w:pPr>
          </w:p>
        </w:tc>
        <w:tc>
          <w:tcPr>
            <w:tcW w:w="3260" w:type="dxa"/>
          </w:tcPr>
          <w:p w14:paraId="2F080969" w14:textId="4451FCAA" w:rsidR="00836AA3" w:rsidRDefault="00836AA3" w:rsidP="00EA5F14">
            <w:pPr>
              <w:pStyle w:val="bodytext"/>
              <w:numPr>
                <w:ilvl w:val="0"/>
                <w:numId w:val="52"/>
              </w:numPr>
              <w:rPr>
                <w:color w:val="auto"/>
                <w:lang w:val="nl-NL"/>
              </w:rPr>
            </w:pPr>
            <w:r>
              <w:rPr>
                <w:color w:val="auto"/>
                <w:lang w:val="nl-NL"/>
              </w:rPr>
              <w:t>De activeringen van de flexibiliteit moeten aan de DNB worden gecommuniceerd</w:t>
            </w:r>
            <w:r w:rsidR="00F73148">
              <w:rPr>
                <w:color w:val="auto"/>
                <w:lang w:val="nl-NL"/>
              </w:rPr>
              <w:t xml:space="preserve"> per e-mail</w:t>
            </w:r>
            <w:r w:rsidR="00AC4BE7">
              <w:rPr>
                <w:color w:val="auto"/>
                <w:lang w:val="nl-NL"/>
              </w:rPr>
              <w:t xml:space="preserve"> of elke andere manier van communicatie</w:t>
            </w:r>
            <w:r w:rsidR="00F92916">
              <w:rPr>
                <w:color w:val="auto"/>
                <w:lang w:val="nl-NL"/>
              </w:rPr>
              <w:t xml:space="preserve"> overeengekomen tussen de DNB en de FSP</w:t>
            </w:r>
            <w:r w:rsidR="00F73148">
              <w:rPr>
                <w:color w:val="auto"/>
                <w:lang w:val="nl-NL"/>
              </w:rPr>
              <w:t xml:space="preserve">, met aanduiding van de volgende informatie: </w:t>
            </w:r>
            <w:r>
              <w:rPr>
                <w:color w:val="auto"/>
                <w:lang w:val="nl-NL"/>
              </w:rPr>
              <w:t xml:space="preserve"> </w:t>
            </w:r>
          </w:p>
          <w:p w14:paraId="68FA0924" w14:textId="77777777" w:rsidR="00F73148" w:rsidRPr="00F73148" w:rsidRDefault="00F73148" w:rsidP="00EA5F14">
            <w:pPr>
              <w:pStyle w:val="bodytext"/>
              <w:numPr>
                <w:ilvl w:val="1"/>
                <w:numId w:val="52"/>
              </w:numPr>
              <w:rPr>
                <w:color w:val="auto"/>
                <w:lang w:val="nl-NL"/>
              </w:rPr>
            </w:pPr>
            <w:r w:rsidRPr="00F73148">
              <w:rPr>
                <w:color w:val="auto"/>
                <w:lang w:val="nl-NL"/>
              </w:rPr>
              <w:t>EAN</w:t>
            </w:r>
          </w:p>
          <w:p w14:paraId="5B3D8D35" w14:textId="77777777" w:rsidR="00F73148" w:rsidRPr="00F73148" w:rsidRDefault="00F73148" w:rsidP="00EA5F14">
            <w:pPr>
              <w:pStyle w:val="bodytext"/>
              <w:numPr>
                <w:ilvl w:val="1"/>
                <w:numId w:val="52"/>
              </w:numPr>
              <w:rPr>
                <w:color w:val="auto"/>
                <w:lang w:val="nl-NL"/>
              </w:rPr>
            </w:pPr>
            <w:r w:rsidRPr="00F73148">
              <w:rPr>
                <w:color w:val="auto"/>
                <w:lang w:val="nl-NL"/>
              </w:rPr>
              <w:t>Tijdstip activatie</w:t>
            </w:r>
          </w:p>
          <w:p w14:paraId="635F1001" w14:textId="77777777" w:rsidR="00F73148" w:rsidRPr="00F73148" w:rsidRDefault="00F73148" w:rsidP="00EA5F14">
            <w:pPr>
              <w:pStyle w:val="bodytext"/>
              <w:numPr>
                <w:ilvl w:val="1"/>
                <w:numId w:val="52"/>
              </w:numPr>
              <w:rPr>
                <w:color w:val="auto"/>
                <w:lang w:val="nl-NL"/>
              </w:rPr>
            </w:pPr>
            <w:r w:rsidRPr="00F73148">
              <w:rPr>
                <w:color w:val="auto"/>
                <w:lang w:val="nl-NL"/>
              </w:rPr>
              <w:t>Tijdstip vrijgave</w:t>
            </w:r>
          </w:p>
          <w:p w14:paraId="50F5E9D4" w14:textId="77777777" w:rsidR="00F73148" w:rsidRPr="00F73148" w:rsidRDefault="00F73148" w:rsidP="00EA5F14">
            <w:pPr>
              <w:pStyle w:val="bodytext"/>
              <w:numPr>
                <w:ilvl w:val="1"/>
                <w:numId w:val="52"/>
              </w:numPr>
              <w:rPr>
                <w:color w:val="auto"/>
                <w:lang w:val="nl-NL"/>
              </w:rPr>
            </w:pPr>
            <w:r w:rsidRPr="00F73148">
              <w:rPr>
                <w:color w:val="auto"/>
                <w:lang w:val="nl-NL"/>
              </w:rPr>
              <w:t>Geactiveerd vermogen (indien beschikbaar)</w:t>
            </w:r>
          </w:p>
          <w:p w14:paraId="62382DEB" w14:textId="64BC835A" w:rsidR="00F73148" w:rsidRPr="00384966" w:rsidRDefault="00F73148" w:rsidP="00F73148">
            <w:pPr>
              <w:pStyle w:val="bodytext"/>
              <w:ind w:left="1080"/>
              <w:jc w:val="both"/>
              <w:rPr>
                <w:color w:val="auto"/>
                <w:lang w:val="nl-NL"/>
              </w:rPr>
            </w:pPr>
          </w:p>
        </w:tc>
      </w:tr>
    </w:tbl>
    <w:p w14:paraId="12EB5FA4" w14:textId="77777777" w:rsidR="00A36C7C" w:rsidRDefault="00A36C7C">
      <w:r>
        <w:br w:type="page"/>
      </w:r>
    </w:p>
    <w:tbl>
      <w:tblPr>
        <w:tblStyle w:val="Tabelraster"/>
        <w:tblW w:w="13291" w:type="dxa"/>
        <w:tblLayout w:type="fixed"/>
        <w:tblLook w:val="04A0" w:firstRow="1" w:lastRow="0" w:firstColumn="1" w:lastColumn="0" w:noHBand="0" w:noVBand="1"/>
      </w:tblPr>
      <w:tblGrid>
        <w:gridCol w:w="2122"/>
        <w:gridCol w:w="1417"/>
        <w:gridCol w:w="1843"/>
        <w:gridCol w:w="4649"/>
        <w:gridCol w:w="3260"/>
      </w:tblGrid>
      <w:tr w:rsidR="00A36C7C" w:rsidRPr="00596AD5" w14:paraId="2148AC23" w14:textId="77777777" w:rsidTr="00836AA3">
        <w:tc>
          <w:tcPr>
            <w:tcW w:w="2122" w:type="dxa"/>
          </w:tcPr>
          <w:p w14:paraId="102BBE42" w14:textId="648E4311" w:rsidR="00A36C7C" w:rsidRPr="00F73148" w:rsidRDefault="00A36C7C" w:rsidP="00A36C7C">
            <w:pPr>
              <w:pStyle w:val="bodytext"/>
              <w:jc w:val="center"/>
              <w:rPr>
                <w:b/>
                <w:bCs/>
                <w:color w:val="auto"/>
                <w:sz w:val="20"/>
              </w:rPr>
            </w:pPr>
            <w:r w:rsidRPr="00853DC3">
              <w:rPr>
                <w:b/>
                <w:bCs/>
                <w:color w:val="auto"/>
                <w:sz w:val="20"/>
                <w:lang w:val="nl-BE"/>
              </w:rPr>
              <w:lastRenderedPageBreak/>
              <w:t>A</w:t>
            </w:r>
          </w:p>
        </w:tc>
        <w:tc>
          <w:tcPr>
            <w:tcW w:w="1417" w:type="dxa"/>
          </w:tcPr>
          <w:p w14:paraId="792EAC36" w14:textId="40AFBDD7" w:rsidR="00A36C7C" w:rsidRPr="00384966" w:rsidRDefault="00A36C7C" w:rsidP="00A36C7C">
            <w:pPr>
              <w:pStyle w:val="bodytext"/>
              <w:jc w:val="center"/>
              <w:rPr>
                <w:color w:val="auto"/>
                <w:szCs w:val="16"/>
                <w:lang w:val="nl-BE"/>
              </w:rPr>
            </w:pPr>
            <w:r>
              <w:rPr>
                <w:b/>
                <w:bCs/>
                <w:color w:val="auto"/>
                <w:sz w:val="20"/>
                <w:lang w:val="nl-BE"/>
              </w:rPr>
              <w:t>B</w:t>
            </w:r>
          </w:p>
        </w:tc>
        <w:tc>
          <w:tcPr>
            <w:tcW w:w="1843" w:type="dxa"/>
          </w:tcPr>
          <w:p w14:paraId="0E918357" w14:textId="3112B2B4" w:rsidR="00A36C7C" w:rsidRPr="00384966" w:rsidRDefault="00A36C7C" w:rsidP="00A36C7C">
            <w:pPr>
              <w:pStyle w:val="bodytext"/>
              <w:jc w:val="center"/>
              <w:rPr>
                <w:color w:val="auto"/>
                <w:szCs w:val="16"/>
                <w:lang w:val="nl-BE"/>
              </w:rPr>
            </w:pPr>
            <w:r>
              <w:rPr>
                <w:b/>
                <w:bCs/>
                <w:color w:val="auto"/>
                <w:sz w:val="20"/>
                <w:lang w:val="nl-BE"/>
              </w:rPr>
              <w:t>C</w:t>
            </w:r>
          </w:p>
        </w:tc>
        <w:tc>
          <w:tcPr>
            <w:tcW w:w="4649" w:type="dxa"/>
          </w:tcPr>
          <w:p w14:paraId="7F684D7C" w14:textId="355E75D0" w:rsidR="00A36C7C" w:rsidRDefault="00A36C7C" w:rsidP="00A36C7C">
            <w:pPr>
              <w:pStyle w:val="bodytext"/>
              <w:ind w:left="360"/>
              <w:jc w:val="center"/>
              <w:rPr>
                <w:color w:val="auto"/>
                <w:lang w:val="nl-NL"/>
              </w:rPr>
            </w:pPr>
            <w:r>
              <w:rPr>
                <w:b/>
                <w:bCs/>
                <w:color w:val="auto"/>
                <w:sz w:val="20"/>
                <w:lang w:val="nl-BE"/>
              </w:rPr>
              <w:t>D</w:t>
            </w:r>
          </w:p>
        </w:tc>
        <w:tc>
          <w:tcPr>
            <w:tcW w:w="3260" w:type="dxa"/>
          </w:tcPr>
          <w:p w14:paraId="5F7186AE" w14:textId="03DA7EEA" w:rsidR="00A36C7C" w:rsidRDefault="00A36C7C" w:rsidP="00A36C7C">
            <w:pPr>
              <w:pStyle w:val="bodytext"/>
              <w:ind w:left="360"/>
              <w:jc w:val="center"/>
              <w:rPr>
                <w:color w:val="auto"/>
                <w:lang w:val="nl-NL"/>
              </w:rPr>
            </w:pPr>
            <w:r>
              <w:rPr>
                <w:b/>
                <w:bCs/>
                <w:color w:val="auto"/>
                <w:sz w:val="20"/>
                <w:lang w:val="nl-BE"/>
              </w:rPr>
              <w:t>E</w:t>
            </w:r>
          </w:p>
        </w:tc>
      </w:tr>
      <w:tr w:rsidR="00A36C7C" w:rsidRPr="00596AD5" w14:paraId="3374DFB0" w14:textId="77777777" w:rsidTr="00836AA3">
        <w:tc>
          <w:tcPr>
            <w:tcW w:w="2122" w:type="dxa"/>
          </w:tcPr>
          <w:p w14:paraId="58DE64E3" w14:textId="70437C05" w:rsidR="00A36C7C" w:rsidRPr="00F73148" w:rsidRDefault="00A36C7C" w:rsidP="00A36C7C">
            <w:pPr>
              <w:pStyle w:val="bodytext"/>
              <w:jc w:val="center"/>
              <w:rPr>
                <w:b/>
                <w:bCs/>
                <w:color w:val="auto"/>
                <w:sz w:val="20"/>
              </w:rPr>
            </w:pPr>
            <w:r w:rsidRPr="00853DC3">
              <w:rPr>
                <w:b/>
                <w:bCs/>
                <w:color w:val="auto"/>
                <w:sz w:val="20"/>
                <w:lang w:val="nl-BE"/>
              </w:rPr>
              <w:t>Flexibiliteitsdienst</w:t>
            </w:r>
          </w:p>
        </w:tc>
        <w:tc>
          <w:tcPr>
            <w:tcW w:w="1417" w:type="dxa"/>
          </w:tcPr>
          <w:p w14:paraId="66D13FF0" w14:textId="67F9C1AD" w:rsidR="00A36C7C" w:rsidRPr="00384966" w:rsidRDefault="00A36C7C" w:rsidP="00A36C7C">
            <w:pPr>
              <w:pStyle w:val="bodytext"/>
              <w:jc w:val="center"/>
              <w:rPr>
                <w:color w:val="auto"/>
                <w:szCs w:val="16"/>
                <w:lang w:val="nl-BE"/>
              </w:rPr>
            </w:pPr>
            <w:r w:rsidRPr="00853DC3">
              <w:rPr>
                <w:b/>
                <w:bCs/>
                <w:color w:val="auto"/>
                <w:sz w:val="20"/>
                <w:lang w:val="nl-BE"/>
              </w:rPr>
              <w:t>FRP</w:t>
            </w:r>
          </w:p>
        </w:tc>
        <w:tc>
          <w:tcPr>
            <w:tcW w:w="1843" w:type="dxa"/>
          </w:tcPr>
          <w:p w14:paraId="7387FF68" w14:textId="77777777" w:rsidR="00A36C7C" w:rsidRDefault="00A36C7C" w:rsidP="00A36C7C">
            <w:pPr>
              <w:pStyle w:val="bodytext"/>
              <w:jc w:val="center"/>
              <w:rPr>
                <w:b/>
                <w:bCs/>
                <w:color w:val="auto"/>
                <w:sz w:val="20"/>
                <w:lang w:val="nl-BE"/>
              </w:rPr>
            </w:pPr>
            <w:r w:rsidRPr="00853DC3">
              <w:rPr>
                <w:b/>
                <w:bCs/>
                <w:color w:val="auto"/>
                <w:sz w:val="20"/>
                <w:lang w:val="nl-BE"/>
              </w:rPr>
              <w:t>Algemene voorwaarden voor Flexibiliteits</w:t>
            </w:r>
            <w:r>
              <w:rPr>
                <w:b/>
                <w:bCs/>
                <w:color w:val="auto"/>
                <w:sz w:val="20"/>
                <w:lang w:val="nl-BE"/>
              </w:rPr>
              <w:t>-</w:t>
            </w:r>
            <w:r w:rsidRPr="00853DC3">
              <w:rPr>
                <w:b/>
                <w:bCs/>
                <w:color w:val="auto"/>
                <w:sz w:val="20"/>
                <w:lang w:val="nl-BE"/>
              </w:rPr>
              <w:t>diensten</w:t>
            </w:r>
          </w:p>
          <w:p w14:paraId="048ED479" w14:textId="77777777" w:rsidR="00A36C7C" w:rsidRPr="00384966" w:rsidRDefault="00A36C7C" w:rsidP="00A36C7C">
            <w:pPr>
              <w:pStyle w:val="bodytext"/>
              <w:jc w:val="center"/>
              <w:rPr>
                <w:color w:val="auto"/>
                <w:szCs w:val="16"/>
                <w:lang w:val="nl-BE"/>
              </w:rPr>
            </w:pPr>
          </w:p>
        </w:tc>
        <w:tc>
          <w:tcPr>
            <w:tcW w:w="4649" w:type="dxa"/>
          </w:tcPr>
          <w:p w14:paraId="7679EA37" w14:textId="435E38C2" w:rsidR="00A36C7C" w:rsidRDefault="00A36C7C" w:rsidP="00A36C7C">
            <w:pPr>
              <w:pStyle w:val="bodytext"/>
              <w:ind w:left="360"/>
              <w:jc w:val="center"/>
              <w:rPr>
                <w:color w:val="auto"/>
                <w:lang w:val="nl-NL"/>
              </w:rPr>
            </w:pPr>
            <w:r>
              <w:rPr>
                <w:b/>
                <w:bCs/>
                <w:color w:val="auto"/>
                <w:sz w:val="20"/>
                <w:lang w:val="nl-BE"/>
              </w:rPr>
              <w:t>Specifieke voorwaarden voor deelname aan de Flexibiliteitsdienst</w:t>
            </w:r>
          </w:p>
        </w:tc>
        <w:tc>
          <w:tcPr>
            <w:tcW w:w="3260" w:type="dxa"/>
          </w:tcPr>
          <w:p w14:paraId="3E1B2C07" w14:textId="10B44D9C" w:rsidR="00A36C7C" w:rsidRDefault="00A36C7C" w:rsidP="00A36C7C">
            <w:pPr>
              <w:pStyle w:val="bodytext"/>
              <w:ind w:left="360"/>
              <w:jc w:val="center"/>
              <w:rPr>
                <w:color w:val="auto"/>
                <w:lang w:val="nl-NL"/>
              </w:rPr>
            </w:pPr>
            <w:r>
              <w:rPr>
                <w:b/>
                <w:bCs/>
                <w:color w:val="auto"/>
                <w:sz w:val="20"/>
                <w:lang w:val="nl-BE"/>
              </w:rPr>
              <w:t>Bijkomende informatie</w:t>
            </w:r>
          </w:p>
        </w:tc>
      </w:tr>
      <w:tr w:rsidR="00836AA3" w:rsidRPr="00596AD5" w14:paraId="35F03E5B" w14:textId="77777777" w:rsidTr="00836AA3">
        <w:tc>
          <w:tcPr>
            <w:tcW w:w="2122" w:type="dxa"/>
          </w:tcPr>
          <w:p w14:paraId="4C451EAC" w14:textId="307851EB" w:rsidR="00836AA3" w:rsidRPr="00F73148" w:rsidRDefault="00836AA3" w:rsidP="00F73148">
            <w:pPr>
              <w:pStyle w:val="bodytext"/>
              <w:jc w:val="center"/>
              <w:rPr>
                <w:b/>
                <w:bCs/>
                <w:color w:val="auto"/>
                <w:sz w:val="20"/>
                <w:lang w:val="nl-NL"/>
              </w:rPr>
            </w:pPr>
            <w:proofErr w:type="spellStart"/>
            <w:r w:rsidRPr="00F73148">
              <w:rPr>
                <w:b/>
                <w:bCs/>
                <w:color w:val="auto"/>
                <w:sz w:val="20"/>
              </w:rPr>
              <w:t>Strategische</w:t>
            </w:r>
            <w:proofErr w:type="spellEnd"/>
            <w:r w:rsidRPr="00F73148">
              <w:rPr>
                <w:b/>
                <w:bCs/>
                <w:color w:val="auto"/>
                <w:sz w:val="20"/>
              </w:rPr>
              <w:t xml:space="preserve"> </w:t>
            </w:r>
            <w:proofErr w:type="spellStart"/>
            <w:r w:rsidRPr="00F73148">
              <w:rPr>
                <w:b/>
                <w:bCs/>
                <w:color w:val="auto"/>
                <w:sz w:val="20"/>
              </w:rPr>
              <w:t>reserve</w:t>
            </w:r>
            <w:proofErr w:type="spellEnd"/>
            <w:r w:rsidRPr="00F73148">
              <w:rPr>
                <w:b/>
                <w:bCs/>
                <w:color w:val="auto"/>
                <w:sz w:val="20"/>
              </w:rPr>
              <w:t xml:space="preserve"> (SDR)</w:t>
            </w:r>
          </w:p>
        </w:tc>
        <w:tc>
          <w:tcPr>
            <w:tcW w:w="1417" w:type="dxa"/>
          </w:tcPr>
          <w:p w14:paraId="12B6838E" w14:textId="77777777" w:rsidR="00836AA3" w:rsidRPr="00384966" w:rsidRDefault="00836AA3" w:rsidP="00836AA3">
            <w:pPr>
              <w:pStyle w:val="bodytext"/>
              <w:jc w:val="both"/>
              <w:rPr>
                <w:color w:val="auto"/>
                <w:szCs w:val="16"/>
                <w:lang w:val="nl-NL"/>
              </w:rPr>
            </w:pPr>
            <w:r w:rsidRPr="00384966">
              <w:rPr>
                <w:color w:val="auto"/>
                <w:szCs w:val="16"/>
                <w:lang w:val="nl-BE"/>
              </w:rPr>
              <w:t>Elia Transmission Belgium</w:t>
            </w:r>
          </w:p>
        </w:tc>
        <w:tc>
          <w:tcPr>
            <w:tcW w:w="1843" w:type="dxa"/>
          </w:tcPr>
          <w:p w14:paraId="7EE1949B" w14:textId="77777777" w:rsidR="00836AA3" w:rsidRPr="00384966" w:rsidRDefault="00836AA3" w:rsidP="00836AA3">
            <w:pPr>
              <w:pStyle w:val="bodytext"/>
              <w:jc w:val="both"/>
              <w:rPr>
                <w:color w:val="auto"/>
                <w:szCs w:val="16"/>
                <w:lang w:val="nl-BE"/>
              </w:rPr>
            </w:pPr>
            <w:r w:rsidRPr="00384966">
              <w:rPr>
                <w:color w:val="auto"/>
                <w:szCs w:val="16"/>
                <w:lang w:val="nl-BE"/>
              </w:rPr>
              <w:t xml:space="preserve">Zie </w:t>
            </w:r>
            <w:hyperlink r:id="rId15" w:history="1">
              <w:r w:rsidRPr="00384966">
                <w:rPr>
                  <w:rStyle w:val="Hyperlink"/>
                  <w:szCs w:val="16"/>
                  <w:lang w:val="nl-BE"/>
                </w:rPr>
                <w:t>www.elia.be</w:t>
              </w:r>
            </w:hyperlink>
          </w:p>
          <w:p w14:paraId="2F0EFD17" w14:textId="77777777" w:rsidR="00836AA3" w:rsidRPr="00384966" w:rsidRDefault="00836AA3" w:rsidP="00836AA3">
            <w:pPr>
              <w:pStyle w:val="bodytext"/>
              <w:jc w:val="both"/>
              <w:rPr>
                <w:color w:val="auto"/>
                <w:szCs w:val="16"/>
                <w:lang w:val="nl-NL"/>
              </w:rPr>
            </w:pPr>
          </w:p>
        </w:tc>
        <w:tc>
          <w:tcPr>
            <w:tcW w:w="4649" w:type="dxa"/>
          </w:tcPr>
          <w:p w14:paraId="6D101BB7" w14:textId="1C721AC7" w:rsidR="00836AA3" w:rsidRDefault="00836AA3" w:rsidP="00836AA3">
            <w:pPr>
              <w:pStyle w:val="bodytext"/>
              <w:numPr>
                <w:ilvl w:val="0"/>
                <w:numId w:val="52"/>
              </w:numPr>
              <w:rPr>
                <w:color w:val="auto"/>
                <w:lang w:val="nl-NL"/>
              </w:rPr>
            </w:pPr>
            <w:r>
              <w:rPr>
                <w:color w:val="auto"/>
                <w:lang w:val="nl-NL"/>
              </w:rPr>
              <w:t xml:space="preserve">Enkel de SDP-F’s aangesloten op het HS-net </w:t>
            </w:r>
            <w:r w:rsidRPr="00365236">
              <w:rPr>
                <w:color w:val="auto"/>
                <w:lang w:val="nl-NL"/>
              </w:rPr>
              <w:t>mogen worden toegevoegd aan de Pool van de FSP</w:t>
            </w:r>
            <w:r w:rsidR="00365236" w:rsidRPr="00365236">
              <w:rPr>
                <w:color w:val="auto"/>
                <w:lang w:val="nl-NL"/>
              </w:rPr>
              <w:t>, tenzij de toepasselijke regelgeving dit anders bepaalt.</w:t>
            </w:r>
          </w:p>
          <w:p w14:paraId="1E043CCF" w14:textId="426D9546" w:rsidR="00836AA3" w:rsidRDefault="00836AA3" w:rsidP="00836AA3">
            <w:pPr>
              <w:pStyle w:val="bodytext"/>
              <w:numPr>
                <w:ilvl w:val="0"/>
                <w:numId w:val="52"/>
              </w:numPr>
              <w:rPr>
                <w:color w:val="auto"/>
                <w:lang w:val="nl-NL"/>
              </w:rPr>
            </w:pPr>
            <w:r>
              <w:rPr>
                <w:color w:val="auto"/>
                <w:lang w:val="nl-NL"/>
              </w:rPr>
              <w:t xml:space="preserve">De hoofdmeter van de DNB moet </w:t>
            </w:r>
            <w:r w:rsidR="004E25DE">
              <w:rPr>
                <w:color w:val="auto"/>
                <w:lang w:val="nl-NL"/>
              </w:rPr>
              <w:t xml:space="preserve">kwartiergemeten </w:t>
            </w:r>
            <w:r>
              <w:rPr>
                <w:color w:val="auto"/>
                <w:lang w:val="nl-NL"/>
              </w:rPr>
              <w:t>zijn.</w:t>
            </w:r>
          </w:p>
          <w:p w14:paraId="239D9875" w14:textId="77777777" w:rsidR="00836AA3" w:rsidRDefault="00836AA3" w:rsidP="00836AA3">
            <w:pPr>
              <w:pStyle w:val="bodytext"/>
              <w:numPr>
                <w:ilvl w:val="0"/>
                <w:numId w:val="52"/>
              </w:numPr>
              <w:rPr>
                <w:color w:val="auto"/>
                <w:lang w:val="nl-NL"/>
              </w:rPr>
            </w:pPr>
            <w:r w:rsidRPr="004F06DF">
              <w:rPr>
                <w:color w:val="auto"/>
                <w:lang w:val="nl-NL"/>
              </w:rPr>
              <w:t>Alvorens een SDP-F in de Pool van de FSP toe te voegen, moet het aansluitingspunt</w:t>
            </w:r>
            <w:r>
              <w:rPr>
                <w:color w:val="auto"/>
                <w:lang w:val="nl-NL"/>
              </w:rPr>
              <w:t xml:space="preserve">, gelinkt aan deze SDP-F worden </w:t>
            </w:r>
            <w:proofErr w:type="spellStart"/>
            <w:r>
              <w:rPr>
                <w:color w:val="auto"/>
                <w:lang w:val="nl-NL"/>
              </w:rPr>
              <w:t>geprekwalificeerd</w:t>
            </w:r>
            <w:proofErr w:type="spellEnd"/>
            <w:r>
              <w:rPr>
                <w:color w:val="auto"/>
                <w:lang w:val="nl-NL"/>
              </w:rPr>
              <w:t xml:space="preserve"> </w:t>
            </w:r>
            <w:r w:rsidRPr="004F06DF">
              <w:rPr>
                <w:color w:val="auto"/>
                <w:lang w:val="nl-NL"/>
              </w:rPr>
              <w:t>volgens de procedure beschreven in het document C8/01 van Synergrid.</w:t>
            </w:r>
          </w:p>
          <w:p w14:paraId="6FEE9060" w14:textId="77777777" w:rsidR="00836AA3" w:rsidRDefault="00836AA3" w:rsidP="00836AA3">
            <w:pPr>
              <w:pStyle w:val="bodytext"/>
              <w:numPr>
                <w:ilvl w:val="0"/>
                <w:numId w:val="52"/>
              </w:numPr>
              <w:rPr>
                <w:color w:val="auto"/>
                <w:lang w:val="nl-NL"/>
              </w:rPr>
            </w:pPr>
            <w:r w:rsidRPr="004F06DF">
              <w:rPr>
                <w:color w:val="auto"/>
                <w:lang w:val="nl-NL"/>
              </w:rPr>
              <w:t xml:space="preserve">Het gevraagd flexibel vermogen mag in geen geval het </w:t>
            </w:r>
            <w:proofErr w:type="spellStart"/>
            <w:r w:rsidRPr="004F06DF">
              <w:rPr>
                <w:color w:val="auto"/>
                <w:lang w:val="nl-NL"/>
              </w:rPr>
              <w:t>geprekwalificeerd</w:t>
            </w:r>
            <w:proofErr w:type="spellEnd"/>
            <w:r w:rsidRPr="004F06DF">
              <w:rPr>
                <w:color w:val="auto"/>
                <w:lang w:val="nl-NL"/>
              </w:rPr>
              <w:t xml:space="preserve"> vermogen overschrijden. </w:t>
            </w:r>
          </w:p>
          <w:p w14:paraId="2E25A4D8" w14:textId="77777777" w:rsidR="00836AA3" w:rsidRDefault="00836AA3" w:rsidP="00836AA3">
            <w:pPr>
              <w:pStyle w:val="bodytext"/>
              <w:numPr>
                <w:ilvl w:val="0"/>
                <w:numId w:val="52"/>
              </w:numPr>
              <w:rPr>
                <w:color w:val="auto"/>
                <w:lang w:val="nl-NL"/>
              </w:rPr>
            </w:pPr>
            <w:r w:rsidRPr="0096166B">
              <w:rPr>
                <w:color w:val="auto"/>
                <w:lang w:val="nl-NL"/>
              </w:rPr>
              <w:t>Als het SDP-F zich in een specifiek circuit van de installatie bevindt (en niet op het hoofd van de installatie), moeten de modaliteiten voor de telling conform zijn met het document C8/02 van Synergrid.</w:t>
            </w:r>
          </w:p>
          <w:p w14:paraId="7531B095" w14:textId="77777777" w:rsidR="00836AA3" w:rsidRPr="0096166B" w:rsidRDefault="00836AA3" w:rsidP="00836AA3">
            <w:pPr>
              <w:pStyle w:val="bodytext"/>
              <w:ind w:left="360"/>
              <w:rPr>
                <w:color w:val="auto"/>
                <w:lang w:val="nl-NL"/>
              </w:rPr>
            </w:pPr>
          </w:p>
        </w:tc>
        <w:tc>
          <w:tcPr>
            <w:tcW w:w="3260" w:type="dxa"/>
          </w:tcPr>
          <w:p w14:paraId="0F9477BA" w14:textId="68D49EEA" w:rsidR="00EA5F14" w:rsidRDefault="00EA5F14" w:rsidP="00EA5F14">
            <w:pPr>
              <w:pStyle w:val="bodytext"/>
              <w:numPr>
                <w:ilvl w:val="0"/>
                <w:numId w:val="52"/>
              </w:numPr>
              <w:rPr>
                <w:color w:val="auto"/>
                <w:lang w:val="nl-NL"/>
              </w:rPr>
            </w:pPr>
            <w:r>
              <w:rPr>
                <w:color w:val="auto"/>
                <w:lang w:val="nl-NL"/>
              </w:rPr>
              <w:t>De activeringen van de flexibiliteit moeten aan de DNB worden gecommuniceerd per e-mail</w:t>
            </w:r>
            <w:r w:rsidR="00F92916">
              <w:rPr>
                <w:color w:val="auto"/>
                <w:lang w:val="nl-NL"/>
              </w:rPr>
              <w:t xml:space="preserve"> of elke andere manier van communicatie overeengekomen tussen de DNB en de FSP</w:t>
            </w:r>
            <w:r>
              <w:rPr>
                <w:color w:val="auto"/>
                <w:lang w:val="nl-NL"/>
              </w:rPr>
              <w:t xml:space="preserve">, met aanduiding van de volgende informatie:  </w:t>
            </w:r>
          </w:p>
          <w:p w14:paraId="4DC1D949" w14:textId="77777777" w:rsidR="00EA5F14" w:rsidRPr="00F73148" w:rsidRDefault="00EA5F14" w:rsidP="00EA5F14">
            <w:pPr>
              <w:pStyle w:val="bodytext"/>
              <w:numPr>
                <w:ilvl w:val="1"/>
                <w:numId w:val="52"/>
              </w:numPr>
              <w:rPr>
                <w:color w:val="auto"/>
                <w:lang w:val="nl-NL"/>
              </w:rPr>
            </w:pPr>
            <w:r w:rsidRPr="00F73148">
              <w:rPr>
                <w:color w:val="auto"/>
                <w:lang w:val="nl-NL"/>
              </w:rPr>
              <w:t>EAN</w:t>
            </w:r>
          </w:p>
          <w:p w14:paraId="20B9A0A2" w14:textId="77777777" w:rsidR="00EA5F14" w:rsidRPr="00F73148" w:rsidRDefault="00EA5F14" w:rsidP="00EA5F14">
            <w:pPr>
              <w:pStyle w:val="bodytext"/>
              <w:numPr>
                <w:ilvl w:val="1"/>
                <w:numId w:val="52"/>
              </w:numPr>
              <w:rPr>
                <w:color w:val="auto"/>
                <w:lang w:val="nl-NL"/>
              </w:rPr>
            </w:pPr>
            <w:r w:rsidRPr="00F73148">
              <w:rPr>
                <w:color w:val="auto"/>
                <w:lang w:val="nl-NL"/>
              </w:rPr>
              <w:t>Tijdstip activatie</w:t>
            </w:r>
          </w:p>
          <w:p w14:paraId="0C543BE6" w14:textId="77777777" w:rsidR="00EA5F14" w:rsidRPr="00F73148" w:rsidRDefault="00EA5F14" w:rsidP="00EA5F14">
            <w:pPr>
              <w:pStyle w:val="bodytext"/>
              <w:numPr>
                <w:ilvl w:val="1"/>
                <w:numId w:val="52"/>
              </w:numPr>
              <w:rPr>
                <w:color w:val="auto"/>
                <w:lang w:val="nl-NL"/>
              </w:rPr>
            </w:pPr>
            <w:r w:rsidRPr="00F73148">
              <w:rPr>
                <w:color w:val="auto"/>
                <w:lang w:val="nl-NL"/>
              </w:rPr>
              <w:t>Tijdstip vrijgave</w:t>
            </w:r>
          </w:p>
          <w:p w14:paraId="168AA041" w14:textId="77777777" w:rsidR="00EA5F14" w:rsidRPr="00F73148" w:rsidRDefault="00EA5F14" w:rsidP="00EA5F14">
            <w:pPr>
              <w:pStyle w:val="bodytext"/>
              <w:numPr>
                <w:ilvl w:val="1"/>
                <w:numId w:val="52"/>
              </w:numPr>
              <w:rPr>
                <w:color w:val="auto"/>
                <w:lang w:val="nl-NL"/>
              </w:rPr>
            </w:pPr>
            <w:r w:rsidRPr="00F73148">
              <w:rPr>
                <w:color w:val="auto"/>
                <w:lang w:val="nl-NL"/>
              </w:rPr>
              <w:t>Geactiveerd vermogen (indien beschikbaar)</w:t>
            </w:r>
          </w:p>
          <w:p w14:paraId="0E50343A" w14:textId="64C922A9" w:rsidR="00836AA3" w:rsidRPr="00384966" w:rsidRDefault="00836AA3" w:rsidP="00387747">
            <w:pPr>
              <w:pStyle w:val="bodytext"/>
              <w:ind w:left="360"/>
              <w:rPr>
                <w:color w:val="auto"/>
                <w:lang w:val="nl-NL"/>
              </w:rPr>
            </w:pPr>
          </w:p>
        </w:tc>
      </w:tr>
    </w:tbl>
    <w:p w14:paraId="3EB57759" w14:textId="2946BDEF" w:rsidR="00C54FA1" w:rsidRDefault="00C54FA1" w:rsidP="00836AA3">
      <w:pPr>
        <w:pStyle w:val="bodytext"/>
        <w:jc w:val="both"/>
        <w:rPr>
          <w:color w:val="auto"/>
          <w:sz w:val="20"/>
          <w:lang w:val="nl-NL"/>
        </w:rPr>
      </w:pPr>
    </w:p>
    <w:p w14:paraId="19F144AE" w14:textId="77777777" w:rsidR="00C54FA1" w:rsidRDefault="00C54FA1">
      <w:pPr>
        <w:spacing w:after="200" w:line="276" w:lineRule="auto"/>
        <w:jc w:val="left"/>
        <w:rPr>
          <w:rFonts w:eastAsia="Arial Unicode MS" w:cs="Arial"/>
          <w:szCs w:val="18"/>
          <w:lang w:val="nl-NL" w:eastAsia="fr-FR"/>
        </w:rPr>
      </w:pPr>
      <w:r>
        <w:rPr>
          <w:lang w:val="nl-NL"/>
        </w:rPr>
        <w:br w:type="page"/>
      </w:r>
    </w:p>
    <w:tbl>
      <w:tblPr>
        <w:tblStyle w:val="Tabelraster"/>
        <w:tblW w:w="13291" w:type="dxa"/>
        <w:tblLayout w:type="fixed"/>
        <w:tblLook w:val="04A0" w:firstRow="1" w:lastRow="0" w:firstColumn="1" w:lastColumn="0" w:noHBand="0" w:noVBand="1"/>
      </w:tblPr>
      <w:tblGrid>
        <w:gridCol w:w="2122"/>
        <w:gridCol w:w="1417"/>
        <w:gridCol w:w="1843"/>
        <w:gridCol w:w="6095"/>
        <w:gridCol w:w="1814"/>
      </w:tblGrid>
      <w:tr w:rsidR="00C54FA1" w14:paraId="39F67DA9" w14:textId="77777777" w:rsidTr="00E87BC2">
        <w:tc>
          <w:tcPr>
            <w:tcW w:w="2122" w:type="dxa"/>
            <w:shd w:val="clear" w:color="auto" w:fill="FFFF00"/>
          </w:tcPr>
          <w:p w14:paraId="231ED75D" w14:textId="77777777" w:rsidR="00C54FA1" w:rsidRPr="00F73148" w:rsidRDefault="00C54FA1" w:rsidP="00E375E6">
            <w:pPr>
              <w:pStyle w:val="bodytext"/>
              <w:jc w:val="center"/>
              <w:rPr>
                <w:b/>
                <w:bCs/>
                <w:color w:val="auto"/>
                <w:sz w:val="20"/>
              </w:rPr>
            </w:pPr>
            <w:r w:rsidRPr="00853DC3">
              <w:rPr>
                <w:b/>
                <w:bCs/>
                <w:color w:val="auto"/>
                <w:sz w:val="20"/>
                <w:lang w:val="nl-BE"/>
              </w:rPr>
              <w:lastRenderedPageBreak/>
              <w:t>A</w:t>
            </w:r>
          </w:p>
        </w:tc>
        <w:tc>
          <w:tcPr>
            <w:tcW w:w="1417" w:type="dxa"/>
            <w:shd w:val="clear" w:color="auto" w:fill="FFFF00"/>
          </w:tcPr>
          <w:p w14:paraId="7138DA5B" w14:textId="77777777" w:rsidR="00C54FA1" w:rsidRPr="00384966" w:rsidRDefault="00C54FA1" w:rsidP="00E375E6">
            <w:pPr>
              <w:pStyle w:val="bodytext"/>
              <w:jc w:val="center"/>
              <w:rPr>
                <w:color w:val="auto"/>
                <w:szCs w:val="16"/>
                <w:lang w:val="nl-BE"/>
              </w:rPr>
            </w:pPr>
            <w:r>
              <w:rPr>
                <w:b/>
                <w:bCs/>
                <w:color w:val="auto"/>
                <w:sz w:val="20"/>
                <w:lang w:val="nl-BE"/>
              </w:rPr>
              <w:t>B</w:t>
            </w:r>
          </w:p>
        </w:tc>
        <w:tc>
          <w:tcPr>
            <w:tcW w:w="1843" w:type="dxa"/>
            <w:shd w:val="clear" w:color="auto" w:fill="FFFF00"/>
          </w:tcPr>
          <w:p w14:paraId="2D1DD184" w14:textId="77777777" w:rsidR="00C54FA1" w:rsidRPr="00384966" w:rsidRDefault="00C54FA1" w:rsidP="00E375E6">
            <w:pPr>
              <w:pStyle w:val="bodytext"/>
              <w:jc w:val="center"/>
              <w:rPr>
                <w:color w:val="auto"/>
                <w:szCs w:val="16"/>
                <w:lang w:val="nl-BE"/>
              </w:rPr>
            </w:pPr>
            <w:r>
              <w:rPr>
                <w:b/>
                <w:bCs/>
                <w:color w:val="auto"/>
                <w:sz w:val="20"/>
                <w:lang w:val="nl-BE"/>
              </w:rPr>
              <w:t>C</w:t>
            </w:r>
          </w:p>
        </w:tc>
        <w:tc>
          <w:tcPr>
            <w:tcW w:w="6095" w:type="dxa"/>
            <w:shd w:val="clear" w:color="auto" w:fill="FFFF00"/>
          </w:tcPr>
          <w:p w14:paraId="6BFB838D" w14:textId="77777777" w:rsidR="00C54FA1" w:rsidRDefault="00C54FA1" w:rsidP="00E375E6">
            <w:pPr>
              <w:pStyle w:val="bodytext"/>
              <w:ind w:left="360"/>
              <w:jc w:val="center"/>
              <w:rPr>
                <w:color w:val="auto"/>
                <w:lang w:val="nl-NL"/>
              </w:rPr>
            </w:pPr>
            <w:r>
              <w:rPr>
                <w:b/>
                <w:bCs/>
                <w:color w:val="auto"/>
                <w:sz w:val="20"/>
                <w:lang w:val="nl-BE"/>
              </w:rPr>
              <w:t>D</w:t>
            </w:r>
          </w:p>
        </w:tc>
        <w:tc>
          <w:tcPr>
            <w:tcW w:w="1814" w:type="dxa"/>
            <w:shd w:val="clear" w:color="auto" w:fill="FFFF00"/>
          </w:tcPr>
          <w:p w14:paraId="2AF2A6D2" w14:textId="77777777" w:rsidR="00C54FA1" w:rsidRDefault="00C54FA1" w:rsidP="00E375E6">
            <w:pPr>
              <w:pStyle w:val="bodytext"/>
              <w:ind w:left="360"/>
              <w:jc w:val="center"/>
              <w:rPr>
                <w:color w:val="auto"/>
                <w:lang w:val="nl-NL"/>
              </w:rPr>
            </w:pPr>
            <w:r>
              <w:rPr>
                <w:b/>
                <w:bCs/>
                <w:color w:val="auto"/>
                <w:sz w:val="20"/>
                <w:lang w:val="nl-BE"/>
              </w:rPr>
              <w:t>E</w:t>
            </w:r>
          </w:p>
        </w:tc>
      </w:tr>
      <w:tr w:rsidR="00C54FA1" w14:paraId="2FF0863A" w14:textId="77777777" w:rsidTr="00E87BC2">
        <w:tc>
          <w:tcPr>
            <w:tcW w:w="2122" w:type="dxa"/>
            <w:shd w:val="clear" w:color="auto" w:fill="FFFF00"/>
          </w:tcPr>
          <w:p w14:paraId="403F9F26" w14:textId="77777777" w:rsidR="00C54FA1" w:rsidRPr="00F73148" w:rsidRDefault="00C54FA1" w:rsidP="00E375E6">
            <w:pPr>
              <w:pStyle w:val="bodytext"/>
              <w:jc w:val="center"/>
              <w:rPr>
                <w:b/>
                <w:bCs/>
                <w:color w:val="auto"/>
                <w:sz w:val="20"/>
              </w:rPr>
            </w:pPr>
            <w:r w:rsidRPr="00853DC3">
              <w:rPr>
                <w:b/>
                <w:bCs/>
                <w:color w:val="auto"/>
                <w:sz w:val="20"/>
                <w:lang w:val="nl-BE"/>
              </w:rPr>
              <w:t>Flexibiliteitsdienst</w:t>
            </w:r>
          </w:p>
        </w:tc>
        <w:tc>
          <w:tcPr>
            <w:tcW w:w="1417" w:type="dxa"/>
            <w:shd w:val="clear" w:color="auto" w:fill="FFFF00"/>
          </w:tcPr>
          <w:p w14:paraId="63C95E14" w14:textId="77777777" w:rsidR="00C54FA1" w:rsidRPr="00384966" w:rsidRDefault="00C54FA1" w:rsidP="00E375E6">
            <w:pPr>
              <w:pStyle w:val="bodytext"/>
              <w:jc w:val="center"/>
              <w:rPr>
                <w:color w:val="auto"/>
                <w:szCs w:val="16"/>
                <w:lang w:val="nl-BE"/>
              </w:rPr>
            </w:pPr>
            <w:r w:rsidRPr="00853DC3">
              <w:rPr>
                <w:b/>
                <w:bCs/>
                <w:color w:val="auto"/>
                <w:sz w:val="20"/>
                <w:lang w:val="nl-BE"/>
              </w:rPr>
              <w:t>FRP</w:t>
            </w:r>
          </w:p>
        </w:tc>
        <w:tc>
          <w:tcPr>
            <w:tcW w:w="1843" w:type="dxa"/>
            <w:shd w:val="clear" w:color="auto" w:fill="FFFF00"/>
          </w:tcPr>
          <w:p w14:paraId="3F2B06F9" w14:textId="77777777" w:rsidR="00C54FA1" w:rsidRDefault="00C54FA1" w:rsidP="00E375E6">
            <w:pPr>
              <w:pStyle w:val="bodytext"/>
              <w:jc w:val="center"/>
              <w:rPr>
                <w:b/>
                <w:bCs/>
                <w:color w:val="auto"/>
                <w:sz w:val="20"/>
                <w:lang w:val="nl-BE"/>
              </w:rPr>
            </w:pPr>
            <w:r w:rsidRPr="00853DC3">
              <w:rPr>
                <w:b/>
                <w:bCs/>
                <w:color w:val="auto"/>
                <w:sz w:val="20"/>
                <w:lang w:val="nl-BE"/>
              </w:rPr>
              <w:t>Algemene voorwaarden voor Flexibiliteits</w:t>
            </w:r>
            <w:r>
              <w:rPr>
                <w:b/>
                <w:bCs/>
                <w:color w:val="auto"/>
                <w:sz w:val="20"/>
                <w:lang w:val="nl-BE"/>
              </w:rPr>
              <w:t>-</w:t>
            </w:r>
            <w:r w:rsidRPr="00853DC3">
              <w:rPr>
                <w:b/>
                <w:bCs/>
                <w:color w:val="auto"/>
                <w:sz w:val="20"/>
                <w:lang w:val="nl-BE"/>
              </w:rPr>
              <w:t>diensten</w:t>
            </w:r>
          </w:p>
          <w:p w14:paraId="70B752E6" w14:textId="77777777" w:rsidR="00C54FA1" w:rsidRPr="00384966" w:rsidRDefault="00C54FA1" w:rsidP="00E375E6">
            <w:pPr>
              <w:pStyle w:val="bodytext"/>
              <w:jc w:val="center"/>
              <w:rPr>
                <w:color w:val="auto"/>
                <w:szCs w:val="16"/>
                <w:lang w:val="nl-BE"/>
              </w:rPr>
            </w:pPr>
          </w:p>
        </w:tc>
        <w:tc>
          <w:tcPr>
            <w:tcW w:w="6095" w:type="dxa"/>
            <w:shd w:val="clear" w:color="auto" w:fill="FFFF00"/>
          </w:tcPr>
          <w:p w14:paraId="43F43698" w14:textId="77777777" w:rsidR="00C54FA1" w:rsidRDefault="00C54FA1" w:rsidP="00E375E6">
            <w:pPr>
              <w:pStyle w:val="bodytext"/>
              <w:ind w:left="360"/>
              <w:jc w:val="center"/>
              <w:rPr>
                <w:color w:val="auto"/>
                <w:lang w:val="nl-NL"/>
              </w:rPr>
            </w:pPr>
            <w:r>
              <w:rPr>
                <w:b/>
                <w:bCs/>
                <w:color w:val="auto"/>
                <w:sz w:val="20"/>
                <w:lang w:val="nl-BE"/>
              </w:rPr>
              <w:t>Specifieke voorwaarden voor deelname aan de Flexibiliteitsdienst</w:t>
            </w:r>
          </w:p>
        </w:tc>
        <w:tc>
          <w:tcPr>
            <w:tcW w:w="1814" w:type="dxa"/>
            <w:shd w:val="clear" w:color="auto" w:fill="FFFF00"/>
          </w:tcPr>
          <w:p w14:paraId="0ADF3492" w14:textId="77777777" w:rsidR="00C54FA1" w:rsidRDefault="00C54FA1" w:rsidP="00E375E6">
            <w:pPr>
              <w:pStyle w:val="bodytext"/>
              <w:ind w:left="360"/>
              <w:jc w:val="center"/>
              <w:rPr>
                <w:color w:val="auto"/>
                <w:lang w:val="nl-NL"/>
              </w:rPr>
            </w:pPr>
            <w:r>
              <w:rPr>
                <w:b/>
                <w:bCs/>
                <w:color w:val="auto"/>
                <w:sz w:val="20"/>
                <w:lang w:val="nl-BE"/>
              </w:rPr>
              <w:t>Bijkomende informatie</w:t>
            </w:r>
          </w:p>
        </w:tc>
      </w:tr>
      <w:tr w:rsidR="00C54FA1" w:rsidRPr="00384966" w14:paraId="0821B6D6" w14:textId="77777777" w:rsidTr="00E87BC2">
        <w:tc>
          <w:tcPr>
            <w:tcW w:w="2122" w:type="dxa"/>
            <w:shd w:val="clear" w:color="auto" w:fill="FFFF00"/>
          </w:tcPr>
          <w:p w14:paraId="395A39F6" w14:textId="090A16E5" w:rsidR="00C54FA1" w:rsidRPr="00F73148" w:rsidRDefault="007518A7" w:rsidP="00E375E6">
            <w:pPr>
              <w:pStyle w:val="bodytext"/>
              <w:jc w:val="center"/>
              <w:rPr>
                <w:b/>
                <w:bCs/>
                <w:color w:val="auto"/>
                <w:sz w:val="20"/>
                <w:lang w:val="nl-NL"/>
              </w:rPr>
            </w:pPr>
            <w:r>
              <w:rPr>
                <w:b/>
                <w:bCs/>
                <w:color w:val="auto"/>
                <w:sz w:val="20"/>
                <w:lang w:val="nl-NL"/>
              </w:rPr>
              <w:t>Capaciteits-remuneratie-mechanisme (CRM)</w:t>
            </w:r>
          </w:p>
        </w:tc>
        <w:tc>
          <w:tcPr>
            <w:tcW w:w="1417" w:type="dxa"/>
            <w:shd w:val="clear" w:color="auto" w:fill="FFFF00"/>
          </w:tcPr>
          <w:p w14:paraId="556E5281" w14:textId="77777777" w:rsidR="00C54FA1" w:rsidRPr="00384966" w:rsidRDefault="00C54FA1" w:rsidP="00E375E6">
            <w:pPr>
              <w:pStyle w:val="bodytext"/>
              <w:jc w:val="both"/>
              <w:rPr>
                <w:color w:val="auto"/>
                <w:szCs w:val="16"/>
                <w:lang w:val="nl-NL"/>
              </w:rPr>
            </w:pPr>
            <w:r w:rsidRPr="00384966">
              <w:rPr>
                <w:color w:val="auto"/>
                <w:szCs w:val="16"/>
                <w:lang w:val="nl-BE"/>
              </w:rPr>
              <w:t>Elia Transmission Belgium</w:t>
            </w:r>
          </w:p>
        </w:tc>
        <w:tc>
          <w:tcPr>
            <w:tcW w:w="1843" w:type="dxa"/>
            <w:shd w:val="clear" w:color="auto" w:fill="FFFF00"/>
          </w:tcPr>
          <w:p w14:paraId="04600B4A" w14:textId="77777777" w:rsidR="00C54FA1" w:rsidRPr="00384966" w:rsidRDefault="00C54FA1" w:rsidP="00E375E6">
            <w:pPr>
              <w:pStyle w:val="bodytext"/>
              <w:jc w:val="both"/>
              <w:rPr>
                <w:color w:val="auto"/>
                <w:szCs w:val="16"/>
                <w:lang w:val="nl-BE"/>
              </w:rPr>
            </w:pPr>
            <w:r w:rsidRPr="00384966">
              <w:rPr>
                <w:color w:val="auto"/>
                <w:szCs w:val="16"/>
                <w:lang w:val="nl-BE"/>
              </w:rPr>
              <w:t xml:space="preserve">Zie </w:t>
            </w:r>
            <w:hyperlink r:id="rId16" w:history="1">
              <w:r w:rsidRPr="00384966">
                <w:rPr>
                  <w:rStyle w:val="Hyperlink"/>
                  <w:szCs w:val="16"/>
                  <w:lang w:val="nl-BE"/>
                </w:rPr>
                <w:t>www.elia.be</w:t>
              </w:r>
            </w:hyperlink>
          </w:p>
          <w:p w14:paraId="739DC2FD" w14:textId="77777777" w:rsidR="00C54FA1" w:rsidRPr="00384966" w:rsidRDefault="00C54FA1" w:rsidP="00E375E6">
            <w:pPr>
              <w:pStyle w:val="bodytext"/>
              <w:jc w:val="both"/>
              <w:rPr>
                <w:color w:val="auto"/>
                <w:szCs w:val="16"/>
                <w:lang w:val="nl-NL"/>
              </w:rPr>
            </w:pPr>
          </w:p>
        </w:tc>
        <w:tc>
          <w:tcPr>
            <w:tcW w:w="6095" w:type="dxa"/>
            <w:shd w:val="clear" w:color="auto" w:fill="FFFF00"/>
          </w:tcPr>
          <w:p w14:paraId="4F8EA1BA" w14:textId="437E3303" w:rsidR="00F46976" w:rsidRDefault="00F46976" w:rsidP="00E375E6">
            <w:pPr>
              <w:pStyle w:val="bodytext"/>
              <w:numPr>
                <w:ilvl w:val="0"/>
                <w:numId w:val="52"/>
              </w:numPr>
              <w:rPr>
                <w:color w:val="auto"/>
                <w:lang w:val="nl-NL"/>
              </w:rPr>
            </w:pPr>
            <w:r>
              <w:rPr>
                <w:color w:val="auto"/>
                <w:lang w:val="nl-NL"/>
              </w:rPr>
              <w:t xml:space="preserve">De vermelding ‘activatie’ in de </w:t>
            </w:r>
            <w:r w:rsidR="00410396">
              <w:rPr>
                <w:color w:val="auto"/>
                <w:lang w:val="nl-NL"/>
              </w:rPr>
              <w:t>Overeenkomst moet voor CRM begrepen worden als ‘het zich voordoen van een AMT</w:t>
            </w:r>
            <w:r w:rsidR="00862CE8">
              <w:rPr>
                <w:color w:val="auto"/>
                <w:lang w:val="nl-NL"/>
              </w:rPr>
              <w:t xml:space="preserve"> (Availability Monitoring Trigger) </w:t>
            </w:r>
            <w:proofErr w:type="spellStart"/>
            <w:r w:rsidR="00862CE8">
              <w:rPr>
                <w:color w:val="auto"/>
                <w:lang w:val="nl-NL"/>
              </w:rPr>
              <w:t>hour</w:t>
            </w:r>
            <w:proofErr w:type="spellEnd"/>
            <w:r w:rsidR="00862CE8">
              <w:rPr>
                <w:color w:val="auto"/>
                <w:lang w:val="nl-NL"/>
              </w:rPr>
              <w:t>’.</w:t>
            </w:r>
          </w:p>
          <w:p w14:paraId="064E4B17" w14:textId="25892AAE" w:rsidR="00C54FA1" w:rsidRDefault="00C54FA1" w:rsidP="00E375E6">
            <w:pPr>
              <w:pStyle w:val="bodytext"/>
              <w:numPr>
                <w:ilvl w:val="0"/>
                <w:numId w:val="52"/>
              </w:numPr>
              <w:rPr>
                <w:color w:val="auto"/>
                <w:lang w:val="nl-NL"/>
              </w:rPr>
            </w:pPr>
            <w:r>
              <w:rPr>
                <w:color w:val="auto"/>
                <w:lang w:val="nl-NL"/>
              </w:rPr>
              <w:t xml:space="preserve">Enkel de SDP-F’s aangesloten op het HS-net </w:t>
            </w:r>
            <w:r w:rsidRPr="00365236">
              <w:rPr>
                <w:color w:val="auto"/>
                <w:lang w:val="nl-NL"/>
              </w:rPr>
              <w:t>mogen worden toegevoegd aan de Pool van de FSP.</w:t>
            </w:r>
          </w:p>
          <w:p w14:paraId="04A3697B" w14:textId="77777777" w:rsidR="00C54FA1" w:rsidRDefault="00C54FA1" w:rsidP="00E375E6">
            <w:pPr>
              <w:pStyle w:val="bodytext"/>
              <w:numPr>
                <w:ilvl w:val="0"/>
                <w:numId w:val="52"/>
              </w:numPr>
              <w:rPr>
                <w:color w:val="auto"/>
                <w:lang w:val="nl-NL"/>
              </w:rPr>
            </w:pPr>
            <w:r>
              <w:rPr>
                <w:color w:val="auto"/>
                <w:lang w:val="nl-NL"/>
              </w:rPr>
              <w:t>De hoofdmeter van de DNB moet kwartiergemeten zijn.</w:t>
            </w:r>
          </w:p>
          <w:p w14:paraId="7A55E706" w14:textId="776D8F7F" w:rsidR="00321B11" w:rsidRPr="00321B11" w:rsidRDefault="00321B11" w:rsidP="00321B11">
            <w:pPr>
              <w:pStyle w:val="bodytext"/>
              <w:numPr>
                <w:ilvl w:val="0"/>
                <w:numId w:val="52"/>
              </w:numPr>
              <w:rPr>
                <w:color w:val="auto"/>
                <w:lang w:val="nl-NL"/>
              </w:rPr>
            </w:pPr>
            <w:r w:rsidRPr="00321B11">
              <w:rPr>
                <w:color w:val="auto"/>
                <w:lang w:val="nl-NL"/>
              </w:rPr>
              <w:t xml:space="preserve">Bij de prekwalificatie moet er minimaal een offerte zijn van de DNB voor het aansluitingspunt. Ten laatste 60 dagen na de veiling moet </w:t>
            </w:r>
            <w:r w:rsidR="0000545C">
              <w:rPr>
                <w:color w:val="auto"/>
                <w:lang w:val="nl-NL"/>
              </w:rPr>
              <w:t xml:space="preserve">de offerte </w:t>
            </w:r>
            <w:r w:rsidR="00D51F6A">
              <w:rPr>
                <w:color w:val="auto"/>
                <w:lang w:val="nl-NL"/>
              </w:rPr>
              <w:t xml:space="preserve">voor de aansluiting </w:t>
            </w:r>
            <w:r w:rsidRPr="00321B11">
              <w:rPr>
                <w:color w:val="auto"/>
                <w:lang w:val="nl-NL"/>
              </w:rPr>
              <w:t xml:space="preserve">ondertekend worden.  </w:t>
            </w:r>
          </w:p>
          <w:p w14:paraId="4C8CC41F" w14:textId="77777777" w:rsidR="00321B11" w:rsidRPr="00321B11" w:rsidRDefault="00321B11" w:rsidP="00321B11">
            <w:pPr>
              <w:pStyle w:val="bodytext"/>
              <w:numPr>
                <w:ilvl w:val="0"/>
                <w:numId w:val="52"/>
              </w:numPr>
              <w:rPr>
                <w:color w:val="auto"/>
                <w:lang w:val="nl-NL"/>
              </w:rPr>
            </w:pPr>
            <w:r w:rsidRPr="00321B11">
              <w:rPr>
                <w:color w:val="auto"/>
                <w:lang w:val="nl-NL"/>
              </w:rPr>
              <w:t>Alvorens een SDP-F in de Pool van de FSP toe te voegen, moeten twee voorafgaande stappen worden uitgevoerd:</w:t>
            </w:r>
          </w:p>
          <w:p w14:paraId="4F4CA550" w14:textId="39265B94" w:rsidR="00321B11" w:rsidRPr="00321B11" w:rsidRDefault="00321B11" w:rsidP="00924864">
            <w:pPr>
              <w:pStyle w:val="bodytext"/>
              <w:ind w:left="360"/>
              <w:rPr>
                <w:color w:val="auto"/>
                <w:lang w:val="nl-NL"/>
              </w:rPr>
            </w:pPr>
            <w:r w:rsidRPr="00321B11">
              <w:rPr>
                <w:color w:val="auto"/>
                <w:lang w:val="nl-NL"/>
              </w:rPr>
              <w:t>i. De NRP (</w:t>
            </w:r>
            <w:proofErr w:type="spellStart"/>
            <w:r w:rsidRPr="00321B11">
              <w:rPr>
                <w:color w:val="auto"/>
                <w:lang w:val="nl-NL"/>
              </w:rPr>
              <w:t>Nominal</w:t>
            </w:r>
            <w:proofErr w:type="spellEnd"/>
            <w:r w:rsidRPr="00321B11">
              <w:rPr>
                <w:color w:val="auto"/>
                <w:lang w:val="nl-NL"/>
              </w:rPr>
              <w:t xml:space="preserve"> Reference Power), zoals gedefinieerd in </w:t>
            </w:r>
            <w:r w:rsidR="00C8461F">
              <w:rPr>
                <w:color w:val="auto"/>
                <w:lang w:val="nl-NL"/>
              </w:rPr>
              <w:t xml:space="preserve">de </w:t>
            </w:r>
            <w:hyperlink r:id="rId17" w:history="1">
              <w:r w:rsidR="00C8461F" w:rsidRPr="002B3757">
                <w:rPr>
                  <w:rStyle w:val="Hyperlink"/>
                  <w:lang w:val="nl-NL"/>
                </w:rPr>
                <w:t>‘</w:t>
              </w:r>
              <w:proofErr w:type="spellStart"/>
              <w:r w:rsidR="00C8461F" w:rsidRPr="002B3757">
                <w:rPr>
                  <w:rStyle w:val="Hyperlink"/>
                  <w:lang w:val="nl-NL"/>
                </w:rPr>
                <w:t>Functioning</w:t>
              </w:r>
              <w:proofErr w:type="spellEnd"/>
              <w:r w:rsidR="00C8461F" w:rsidRPr="002B3757">
                <w:rPr>
                  <w:rStyle w:val="Hyperlink"/>
                  <w:lang w:val="nl-NL"/>
                </w:rPr>
                <w:t xml:space="preserve"> Rules’</w:t>
              </w:r>
            </w:hyperlink>
            <w:r w:rsidR="00C8461F">
              <w:rPr>
                <w:color w:val="auto"/>
                <w:lang w:val="nl-NL"/>
              </w:rPr>
              <w:t xml:space="preserve"> </w:t>
            </w:r>
            <w:r w:rsidRPr="00321B11">
              <w:rPr>
                <w:color w:val="auto"/>
                <w:lang w:val="nl-NL"/>
              </w:rPr>
              <w:t xml:space="preserve">moet definitief bepaald zijn: </w:t>
            </w:r>
          </w:p>
          <w:p w14:paraId="522EDECC" w14:textId="77777777" w:rsidR="00834BFA" w:rsidRPr="000946BA" w:rsidRDefault="00834BFA" w:rsidP="00834BFA">
            <w:pPr>
              <w:pStyle w:val="Lijstalinea"/>
              <w:numPr>
                <w:ilvl w:val="1"/>
                <w:numId w:val="52"/>
              </w:numPr>
              <w:autoSpaceDE/>
              <w:autoSpaceDN/>
              <w:ind w:left="748" w:hanging="425"/>
              <w:contextualSpacing/>
              <w:jc w:val="both"/>
              <w:rPr>
                <w:sz w:val="18"/>
                <w:szCs w:val="18"/>
                <w:lang w:val="nl-NL"/>
              </w:rPr>
            </w:pPr>
            <w:r w:rsidRPr="000946BA">
              <w:rPr>
                <w:sz w:val="18"/>
                <w:szCs w:val="18"/>
              </w:rPr>
              <w:t xml:space="preserve">De berekeningsaanvraag van </w:t>
            </w:r>
            <w:r>
              <w:rPr>
                <w:sz w:val="18"/>
                <w:szCs w:val="18"/>
              </w:rPr>
              <w:t xml:space="preserve">de </w:t>
            </w:r>
            <w:r w:rsidRPr="000946BA">
              <w:rPr>
                <w:sz w:val="18"/>
                <w:szCs w:val="18"/>
              </w:rPr>
              <w:t>NR</w:t>
            </w:r>
            <w:r>
              <w:rPr>
                <w:sz w:val="18"/>
                <w:szCs w:val="18"/>
              </w:rPr>
              <w:t>P</w:t>
            </w:r>
            <w:r w:rsidRPr="000946BA">
              <w:rPr>
                <w:sz w:val="18"/>
                <w:szCs w:val="18"/>
              </w:rPr>
              <w:t xml:space="preserve"> moet de </w:t>
            </w:r>
            <w:r w:rsidRPr="00DB1600">
              <w:rPr>
                <w:sz w:val="18"/>
                <w:szCs w:val="18"/>
              </w:rPr>
              <w:t>bere</w:t>
            </w:r>
            <w:r w:rsidRPr="00A85B6B">
              <w:rPr>
                <w:sz w:val="18"/>
                <w:szCs w:val="18"/>
              </w:rPr>
              <w:t>kenings</w:t>
            </w:r>
            <w:r w:rsidRPr="000946BA">
              <w:rPr>
                <w:sz w:val="18"/>
                <w:szCs w:val="18"/>
              </w:rPr>
              <w:t xml:space="preserve">methode </w:t>
            </w:r>
            <w:r w:rsidRPr="00DB1600">
              <w:rPr>
                <w:sz w:val="18"/>
                <w:szCs w:val="18"/>
              </w:rPr>
              <w:t>sp</w:t>
            </w:r>
            <w:r w:rsidRPr="00A85B6B">
              <w:rPr>
                <w:sz w:val="18"/>
                <w:szCs w:val="18"/>
              </w:rPr>
              <w:t xml:space="preserve">ecificeren </w:t>
            </w:r>
            <w:r w:rsidRPr="00892F01">
              <w:rPr>
                <w:sz w:val="18"/>
                <w:szCs w:val="18"/>
              </w:rPr>
              <w:t>(ofwel o</w:t>
            </w:r>
            <w:r w:rsidRPr="000946BA">
              <w:rPr>
                <w:sz w:val="18"/>
                <w:szCs w:val="18"/>
              </w:rPr>
              <w:t>p basis van historische gegevens</w:t>
            </w:r>
            <w:r w:rsidRPr="00DB1600">
              <w:rPr>
                <w:sz w:val="18"/>
                <w:szCs w:val="18"/>
              </w:rPr>
              <w:t xml:space="preserve">, ofwel </w:t>
            </w:r>
            <w:r>
              <w:rPr>
                <w:sz w:val="18"/>
                <w:szCs w:val="18"/>
              </w:rPr>
              <w:t>o</w:t>
            </w:r>
            <w:r w:rsidRPr="000946BA">
              <w:rPr>
                <w:sz w:val="18"/>
                <w:szCs w:val="18"/>
              </w:rPr>
              <w:t>p basis van gegevens verzameld uit deelname aan andere flexibiliteitsdiensten</w:t>
            </w:r>
            <w:r>
              <w:rPr>
                <w:sz w:val="18"/>
                <w:szCs w:val="18"/>
              </w:rPr>
              <w:t>, ofwel o</w:t>
            </w:r>
            <w:r w:rsidRPr="00A85B6B">
              <w:rPr>
                <w:sz w:val="18"/>
                <w:szCs w:val="18"/>
              </w:rPr>
              <w:t>p basis van een specifieke test</w:t>
            </w:r>
            <w:r>
              <w:rPr>
                <w:sz w:val="18"/>
                <w:szCs w:val="18"/>
              </w:rPr>
              <w:t>).</w:t>
            </w:r>
          </w:p>
          <w:p w14:paraId="6B261817" w14:textId="77777777" w:rsidR="00834BFA" w:rsidRPr="000946BA" w:rsidRDefault="00834BFA" w:rsidP="00834BFA">
            <w:pPr>
              <w:pStyle w:val="Lijstalinea"/>
              <w:numPr>
                <w:ilvl w:val="1"/>
                <w:numId w:val="52"/>
              </w:numPr>
              <w:autoSpaceDE/>
              <w:autoSpaceDN/>
              <w:ind w:left="748" w:hanging="425"/>
              <w:contextualSpacing/>
              <w:jc w:val="both"/>
              <w:rPr>
                <w:sz w:val="18"/>
                <w:szCs w:val="18"/>
                <w:lang w:val="nl-NL"/>
              </w:rPr>
            </w:pPr>
            <w:r w:rsidRPr="00892F01">
              <w:rPr>
                <w:sz w:val="18"/>
                <w:szCs w:val="18"/>
              </w:rPr>
              <w:t xml:space="preserve">De DNB berekent </w:t>
            </w:r>
            <w:r>
              <w:rPr>
                <w:sz w:val="18"/>
                <w:szCs w:val="18"/>
              </w:rPr>
              <w:t xml:space="preserve">de </w:t>
            </w:r>
            <w:r w:rsidRPr="002F409B">
              <w:rPr>
                <w:sz w:val="18"/>
                <w:szCs w:val="18"/>
              </w:rPr>
              <w:t>NR</w:t>
            </w:r>
            <w:r>
              <w:rPr>
                <w:sz w:val="18"/>
                <w:szCs w:val="18"/>
              </w:rPr>
              <w:t>P</w:t>
            </w:r>
            <w:r w:rsidRPr="002F409B">
              <w:rPr>
                <w:sz w:val="18"/>
                <w:szCs w:val="18"/>
              </w:rPr>
              <w:t xml:space="preserve"> op basis van de </w:t>
            </w:r>
            <w:r w:rsidRPr="00CD4B50">
              <w:rPr>
                <w:sz w:val="18"/>
                <w:szCs w:val="18"/>
              </w:rPr>
              <w:t xml:space="preserve">gekozen methode en </w:t>
            </w:r>
            <w:r w:rsidRPr="000946BA">
              <w:rPr>
                <w:sz w:val="18"/>
                <w:szCs w:val="18"/>
              </w:rPr>
              <w:t xml:space="preserve">communiceert het resultaat van de berekening aan de </w:t>
            </w:r>
            <w:r>
              <w:rPr>
                <w:sz w:val="18"/>
                <w:szCs w:val="18"/>
              </w:rPr>
              <w:t xml:space="preserve">aanvrager </w:t>
            </w:r>
            <w:r w:rsidRPr="000946BA">
              <w:rPr>
                <w:sz w:val="18"/>
                <w:szCs w:val="18"/>
              </w:rPr>
              <w:t>binnen de 5 werkdagen na de aanvraag.</w:t>
            </w:r>
          </w:p>
          <w:p w14:paraId="2F771E59" w14:textId="77777777" w:rsidR="00834BFA" w:rsidRDefault="00834BFA" w:rsidP="00834BFA">
            <w:pPr>
              <w:pStyle w:val="Lijstalinea"/>
              <w:numPr>
                <w:ilvl w:val="1"/>
                <w:numId w:val="52"/>
              </w:numPr>
              <w:autoSpaceDE/>
              <w:autoSpaceDN/>
              <w:ind w:left="748" w:hanging="425"/>
              <w:contextualSpacing/>
              <w:jc w:val="both"/>
              <w:rPr>
                <w:sz w:val="18"/>
                <w:szCs w:val="18"/>
                <w:lang w:val="nl-NL"/>
              </w:rPr>
            </w:pPr>
            <w:r w:rsidRPr="000946BA">
              <w:rPr>
                <w:sz w:val="18"/>
                <w:szCs w:val="18"/>
              </w:rPr>
              <w:t xml:space="preserve">De </w:t>
            </w:r>
            <w:r>
              <w:rPr>
                <w:sz w:val="18"/>
                <w:szCs w:val="18"/>
              </w:rPr>
              <w:t>aanvrager k</w:t>
            </w:r>
            <w:r w:rsidRPr="000946BA">
              <w:rPr>
                <w:sz w:val="18"/>
                <w:szCs w:val="18"/>
              </w:rPr>
              <w:t xml:space="preserve">an </w:t>
            </w:r>
            <w:r>
              <w:rPr>
                <w:sz w:val="18"/>
                <w:szCs w:val="18"/>
              </w:rPr>
              <w:t xml:space="preserve">het resultaat van </w:t>
            </w:r>
            <w:r w:rsidRPr="000946BA">
              <w:rPr>
                <w:sz w:val="18"/>
                <w:szCs w:val="18"/>
              </w:rPr>
              <w:t>de berekening betwisten tot drie werkdagen na de communicatie ervan. In dat geval wordt het NR</w:t>
            </w:r>
            <w:r>
              <w:rPr>
                <w:sz w:val="18"/>
                <w:szCs w:val="18"/>
              </w:rPr>
              <w:t>P</w:t>
            </w:r>
            <w:r w:rsidRPr="000946BA">
              <w:rPr>
                <w:sz w:val="18"/>
                <w:szCs w:val="18"/>
              </w:rPr>
              <w:t xml:space="preserve"> bepaald via een specifieke test. De </w:t>
            </w:r>
            <w:r>
              <w:rPr>
                <w:sz w:val="18"/>
                <w:szCs w:val="18"/>
              </w:rPr>
              <w:t xml:space="preserve">aanvrager </w:t>
            </w:r>
            <w:r w:rsidRPr="000946BA">
              <w:rPr>
                <w:sz w:val="18"/>
                <w:szCs w:val="18"/>
              </w:rPr>
              <w:t xml:space="preserve">geeft aan wanneer deze test kan plaatsvinden. De uitvoering </w:t>
            </w:r>
            <w:r>
              <w:rPr>
                <w:sz w:val="18"/>
                <w:szCs w:val="18"/>
              </w:rPr>
              <w:t xml:space="preserve">van deze test </w:t>
            </w:r>
            <w:r w:rsidRPr="000946BA">
              <w:rPr>
                <w:sz w:val="18"/>
                <w:szCs w:val="18"/>
              </w:rPr>
              <w:t xml:space="preserve">moet gebeuren binnen de vijf werkdagen na de betwisting van </w:t>
            </w:r>
            <w:r>
              <w:rPr>
                <w:sz w:val="18"/>
                <w:szCs w:val="18"/>
              </w:rPr>
              <w:t>de NRP</w:t>
            </w:r>
            <w:r w:rsidRPr="000946BA">
              <w:rPr>
                <w:sz w:val="18"/>
                <w:szCs w:val="18"/>
              </w:rPr>
              <w:t>.</w:t>
            </w:r>
          </w:p>
          <w:p w14:paraId="07D3F6B4" w14:textId="77777777" w:rsidR="00834BFA" w:rsidRDefault="00834BFA" w:rsidP="00834BFA">
            <w:pPr>
              <w:pStyle w:val="Lijstalinea"/>
              <w:numPr>
                <w:ilvl w:val="1"/>
                <w:numId w:val="52"/>
              </w:numPr>
              <w:autoSpaceDE/>
              <w:autoSpaceDN/>
              <w:ind w:left="748" w:hanging="425"/>
              <w:contextualSpacing/>
              <w:jc w:val="both"/>
              <w:rPr>
                <w:sz w:val="18"/>
                <w:szCs w:val="18"/>
                <w:lang w:val="nl-NL"/>
              </w:rPr>
            </w:pPr>
            <w:r>
              <w:rPr>
                <w:sz w:val="18"/>
                <w:szCs w:val="18"/>
                <w:lang w:val="nl-NL"/>
              </w:rPr>
              <w:t>De N</w:t>
            </w:r>
            <w:r w:rsidRPr="004600BE">
              <w:rPr>
                <w:sz w:val="18"/>
                <w:szCs w:val="18"/>
                <w:lang w:val="nl-NL"/>
              </w:rPr>
              <w:t>R</w:t>
            </w:r>
            <w:r>
              <w:rPr>
                <w:sz w:val="18"/>
                <w:szCs w:val="18"/>
                <w:lang w:val="nl-NL"/>
              </w:rPr>
              <w:t>P</w:t>
            </w:r>
            <w:r w:rsidRPr="004600BE">
              <w:rPr>
                <w:sz w:val="18"/>
                <w:szCs w:val="18"/>
                <w:lang w:val="nl-NL"/>
              </w:rPr>
              <w:t xml:space="preserve"> zal herzien worden in geval van substantiële wijziging van het afname gedrag. </w:t>
            </w:r>
            <w:r>
              <w:rPr>
                <w:sz w:val="18"/>
                <w:szCs w:val="18"/>
                <w:lang w:val="nl-NL"/>
              </w:rPr>
              <w:t>De</w:t>
            </w:r>
            <w:r w:rsidRPr="00EA30C5">
              <w:rPr>
                <w:sz w:val="18"/>
                <w:szCs w:val="18"/>
                <w:lang w:val="nl-NL"/>
              </w:rPr>
              <w:t xml:space="preserve"> herziene NR</w:t>
            </w:r>
            <w:r>
              <w:rPr>
                <w:sz w:val="18"/>
                <w:szCs w:val="18"/>
                <w:lang w:val="nl-NL"/>
              </w:rPr>
              <w:t>P</w:t>
            </w:r>
            <w:r w:rsidRPr="00EA30C5">
              <w:rPr>
                <w:sz w:val="18"/>
                <w:szCs w:val="18"/>
                <w:lang w:val="nl-NL"/>
              </w:rPr>
              <w:t xml:space="preserve"> </w:t>
            </w:r>
            <w:r w:rsidRPr="00737904">
              <w:rPr>
                <w:sz w:val="18"/>
                <w:szCs w:val="18"/>
                <w:lang w:val="nl-NL"/>
              </w:rPr>
              <w:t xml:space="preserve">kan worden betwist volgens dezelfde </w:t>
            </w:r>
            <w:r w:rsidRPr="004600BE">
              <w:rPr>
                <w:sz w:val="18"/>
                <w:szCs w:val="18"/>
                <w:lang w:val="nl-NL"/>
              </w:rPr>
              <w:t>procedure als hierboven beschreven.</w:t>
            </w:r>
          </w:p>
          <w:p w14:paraId="69AC1DF9" w14:textId="5D379098" w:rsidR="00834BFA" w:rsidRDefault="00834BFA" w:rsidP="00834BFA">
            <w:pPr>
              <w:pStyle w:val="Lijstalinea"/>
              <w:numPr>
                <w:ilvl w:val="1"/>
                <w:numId w:val="52"/>
              </w:numPr>
              <w:autoSpaceDE/>
              <w:autoSpaceDN/>
              <w:ind w:left="748" w:hanging="425"/>
              <w:contextualSpacing/>
              <w:jc w:val="both"/>
              <w:rPr>
                <w:sz w:val="18"/>
                <w:szCs w:val="18"/>
                <w:lang w:val="nl-NL"/>
              </w:rPr>
            </w:pPr>
            <w:r>
              <w:rPr>
                <w:sz w:val="18"/>
                <w:szCs w:val="18"/>
                <w:lang w:val="nl-NL"/>
              </w:rPr>
              <w:t>Voor een SDP-F aangesloten op een GDN stemt de DNB af met de beheerder van het GDN voor de bepaling van de NRP</w:t>
            </w:r>
            <w:r w:rsidR="00E9640D">
              <w:rPr>
                <w:sz w:val="18"/>
                <w:szCs w:val="18"/>
                <w:lang w:val="nl-NL"/>
              </w:rPr>
              <w:t>.</w:t>
            </w:r>
          </w:p>
          <w:p w14:paraId="0B06B759" w14:textId="37B2FB8C" w:rsidR="00834BFA" w:rsidRDefault="00834BFA" w:rsidP="00834BFA">
            <w:pPr>
              <w:pStyle w:val="Lijstalinea"/>
              <w:numPr>
                <w:ilvl w:val="1"/>
                <w:numId w:val="52"/>
              </w:numPr>
              <w:autoSpaceDE/>
              <w:autoSpaceDN/>
              <w:ind w:left="748" w:hanging="425"/>
              <w:contextualSpacing/>
              <w:jc w:val="both"/>
              <w:rPr>
                <w:sz w:val="18"/>
                <w:szCs w:val="18"/>
                <w:lang w:val="nl-NL"/>
              </w:rPr>
            </w:pPr>
            <w:r>
              <w:rPr>
                <w:sz w:val="18"/>
                <w:szCs w:val="18"/>
                <w:lang w:val="nl-NL"/>
              </w:rPr>
              <w:t>De DNB communiceert de NRP en de lokalisatie (TS) aan Elia (FRP). De lokalisatie wordt zo nodig aangepast in functie van wijzigingen van de netstructuur</w:t>
            </w:r>
            <w:r w:rsidR="00E9640D">
              <w:rPr>
                <w:sz w:val="18"/>
                <w:szCs w:val="18"/>
                <w:lang w:val="nl-NL"/>
              </w:rPr>
              <w:t>.</w:t>
            </w:r>
          </w:p>
          <w:p w14:paraId="49BDEC9A" w14:textId="77777777" w:rsidR="00E9640D" w:rsidRDefault="00E9640D" w:rsidP="00E9640D">
            <w:pPr>
              <w:ind w:left="323"/>
              <w:contextualSpacing/>
              <w:rPr>
                <w:sz w:val="18"/>
                <w:szCs w:val="18"/>
                <w:lang w:val="nl-NL"/>
              </w:rPr>
            </w:pPr>
            <w:r>
              <w:rPr>
                <w:sz w:val="18"/>
                <w:szCs w:val="18"/>
                <w:lang w:val="nl-NL"/>
              </w:rPr>
              <w:lastRenderedPageBreak/>
              <w:t xml:space="preserve">ii. Het aansluitingspunt gelinkt met deze SDP-F moet </w:t>
            </w:r>
            <w:proofErr w:type="spellStart"/>
            <w:r>
              <w:rPr>
                <w:sz w:val="18"/>
                <w:szCs w:val="18"/>
                <w:lang w:val="nl-NL"/>
              </w:rPr>
              <w:t>geprekwalificeerd</w:t>
            </w:r>
            <w:proofErr w:type="spellEnd"/>
            <w:r>
              <w:rPr>
                <w:sz w:val="18"/>
                <w:szCs w:val="18"/>
                <w:lang w:val="nl-NL"/>
              </w:rPr>
              <w:t xml:space="preserve"> zijn volgens de procedure beschreven in het document C8/01 van Synergrid.</w:t>
            </w:r>
          </w:p>
          <w:p w14:paraId="162ABACC" w14:textId="77777777" w:rsidR="00E9640D" w:rsidRDefault="00E9640D" w:rsidP="00E9640D">
            <w:pPr>
              <w:pStyle w:val="Lijstalinea"/>
              <w:numPr>
                <w:ilvl w:val="0"/>
                <w:numId w:val="59"/>
              </w:numPr>
              <w:contextualSpacing/>
              <w:rPr>
                <w:sz w:val="18"/>
                <w:szCs w:val="18"/>
                <w:lang w:val="nl-NL"/>
              </w:rPr>
            </w:pPr>
            <w:r>
              <w:rPr>
                <w:sz w:val="18"/>
                <w:szCs w:val="18"/>
                <w:lang w:val="nl-NL"/>
              </w:rPr>
              <w:t xml:space="preserve">In afwijking tot de principes beschreven in §5.1 van het document C8/01, ingeval het aansluitingspunt gelinkt met de SDP-F zich in een rode zone bevindt, blijft het resultaat van de NFS geldig tot </w:t>
            </w:r>
            <w:r w:rsidRPr="001B43F6">
              <w:rPr>
                <w:sz w:val="18"/>
                <w:szCs w:val="18"/>
                <w:lang w:val="nl-NL"/>
              </w:rPr>
              <w:t>de eerste verjaardag van de spildatum die volgt op het beëindigen van het meerjarencontract</w:t>
            </w:r>
            <w:r>
              <w:rPr>
                <w:sz w:val="18"/>
                <w:szCs w:val="18"/>
                <w:lang w:val="nl-NL"/>
              </w:rPr>
              <w:t xml:space="preserve"> met de FRP.</w:t>
            </w:r>
          </w:p>
          <w:p w14:paraId="004CD857" w14:textId="3993BAF2" w:rsidR="00E9640D" w:rsidRDefault="00E9640D" w:rsidP="00E9640D">
            <w:pPr>
              <w:pStyle w:val="Lijstalinea"/>
              <w:numPr>
                <w:ilvl w:val="0"/>
                <w:numId w:val="59"/>
              </w:numPr>
              <w:contextualSpacing/>
              <w:rPr>
                <w:sz w:val="18"/>
                <w:szCs w:val="18"/>
                <w:lang w:val="nl-NL"/>
              </w:rPr>
            </w:pPr>
            <w:r>
              <w:rPr>
                <w:sz w:val="18"/>
                <w:szCs w:val="18"/>
                <w:lang w:val="nl-NL"/>
              </w:rPr>
              <w:t xml:space="preserve">De FSP is zelf verantwoordelijk om het risico op eventuele tijdelijke beperking van de flexibiliteit in te calculeren in zijn bod in de CRM-veiling. De procedure beschreven in de C8/01 houdt geen rekening met eventuele mutueel exclusieve </w:t>
            </w:r>
            <w:proofErr w:type="spellStart"/>
            <w:r>
              <w:rPr>
                <w:sz w:val="18"/>
                <w:szCs w:val="18"/>
                <w:lang w:val="nl-NL"/>
              </w:rPr>
              <w:t>bids</w:t>
            </w:r>
            <w:proofErr w:type="spellEnd"/>
            <w:r>
              <w:rPr>
                <w:sz w:val="18"/>
                <w:szCs w:val="18"/>
                <w:lang w:val="nl-NL"/>
              </w:rPr>
              <w:t>.</w:t>
            </w:r>
          </w:p>
          <w:p w14:paraId="68690C03" w14:textId="6C304280" w:rsidR="00E9640D" w:rsidRPr="00193AC4" w:rsidRDefault="003924ED" w:rsidP="003924ED">
            <w:pPr>
              <w:ind w:left="323"/>
              <w:contextualSpacing/>
              <w:rPr>
                <w:sz w:val="18"/>
                <w:szCs w:val="18"/>
              </w:rPr>
            </w:pPr>
            <w:r>
              <w:rPr>
                <w:sz w:val="18"/>
                <w:szCs w:val="18"/>
              </w:rPr>
              <w:t>i</w:t>
            </w:r>
            <w:r w:rsidR="00E9640D" w:rsidRPr="00E375E6">
              <w:rPr>
                <w:sz w:val="18"/>
                <w:szCs w:val="18"/>
              </w:rPr>
              <w:t>ii</w:t>
            </w:r>
            <w:r>
              <w:rPr>
                <w:sz w:val="18"/>
                <w:szCs w:val="18"/>
              </w:rPr>
              <w:t>.</w:t>
            </w:r>
            <w:r w:rsidR="00E9640D" w:rsidRPr="00E375E6">
              <w:rPr>
                <w:sz w:val="18"/>
                <w:szCs w:val="18"/>
              </w:rPr>
              <w:t xml:space="preserve"> Compliance met de </w:t>
            </w:r>
            <w:proofErr w:type="spellStart"/>
            <w:r w:rsidR="00E9640D" w:rsidRPr="00E375E6">
              <w:rPr>
                <w:sz w:val="18"/>
                <w:szCs w:val="18"/>
              </w:rPr>
              <w:t>meterin</w:t>
            </w:r>
            <w:r w:rsidR="00E9640D">
              <w:rPr>
                <w:sz w:val="18"/>
                <w:szCs w:val="18"/>
              </w:rPr>
              <w:t>g</w:t>
            </w:r>
            <w:proofErr w:type="spellEnd"/>
            <w:r w:rsidR="00E9640D">
              <w:rPr>
                <w:sz w:val="18"/>
                <w:szCs w:val="18"/>
              </w:rPr>
              <w:t xml:space="preserve"> vereisten moet geverifieerd zijn</w:t>
            </w:r>
          </w:p>
          <w:p w14:paraId="3F5F7C78" w14:textId="77777777" w:rsidR="00C54FA1" w:rsidRPr="0096166B" w:rsidRDefault="00C54FA1" w:rsidP="005B2AEE">
            <w:pPr>
              <w:pStyle w:val="bodytext"/>
              <w:ind w:left="360"/>
              <w:rPr>
                <w:color w:val="auto"/>
                <w:lang w:val="nl-NL"/>
              </w:rPr>
            </w:pPr>
          </w:p>
        </w:tc>
        <w:tc>
          <w:tcPr>
            <w:tcW w:w="1814" w:type="dxa"/>
            <w:shd w:val="clear" w:color="auto" w:fill="FFFF00"/>
          </w:tcPr>
          <w:p w14:paraId="44ABA690" w14:textId="77777777" w:rsidR="00C54FA1" w:rsidRPr="00384966" w:rsidRDefault="00C54FA1" w:rsidP="006241D6">
            <w:pPr>
              <w:pStyle w:val="bodytext"/>
              <w:ind w:left="1080"/>
              <w:rPr>
                <w:color w:val="auto"/>
                <w:lang w:val="nl-NL"/>
              </w:rPr>
            </w:pPr>
          </w:p>
        </w:tc>
      </w:tr>
    </w:tbl>
    <w:p w14:paraId="587F5E05" w14:textId="77777777" w:rsidR="00836AA3" w:rsidRPr="00BF0D66" w:rsidRDefault="00836AA3" w:rsidP="00836AA3">
      <w:pPr>
        <w:pStyle w:val="bodytext"/>
        <w:jc w:val="both"/>
        <w:rPr>
          <w:color w:val="auto"/>
          <w:sz w:val="20"/>
          <w:lang w:val="nl-NL"/>
        </w:rPr>
      </w:pPr>
    </w:p>
    <w:p w14:paraId="52B06FF7" w14:textId="77777777" w:rsidR="00836AA3" w:rsidRPr="00BF0D66" w:rsidRDefault="00836AA3" w:rsidP="00836AA3">
      <w:pPr>
        <w:rPr>
          <w:lang w:val="nl-NL"/>
        </w:rPr>
      </w:pPr>
    </w:p>
    <w:p w14:paraId="2C8FDB0D" w14:textId="4801553A" w:rsidR="003924ED" w:rsidRDefault="003924ED">
      <w:pPr>
        <w:spacing w:after="200" w:line="276" w:lineRule="auto"/>
        <w:jc w:val="left"/>
        <w:rPr>
          <w:lang w:val="nl-NL"/>
        </w:rPr>
      </w:pPr>
      <w:r>
        <w:rPr>
          <w:lang w:val="nl-NL"/>
        </w:rPr>
        <w:br w:type="page"/>
      </w:r>
    </w:p>
    <w:tbl>
      <w:tblPr>
        <w:tblStyle w:val="Tabelraster"/>
        <w:tblW w:w="13291" w:type="dxa"/>
        <w:tblLayout w:type="fixed"/>
        <w:tblLook w:val="04A0" w:firstRow="1" w:lastRow="0" w:firstColumn="1" w:lastColumn="0" w:noHBand="0" w:noVBand="1"/>
      </w:tblPr>
      <w:tblGrid>
        <w:gridCol w:w="2122"/>
        <w:gridCol w:w="1417"/>
        <w:gridCol w:w="1843"/>
        <w:gridCol w:w="4649"/>
        <w:gridCol w:w="3260"/>
      </w:tblGrid>
      <w:tr w:rsidR="003924ED" w14:paraId="48F0D8FA" w14:textId="77777777" w:rsidTr="00E87BC2">
        <w:tc>
          <w:tcPr>
            <w:tcW w:w="2122" w:type="dxa"/>
            <w:shd w:val="clear" w:color="auto" w:fill="FFFF00"/>
          </w:tcPr>
          <w:p w14:paraId="449F791E" w14:textId="77777777" w:rsidR="003924ED" w:rsidRPr="00A36C7C" w:rsidRDefault="003924ED" w:rsidP="0027762E">
            <w:pPr>
              <w:pStyle w:val="bodytext"/>
              <w:jc w:val="center"/>
              <w:rPr>
                <w:b/>
                <w:bCs/>
                <w:color w:val="auto"/>
                <w:sz w:val="20"/>
                <w:lang w:val="nl-BE"/>
              </w:rPr>
            </w:pPr>
            <w:r w:rsidRPr="00853DC3">
              <w:rPr>
                <w:b/>
                <w:bCs/>
                <w:color w:val="auto"/>
                <w:sz w:val="20"/>
                <w:lang w:val="nl-BE"/>
              </w:rPr>
              <w:lastRenderedPageBreak/>
              <w:t>A</w:t>
            </w:r>
          </w:p>
        </w:tc>
        <w:tc>
          <w:tcPr>
            <w:tcW w:w="1417" w:type="dxa"/>
            <w:shd w:val="clear" w:color="auto" w:fill="FFFF00"/>
          </w:tcPr>
          <w:p w14:paraId="34F64AE4" w14:textId="77777777" w:rsidR="003924ED" w:rsidRPr="00384966" w:rsidRDefault="003924ED" w:rsidP="0027762E">
            <w:pPr>
              <w:pStyle w:val="bodytext"/>
              <w:jc w:val="center"/>
              <w:rPr>
                <w:color w:val="auto"/>
                <w:szCs w:val="16"/>
                <w:lang w:val="nl-BE"/>
              </w:rPr>
            </w:pPr>
            <w:r>
              <w:rPr>
                <w:b/>
                <w:bCs/>
                <w:color w:val="auto"/>
                <w:sz w:val="20"/>
                <w:lang w:val="nl-BE"/>
              </w:rPr>
              <w:t>B</w:t>
            </w:r>
          </w:p>
        </w:tc>
        <w:tc>
          <w:tcPr>
            <w:tcW w:w="1843" w:type="dxa"/>
            <w:shd w:val="clear" w:color="auto" w:fill="FFFF00"/>
          </w:tcPr>
          <w:p w14:paraId="67A3E23F" w14:textId="77777777" w:rsidR="003924ED" w:rsidRPr="00384966" w:rsidRDefault="003924ED" w:rsidP="0027762E">
            <w:pPr>
              <w:pStyle w:val="bodytext"/>
              <w:jc w:val="center"/>
              <w:rPr>
                <w:color w:val="auto"/>
                <w:szCs w:val="16"/>
                <w:lang w:val="nl-BE"/>
              </w:rPr>
            </w:pPr>
            <w:r>
              <w:rPr>
                <w:b/>
                <w:bCs/>
                <w:color w:val="auto"/>
                <w:sz w:val="20"/>
                <w:lang w:val="nl-BE"/>
              </w:rPr>
              <w:t>C</w:t>
            </w:r>
          </w:p>
        </w:tc>
        <w:tc>
          <w:tcPr>
            <w:tcW w:w="4649" w:type="dxa"/>
            <w:shd w:val="clear" w:color="auto" w:fill="FFFF00"/>
          </w:tcPr>
          <w:p w14:paraId="152B676D" w14:textId="77777777" w:rsidR="003924ED" w:rsidRDefault="003924ED" w:rsidP="0027762E">
            <w:pPr>
              <w:pStyle w:val="bodytext"/>
              <w:ind w:left="360"/>
              <w:jc w:val="center"/>
              <w:rPr>
                <w:color w:val="auto"/>
                <w:lang w:val="nl-NL"/>
              </w:rPr>
            </w:pPr>
            <w:r>
              <w:rPr>
                <w:b/>
                <w:bCs/>
                <w:color w:val="auto"/>
                <w:sz w:val="20"/>
                <w:lang w:val="nl-BE"/>
              </w:rPr>
              <w:t>D</w:t>
            </w:r>
          </w:p>
        </w:tc>
        <w:tc>
          <w:tcPr>
            <w:tcW w:w="3260" w:type="dxa"/>
            <w:shd w:val="clear" w:color="auto" w:fill="FFFF00"/>
          </w:tcPr>
          <w:p w14:paraId="3D2B8096" w14:textId="77777777" w:rsidR="003924ED" w:rsidRDefault="003924ED" w:rsidP="0027762E">
            <w:pPr>
              <w:pStyle w:val="bodytext"/>
              <w:ind w:left="360"/>
              <w:jc w:val="center"/>
              <w:rPr>
                <w:color w:val="auto"/>
                <w:lang w:val="nl-NL"/>
              </w:rPr>
            </w:pPr>
            <w:r>
              <w:rPr>
                <w:b/>
                <w:bCs/>
                <w:color w:val="auto"/>
                <w:sz w:val="20"/>
                <w:lang w:val="nl-BE"/>
              </w:rPr>
              <w:t>E</w:t>
            </w:r>
          </w:p>
        </w:tc>
      </w:tr>
      <w:tr w:rsidR="003924ED" w14:paraId="1C83B49D" w14:textId="77777777" w:rsidTr="00E87BC2">
        <w:tc>
          <w:tcPr>
            <w:tcW w:w="2122" w:type="dxa"/>
            <w:shd w:val="clear" w:color="auto" w:fill="FFFF00"/>
          </w:tcPr>
          <w:p w14:paraId="5AC0CA88" w14:textId="77777777" w:rsidR="003924ED" w:rsidRPr="00F73148" w:rsidRDefault="003924ED" w:rsidP="0027762E">
            <w:pPr>
              <w:pStyle w:val="bodytext"/>
              <w:jc w:val="center"/>
              <w:rPr>
                <w:b/>
                <w:bCs/>
                <w:color w:val="3C4043"/>
                <w:sz w:val="20"/>
                <w:szCs w:val="21"/>
                <w:shd w:val="clear" w:color="auto" w:fill="FFFFFF"/>
                <w:lang w:val="en-GB"/>
              </w:rPr>
            </w:pPr>
            <w:r w:rsidRPr="00853DC3">
              <w:rPr>
                <w:b/>
                <w:bCs/>
                <w:color w:val="auto"/>
                <w:sz w:val="20"/>
                <w:lang w:val="nl-BE"/>
              </w:rPr>
              <w:t>Flexibiliteitsdienst</w:t>
            </w:r>
          </w:p>
        </w:tc>
        <w:tc>
          <w:tcPr>
            <w:tcW w:w="1417" w:type="dxa"/>
            <w:shd w:val="clear" w:color="auto" w:fill="FFFF00"/>
          </w:tcPr>
          <w:p w14:paraId="3126A9D6" w14:textId="77777777" w:rsidR="003924ED" w:rsidRPr="00384966" w:rsidRDefault="003924ED" w:rsidP="0027762E">
            <w:pPr>
              <w:pStyle w:val="bodytext"/>
              <w:jc w:val="center"/>
              <w:rPr>
                <w:color w:val="auto"/>
                <w:szCs w:val="16"/>
                <w:lang w:val="nl-BE"/>
              </w:rPr>
            </w:pPr>
            <w:r w:rsidRPr="00853DC3">
              <w:rPr>
                <w:b/>
                <w:bCs/>
                <w:color w:val="auto"/>
                <w:sz w:val="20"/>
                <w:lang w:val="nl-BE"/>
              </w:rPr>
              <w:t>FRP</w:t>
            </w:r>
          </w:p>
        </w:tc>
        <w:tc>
          <w:tcPr>
            <w:tcW w:w="1843" w:type="dxa"/>
            <w:shd w:val="clear" w:color="auto" w:fill="FFFF00"/>
          </w:tcPr>
          <w:p w14:paraId="334E35D5" w14:textId="77777777" w:rsidR="003924ED" w:rsidRDefault="003924ED" w:rsidP="0027762E">
            <w:pPr>
              <w:pStyle w:val="bodytext"/>
              <w:jc w:val="center"/>
              <w:rPr>
                <w:b/>
                <w:bCs/>
                <w:color w:val="auto"/>
                <w:sz w:val="20"/>
                <w:lang w:val="nl-BE"/>
              </w:rPr>
            </w:pPr>
            <w:r w:rsidRPr="00853DC3">
              <w:rPr>
                <w:b/>
                <w:bCs/>
                <w:color w:val="auto"/>
                <w:sz w:val="20"/>
                <w:lang w:val="nl-BE"/>
              </w:rPr>
              <w:t>Algemene voorwaarden voor Flexibiliteits</w:t>
            </w:r>
            <w:r>
              <w:rPr>
                <w:b/>
                <w:bCs/>
                <w:color w:val="auto"/>
                <w:sz w:val="20"/>
                <w:lang w:val="nl-BE"/>
              </w:rPr>
              <w:t>-</w:t>
            </w:r>
            <w:r w:rsidRPr="00853DC3">
              <w:rPr>
                <w:b/>
                <w:bCs/>
                <w:color w:val="auto"/>
                <w:sz w:val="20"/>
                <w:lang w:val="nl-BE"/>
              </w:rPr>
              <w:t>diensten</w:t>
            </w:r>
          </w:p>
          <w:p w14:paraId="5A7403F8" w14:textId="77777777" w:rsidR="003924ED" w:rsidRPr="00384966" w:rsidRDefault="003924ED" w:rsidP="0027762E">
            <w:pPr>
              <w:pStyle w:val="bodytext"/>
              <w:jc w:val="center"/>
              <w:rPr>
                <w:color w:val="auto"/>
                <w:szCs w:val="16"/>
                <w:lang w:val="nl-BE"/>
              </w:rPr>
            </w:pPr>
          </w:p>
        </w:tc>
        <w:tc>
          <w:tcPr>
            <w:tcW w:w="4649" w:type="dxa"/>
            <w:shd w:val="clear" w:color="auto" w:fill="FFFF00"/>
          </w:tcPr>
          <w:p w14:paraId="2FC927E6" w14:textId="77777777" w:rsidR="003924ED" w:rsidRDefault="003924ED" w:rsidP="0027762E">
            <w:pPr>
              <w:pStyle w:val="bodytext"/>
              <w:ind w:left="360"/>
              <w:jc w:val="center"/>
              <w:rPr>
                <w:color w:val="auto"/>
                <w:lang w:val="nl-NL"/>
              </w:rPr>
            </w:pPr>
            <w:r>
              <w:rPr>
                <w:b/>
                <w:bCs/>
                <w:color w:val="auto"/>
                <w:sz w:val="20"/>
                <w:lang w:val="nl-BE"/>
              </w:rPr>
              <w:t>Specifieke voorwaarden voor deelname aan de Flexibiliteitsdienst</w:t>
            </w:r>
          </w:p>
        </w:tc>
        <w:tc>
          <w:tcPr>
            <w:tcW w:w="3260" w:type="dxa"/>
            <w:shd w:val="clear" w:color="auto" w:fill="FFFF00"/>
          </w:tcPr>
          <w:p w14:paraId="530C5E1F" w14:textId="77777777" w:rsidR="003924ED" w:rsidRDefault="003924ED" w:rsidP="0027762E">
            <w:pPr>
              <w:pStyle w:val="bodytext"/>
              <w:ind w:left="360"/>
              <w:jc w:val="center"/>
              <w:rPr>
                <w:color w:val="auto"/>
                <w:lang w:val="nl-NL"/>
              </w:rPr>
            </w:pPr>
            <w:r>
              <w:rPr>
                <w:b/>
                <w:bCs/>
                <w:color w:val="auto"/>
                <w:sz w:val="20"/>
                <w:lang w:val="nl-BE"/>
              </w:rPr>
              <w:t>Bijkomende informatie</w:t>
            </w:r>
          </w:p>
        </w:tc>
      </w:tr>
      <w:tr w:rsidR="003924ED" w:rsidRPr="00384966" w14:paraId="020C3E19" w14:textId="77777777" w:rsidTr="00E87BC2">
        <w:tc>
          <w:tcPr>
            <w:tcW w:w="2122" w:type="dxa"/>
            <w:shd w:val="clear" w:color="auto" w:fill="FFFF00"/>
          </w:tcPr>
          <w:p w14:paraId="518D16E5" w14:textId="77777777" w:rsidR="000270BF" w:rsidRPr="00E87BC2" w:rsidRDefault="000270BF" w:rsidP="0027762E">
            <w:pPr>
              <w:pStyle w:val="bodytext"/>
              <w:jc w:val="center"/>
              <w:rPr>
                <w:b/>
                <w:bCs/>
                <w:color w:val="3C4043"/>
                <w:sz w:val="20"/>
                <w:szCs w:val="21"/>
                <w:highlight w:val="yellow"/>
                <w:shd w:val="clear" w:color="auto" w:fill="FFFFFF"/>
                <w:lang w:val="en-GB"/>
              </w:rPr>
            </w:pPr>
            <w:r w:rsidRPr="00E87BC2">
              <w:rPr>
                <w:b/>
                <w:bCs/>
                <w:color w:val="3C4043"/>
                <w:sz w:val="20"/>
                <w:szCs w:val="21"/>
                <w:highlight w:val="yellow"/>
                <w:shd w:val="clear" w:color="auto" w:fill="FFFFFF"/>
                <w:lang w:val="en-GB"/>
              </w:rPr>
              <w:t xml:space="preserve">Transfer of Energy in day-ahead &amp; intraday </w:t>
            </w:r>
          </w:p>
          <w:p w14:paraId="03B4AD5A" w14:textId="00E277E0" w:rsidR="002F1ED5" w:rsidRPr="002F1ED5" w:rsidRDefault="003924ED" w:rsidP="0027762E">
            <w:pPr>
              <w:pStyle w:val="bodytext"/>
              <w:jc w:val="center"/>
              <w:rPr>
                <w:b/>
                <w:bCs/>
                <w:color w:val="auto"/>
                <w:sz w:val="20"/>
                <w:lang w:val="en-GB"/>
              </w:rPr>
            </w:pPr>
            <w:r w:rsidRPr="00E87BC2">
              <w:rPr>
                <w:b/>
                <w:bCs/>
                <w:color w:val="3C4043"/>
                <w:sz w:val="20"/>
                <w:szCs w:val="21"/>
                <w:highlight w:val="yellow"/>
                <w:shd w:val="clear" w:color="auto" w:fill="FFFFFF"/>
                <w:lang w:val="en-GB"/>
              </w:rPr>
              <w:t>(</w:t>
            </w:r>
            <w:proofErr w:type="spellStart"/>
            <w:r w:rsidR="000270BF" w:rsidRPr="00E87BC2">
              <w:rPr>
                <w:b/>
                <w:bCs/>
                <w:color w:val="3C4043"/>
                <w:sz w:val="20"/>
                <w:szCs w:val="21"/>
                <w:highlight w:val="yellow"/>
                <w:shd w:val="clear" w:color="auto" w:fill="FFFFFF"/>
                <w:lang w:val="en-GB"/>
              </w:rPr>
              <w:t>ToE</w:t>
            </w:r>
            <w:proofErr w:type="spellEnd"/>
            <w:r w:rsidR="000270BF" w:rsidRPr="00E87BC2">
              <w:rPr>
                <w:b/>
                <w:bCs/>
                <w:color w:val="3C4043"/>
                <w:sz w:val="20"/>
                <w:szCs w:val="21"/>
                <w:highlight w:val="yellow"/>
                <w:shd w:val="clear" w:color="auto" w:fill="FFFFFF"/>
                <w:lang w:val="en-GB"/>
              </w:rPr>
              <w:t xml:space="preserve"> DA/ID</w:t>
            </w:r>
            <w:r w:rsidRPr="00E87BC2">
              <w:rPr>
                <w:b/>
                <w:bCs/>
                <w:color w:val="3C4043"/>
                <w:sz w:val="20"/>
                <w:szCs w:val="21"/>
                <w:highlight w:val="yellow"/>
                <w:shd w:val="clear" w:color="auto" w:fill="FFFFFF"/>
                <w:lang w:val="en-GB"/>
              </w:rPr>
              <w:t>)</w:t>
            </w:r>
          </w:p>
        </w:tc>
        <w:tc>
          <w:tcPr>
            <w:tcW w:w="1417" w:type="dxa"/>
            <w:shd w:val="clear" w:color="auto" w:fill="FFFF00"/>
          </w:tcPr>
          <w:p w14:paraId="456AFFA8" w14:textId="33623951" w:rsidR="003924ED" w:rsidRPr="00384966" w:rsidRDefault="003924ED" w:rsidP="0027762E">
            <w:pPr>
              <w:pStyle w:val="bodytext"/>
              <w:jc w:val="both"/>
              <w:rPr>
                <w:color w:val="auto"/>
                <w:szCs w:val="16"/>
                <w:lang w:val="en-GB"/>
              </w:rPr>
            </w:pPr>
          </w:p>
        </w:tc>
        <w:tc>
          <w:tcPr>
            <w:tcW w:w="1843" w:type="dxa"/>
            <w:shd w:val="clear" w:color="auto" w:fill="FFFF00"/>
          </w:tcPr>
          <w:p w14:paraId="34DE9F15" w14:textId="77777777" w:rsidR="003924ED" w:rsidRPr="00384966" w:rsidRDefault="003924ED" w:rsidP="0027762E">
            <w:pPr>
              <w:pStyle w:val="bodytext"/>
              <w:jc w:val="both"/>
              <w:rPr>
                <w:color w:val="auto"/>
                <w:szCs w:val="16"/>
                <w:lang w:val="nl-BE"/>
              </w:rPr>
            </w:pPr>
            <w:r w:rsidRPr="00384966">
              <w:rPr>
                <w:color w:val="auto"/>
                <w:szCs w:val="16"/>
                <w:lang w:val="nl-BE"/>
              </w:rPr>
              <w:t xml:space="preserve">Zie </w:t>
            </w:r>
            <w:hyperlink r:id="rId18" w:history="1">
              <w:r w:rsidRPr="00384966">
                <w:rPr>
                  <w:rStyle w:val="Hyperlink"/>
                  <w:szCs w:val="16"/>
                  <w:lang w:val="nl-BE"/>
                </w:rPr>
                <w:t>www.elia.be</w:t>
              </w:r>
            </w:hyperlink>
          </w:p>
          <w:p w14:paraId="5B89B44E" w14:textId="77777777" w:rsidR="003924ED" w:rsidRPr="00384966" w:rsidRDefault="003924ED" w:rsidP="0027762E">
            <w:pPr>
              <w:pStyle w:val="bodytext"/>
              <w:jc w:val="both"/>
              <w:rPr>
                <w:color w:val="auto"/>
                <w:szCs w:val="16"/>
                <w:lang w:val="en-GB"/>
              </w:rPr>
            </w:pPr>
          </w:p>
        </w:tc>
        <w:tc>
          <w:tcPr>
            <w:tcW w:w="4649" w:type="dxa"/>
            <w:shd w:val="clear" w:color="auto" w:fill="FFFF00"/>
          </w:tcPr>
          <w:p w14:paraId="4CD6FFB5" w14:textId="77777777" w:rsidR="003924ED" w:rsidRDefault="003924ED" w:rsidP="0027762E">
            <w:pPr>
              <w:pStyle w:val="bodytext"/>
              <w:numPr>
                <w:ilvl w:val="0"/>
                <w:numId w:val="52"/>
              </w:numPr>
              <w:rPr>
                <w:color w:val="auto"/>
                <w:lang w:val="nl-NL"/>
              </w:rPr>
            </w:pPr>
            <w:r>
              <w:rPr>
                <w:color w:val="auto"/>
                <w:lang w:val="nl-NL"/>
              </w:rPr>
              <w:t>Enkel de SDP-F’s aangesloten op het HS-net mogen worden toegevoegd aan de Pool van de FSP, tenzij de toepasselijke regelgeving dit anders bepaalt.</w:t>
            </w:r>
          </w:p>
          <w:p w14:paraId="6F1CA7C1" w14:textId="77777777" w:rsidR="003924ED" w:rsidRDefault="003924ED" w:rsidP="0027762E">
            <w:pPr>
              <w:pStyle w:val="bodytext"/>
              <w:numPr>
                <w:ilvl w:val="0"/>
                <w:numId w:val="52"/>
              </w:numPr>
              <w:rPr>
                <w:color w:val="auto"/>
                <w:lang w:val="nl-NL"/>
              </w:rPr>
            </w:pPr>
            <w:r>
              <w:rPr>
                <w:color w:val="auto"/>
                <w:lang w:val="nl-NL"/>
              </w:rPr>
              <w:t>De hoofdmeter van de DNB moet kwartiergemeten zijn.</w:t>
            </w:r>
          </w:p>
          <w:p w14:paraId="395C919F" w14:textId="77777777" w:rsidR="003924ED" w:rsidRDefault="003924ED" w:rsidP="0027762E">
            <w:pPr>
              <w:pStyle w:val="bodytext"/>
              <w:numPr>
                <w:ilvl w:val="0"/>
                <w:numId w:val="52"/>
              </w:numPr>
              <w:rPr>
                <w:color w:val="auto"/>
                <w:lang w:val="nl-NL"/>
              </w:rPr>
            </w:pPr>
            <w:r w:rsidRPr="004F06DF">
              <w:rPr>
                <w:color w:val="auto"/>
                <w:lang w:val="nl-NL"/>
              </w:rPr>
              <w:t>Alvorens een SDP-F in de Pool van de FSP toe te voegen, moet het aansluitingspunt</w:t>
            </w:r>
            <w:r>
              <w:rPr>
                <w:color w:val="auto"/>
                <w:lang w:val="nl-NL"/>
              </w:rPr>
              <w:t xml:space="preserve">, gelinkt aan deze SDP-F worden </w:t>
            </w:r>
            <w:proofErr w:type="spellStart"/>
            <w:r>
              <w:rPr>
                <w:color w:val="auto"/>
                <w:lang w:val="nl-NL"/>
              </w:rPr>
              <w:t>geprekwalificeerd</w:t>
            </w:r>
            <w:proofErr w:type="spellEnd"/>
            <w:r>
              <w:rPr>
                <w:color w:val="auto"/>
                <w:lang w:val="nl-NL"/>
              </w:rPr>
              <w:t xml:space="preserve"> </w:t>
            </w:r>
            <w:r w:rsidRPr="004F06DF">
              <w:rPr>
                <w:color w:val="auto"/>
                <w:lang w:val="nl-NL"/>
              </w:rPr>
              <w:t>volgens de procedure beschreven in het document C8/01 van Synergrid.</w:t>
            </w:r>
          </w:p>
          <w:p w14:paraId="2F4B5A01" w14:textId="77777777" w:rsidR="003924ED" w:rsidRDefault="003924ED" w:rsidP="0027762E">
            <w:pPr>
              <w:pStyle w:val="bodytext"/>
              <w:numPr>
                <w:ilvl w:val="0"/>
                <w:numId w:val="52"/>
              </w:numPr>
              <w:rPr>
                <w:color w:val="auto"/>
                <w:lang w:val="nl-NL"/>
              </w:rPr>
            </w:pPr>
            <w:r w:rsidRPr="004F06DF">
              <w:rPr>
                <w:color w:val="auto"/>
                <w:lang w:val="nl-NL"/>
              </w:rPr>
              <w:t xml:space="preserve">Het gevraagd flexibel vermogen mag in geen geval het </w:t>
            </w:r>
            <w:proofErr w:type="spellStart"/>
            <w:r w:rsidRPr="004F06DF">
              <w:rPr>
                <w:color w:val="auto"/>
                <w:lang w:val="nl-NL"/>
              </w:rPr>
              <w:t>geprekwalificeerd</w:t>
            </w:r>
            <w:proofErr w:type="spellEnd"/>
            <w:r w:rsidRPr="004F06DF">
              <w:rPr>
                <w:color w:val="auto"/>
                <w:lang w:val="nl-NL"/>
              </w:rPr>
              <w:t xml:space="preserve"> vermogen overschrijden. </w:t>
            </w:r>
          </w:p>
          <w:p w14:paraId="78C898A6" w14:textId="77777777" w:rsidR="003924ED" w:rsidRDefault="003924ED" w:rsidP="0027762E">
            <w:pPr>
              <w:pStyle w:val="bodytext"/>
              <w:numPr>
                <w:ilvl w:val="0"/>
                <w:numId w:val="52"/>
              </w:numPr>
              <w:rPr>
                <w:color w:val="auto"/>
                <w:lang w:val="nl-NL"/>
              </w:rPr>
            </w:pPr>
            <w:r w:rsidRPr="0096166B">
              <w:rPr>
                <w:color w:val="auto"/>
                <w:lang w:val="nl-NL"/>
              </w:rPr>
              <w:t>Als het SDP-F zich in een specifiek circuit van de installatie bevindt (e</w:t>
            </w:r>
            <w:r>
              <w:rPr>
                <w:color w:val="auto"/>
                <w:lang w:val="nl-NL"/>
              </w:rPr>
              <w:t xml:space="preserve">n niet op het hoofd van de installatie), moeten de modaliteiten voor de telling conform zijn met het document </w:t>
            </w:r>
            <w:r w:rsidRPr="0096166B">
              <w:rPr>
                <w:color w:val="auto"/>
                <w:lang w:val="nl-NL"/>
              </w:rPr>
              <w:t xml:space="preserve">C8/02 </w:t>
            </w:r>
            <w:r>
              <w:rPr>
                <w:color w:val="auto"/>
                <w:lang w:val="nl-NL"/>
              </w:rPr>
              <w:t xml:space="preserve">van </w:t>
            </w:r>
            <w:r w:rsidRPr="0096166B">
              <w:rPr>
                <w:color w:val="auto"/>
                <w:lang w:val="nl-NL"/>
              </w:rPr>
              <w:t>Synergrid</w:t>
            </w:r>
            <w:r>
              <w:rPr>
                <w:color w:val="auto"/>
                <w:lang w:val="nl-NL"/>
              </w:rPr>
              <w:t>.</w:t>
            </w:r>
          </w:p>
          <w:p w14:paraId="429512AA" w14:textId="77777777" w:rsidR="003924ED" w:rsidRPr="0096166B" w:rsidRDefault="003924ED" w:rsidP="0027762E">
            <w:pPr>
              <w:pStyle w:val="bodytext"/>
              <w:ind w:left="360"/>
              <w:rPr>
                <w:color w:val="auto"/>
                <w:lang w:val="nl-NL"/>
              </w:rPr>
            </w:pPr>
          </w:p>
        </w:tc>
        <w:tc>
          <w:tcPr>
            <w:tcW w:w="3260" w:type="dxa"/>
            <w:shd w:val="clear" w:color="auto" w:fill="FFFF00"/>
          </w:tcPr>
          <w:p w14:paraId="6BF9CF0F" w14:textId="77777777" w:rsidR="003924ED" w:rsidRDefault="003924ED" w:rsidP="0027762E">
            <w:pPr>
              <w:pStyle w:val="bodytext"/>
              <w:numPr>
                <w:ilvl w:val="0"/>
                <w:numId w:val="52"/>
              </w:numPr>
              <w:rPr>
                <w:color w:val="auto"/>
                <w:lang w:val="nl-NL"/>
              </w:rPr>
            </w:pPr>
            <w:r>
              <w:rPr>
                <w:color w:val="auto"/>
                <w:lang w:val="nl-NL"/>
              </w:rPr>
              <w:t xml:space="preserve">De activeringen van de flexibiliteit moeten aan de DNB worden gecommuniceerd per e-mail of elke andere manier van communicatie overeengekomen tussen de DNB en de FSP, met aanduiding van de volgende informatie:  </w:t>
            </w:r>
          </w:p>
          <w:p w14:paraId="69896157" w14:textId="77777777" w:rsidR="003924ED" w:rsidRPr="00F73148" w:rsidRDefault="003924ED" w:rsidP="0027762E">
            <w:pPr>
              <w:pStyle w:val="bodytext"/>
              <w:numPr>
                <w:ilvl w:val="1"/>
                <w:numId w:val="52"/>
              </w:numPr>
              <w:rPr>
                <w:color w:val="auto"/>
                <w:lang w:val="nl-NL"/>
              </w:rPr>
            </w:pPr>
            <w:r w:rsidRPr="00F73148">
              <w:rPr>
                <w:color w:val="auto"/>
                <w:lang w:val="nl-NL"/>
              </w:rPr>
              <w:t>EAN</w:t>
            </w:r>
          </w:p>
          <w:p w14:paraId="56684037" w14:textId="77777777" w:rsidR="003924ED" w:rsidRPr="00F73148" w:rsidRDefault="003924ED" w:rsidP="0027762E">
            <w:pPr>
              <w:pStyle w:val="bodytext"/>
              <w:numPr>
                <w:ilvl w:val="1"/>
                <w:numId w:val="52"/>
              </w:numPr>
              <w:rPr>
                <w:color w:val="auto"/>
                <w:lang w:val="nl-NL"/>
              </w:rPr>
            </w:pPr>
            <w:r w:rsidRPr="00F73148">
              <w:rPr>
                <w:color w:val="auto"/>
                <w:lang w:val="nl-NL"/>
              </w:rPr>
              <w:t>Tijdstip activatie</w:t>
            </w:r>
          </w:p>
          <w:p w14:paraId="78745040" w14:textId="77777777" w:rsidR="003924ED" w:rsidRPr="00F73148" w:rsidRDefault="003924ED" w:rsidP="0027762E">
            <w:pPr>
              <w:pStyle w:val="bodytext"/>
              <w:numPr>
                <w:ilvl w:val="1"/>
                <w:numId w:val="52"/>
              </w:numPr>
              <w:rPr>
                <w:color w:val="auto"/>
                <w:lang w:val="nl-NL"/>
              </w:rPr>
            </w:pPr>
            <w:r w:rsidRPr="00F73148">
              <w:rPr>
                <w:color w:val="auto"/>
                <w:lang w:val="nl-NL"/>
              </w:rPr>
              <w:t>Tijdstip vrijgave</w:t>
            </w:r>
          </w:p>
          <w:p w14:paraId="21379206" w14:textId="77777777" w:rsidR="003924ED" w:rsidRPr="00F73148" w:rsidRDefault="003924ED" w:rsidP="0027762E">
            <w:pPr>
              <w:pStyle w:val="bodytext"/>
              <w:numPr>
                <w:ilvl w:val="1"/>
                <w:numId w:val="52"/>
              </w:numPr>
              <w:rPr>
                <w:color w:val="auto"/>
                <w:lang w:val="nl-NL"/>
              </w:rPr>
            </w:pPr>
            <w:r w:rsidRPr="00F73148">
              <w:rPr>
                <w:color w:val="auto"/>
                <w:lang w:val="nl-NL"/>
              </w:rPr>
              <w:t>Geactiveerd vermogen (indien beschikbaar)</w:t>
            </w:r>
          </w:p>
          <w:p w14:paraId="6BE9C3DF" w14:textId="77777777" w:rsidR="003924ED" w:rsidRPr="00384966" w:rsidRDefault="003924ED" w:rsidP="0027762E">
            <w:pPr>
              <w:pStyle w:val="bodytext"/>
              <w:ind w:left="1080"/>
              <w:jc w:val="both"/>
              <w:rPr>
                <w:color w:val="auto"/>
                <w:lang w:val="nl-NL"/>
              </w:rPr>
            </w:pPr>
          </w:p>
        </w:tc>
      </w:tr>
    </w:tbl>
    <w:p w14:paraId="762F7306" w14:textId="1FB39781" w:rsidR="003924ED" w:rsidRDefault="003924ED">
      <w:pPr>
        <w:spacing w:after="200" w:line="276" w:lineRule="auto"/>
        <w:jc w:val="left"/>
        <w:rPr>
          <w:lang w:val="nl-NL"/>
        </w:rPr>
      </w:pPr>
      <w:r>
        <w:rPr>
          <w:lang w:val="nl-NL"/>
        </w:rPr>
        <w:br w:type="page"/>
      </w:r>
    </w:p>
    <w:p w14:paraId="47C80249" w14:textId="77777777" w:rsidR="00953B4A" w:rsidRPr="00BF0D66" w:rsidRDefault="00953B4A">
      <w:pPr>
        <w:spacing w:after="200" w:line="276" w:lineRule="auto"/>
        <w:jc w:val="left"/>
        <w:rPr>
          <w:lang w:val="nl-NL"/>
        </w:rPr>
        <w:sectPr w:rsidR="00953B4A" w:rsidRPr="00BF0D66" w:rsidSect="00953B4A">
          <w:pgSz w:w="16838" w:h="11906" w:orient="landscape"/>
          <w:pgMar w:top="1440" w:right="1440" w:bottom="1440" w:left="1440" w:header="709" w:footer="709" w:gutter="0"/>
          <w:cols w:space="708"/>
          <w:docGrid w:linePitch="360"/>
        </w:sectPr>
      </w:pPr>
    </w:p>
    <w:p w14:paraId="060733EC" w14:textId="5EDF0356" w:rsidR="00847A27" w:rsidRPr="00BF0D66" w:rsidRDefault="00847A27">
      <w:pPr>
        <w:spacing w:after="200" w:line="276" w:lineRule="auto"/>
        <w:jc w:val="left"/>
        <w:rPr>
          <w:lang w:val="nl-NL"/>
        </w:rPr>
      </w:pPr>
    </w:p>
    <w:p w14:paraId="38C0B162" w14:textId="77777777" w:rsidR="00847A27" w:rsidRPr="00BF0D66" w:rsidRDefault="00847A27" w:rsidP="00FA3FF7">
      <w:pPr>
        <w:rPr>
          <w:lang w:val="nl-NL"/>
        </w:rPr>
      </w:pPr>
    </w:p>
    <w:p w14:paraId="74DCF798" w14:textId="77777777" w:rsidR="00EA5F14" w:rsidRPr="00BF0D66" w:rsidRDefault="00EA5F14" w:rsidP="00EA5F14">
      <w:pPr>
        <w:rPr>
          <w:lang w:val="nl-NL"/>
        </w:rPr>
      </w:pPr>
    </w:p>
    <w:tbl>
      <w:tblPr>
        <w:tblW w:w="78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1702"/>
        <w:gridCol w:w="6111"/>
      </w:tblGrid>
      <w:tr w:rsidR="00EA5F14" w:rsidRPr="00FA3FF7" w14:paraId="7AE05A02" w14:textId="77777777" w:rsidTr="006D0683">
        <w:trPr>
          <w:trHeight w:val="451"/>
        </w:trPr>
        <w:tc>
          <w:tcPr>
            <w:tcW w:w="1702" w:type="dxa"/>
          </w:tcPr>
          <w:p w14:paraId="5C138378" w14:textId="7CD662EA" w:rsidR="00EA5F14" w:rsidRPr="00C04BD1" w:rsidRDefault="00EA5F14" w:rsidP="006D0683">
            <w:pPr>
              <w:spacing w:before="120" w:after="120"/>
              <w:rPr>
                <w:b/>
                <w:sz w:val="28"/>
                <w:szCs w:val="28"/>
                <w:u w:val="single"/>
                <w:lang w:val="fr-BE"/>
              </w:rPr>
            </w:pPr>
            <w:r w:rsidRPr="00BF0D66">
              <w:rPr>
                <w:b/>
                <w:sz w:val="28"/>
                <w:szCs w:val="28"/>
                <w:u w:val="single"/>
                <w:lang w:val="nl-NL"/>
              </w:rPr>
              <w:br w:type="page"/>
            </w:r>
            <w:proofErr w:type="spellStart"/>
            <w:r>
              <w:rPr>
                <w:b/>
                <w:sz w:val="28"/>
                <w:szCs w:val="28"/>
                <w:u w:val="single"/>
                <w:lang w:val="fr-BE"/>
              </w:rPr>
              <w:t>Bijlage</w:t>
            </w:r>
            <w:proofErr w:type="spellEnd"/>
            <w:r w:rsidRPr="00C04BD1">
              <w:rPr>
                <w:b/>
                <w:sz w:val="28"/>
                <w:szCs w:val="28"/>
                <w:u w:val="single"/>
                <w:lang w:val="fr-BE"/>
              </w:rPr>
              <w:t xml:space="preserve"> </w:t>
            </w:r>
            <w:r>
              <w:rPr>
                <w:b/>
                <w:sz w:val="28"/>
                <w:szCs w:val="28"/>
                <w:u w:val="single"/>
                <w:lang w:val="fr-BE"/>
              </w:rPr>
              <w:t>2</w:t>
            </w:r>
          </w:p>
        </w:tc>
        <w:tc>
          <w:tcPr>
            <w:tcW w:w="6111" w:type="dxa"/>
            <w:shd w:val="clear" w:color="auto" w:fill="E0E0E0"/>
          </w:tcPr>
          <w:p w14:paraId="73A7792B" w14:textId="36EE8291" w:rsidR="00EA5F14" w:rsidRPr="00FA3FF7" w:rsidRDefault="00EA5F14" w:rsidP="006D0683">
            <w:pPr>
              <w:spacing w:before="120" w:after="120"/>
              <w:rPr>
                <w:b/>
                <w:sz w:val="28"/>
                <w:szCs w:val="28"/>
                <w:u w:val="single"/>
              </w:rPr>
            </w:pPr>
            <w:r>
              <w:rPr>
                <w:b/>
                <w:sz w:val="28"/>
                <w:szCs w:val="28"/>
                <w:u w:val="single"/>
              </w:rPr>
              <w:t xml:space="preserve">Formulier </w:t>
            </w:r>
            <w:r w:rsidRPr="00EA5F14">
              <w:rPr>
                <w:b/>
                <w:sz w:val="28"/>
                <w:szCs w:val="28"/>
                <w:u w:val="single"/>
              </w:rPr>
              <w:t>voor de aanvraag van een identificatie voor een nieuw SDP-F</w:t>
            </w:r>
          </w:p>
        </w:tc>
      </w:tr>
    </w:tbl>
    <w:p w14:paraId="0BE9F471" w14:textId="77777777" w:rsidR="00EA5F14" w:rsidRPr="00FA3FF7" w:rsidRDefault="00EA5F14" w:rsidP="00EA5F14">
      <w:pPr>
        <w:ind w:left="142"/>
      </w:pPr>
    </w:p>
    <w:bookmarkStart w:id="7" w:name="_MON_1647103310"/>
    <w:bookmarkEnd w:id="7"/>
    <w:p w14:paraId="78B327B2" w14:textId="7AD8293D" w:rsidR="005772D8" w:rsidRDefault="00322C7A" w:rsidP="00FA3FF7">
      <w:pPr>
        <w:rPr>
          <w:lang w:val="nl-NL"/>
        </w:rPr>
      </w:pPr>
      <w:r>
        <w:rPr>
          <w:lang w:val="nl-NL"/>
        </w:rPr>
        <w:object w:dxaOrig="1534" w:dyaOrig="997" w14:anchorId="06C02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85pt" o:ole="">
            <v:imagedata r:id="rId19" o:title=""/>
          </v:shape>
          <o:OLEObject Type="Embed" ProgID="Excel.Sheet.12" ShapeID="_x0000_i1025" DrawAspect="Icon" ObjectID="_1674632314" r:id="rId20"/>
        </w:object>
      </w:r>
    </w:p>
    <w:p w14:paraId="4A02D2D0" w14:textId="629BCF64" w:rsidR="00EA5F14" w:rsidRDefault="00EA5F14" w:rsidP="00FA3FF7">
      <w:pPr>
        <w:rPr>
          <w:lang w:val="nl-NL"/>
        </w:rPr>
      </w:pPr>
    </w:p>
    <w:p w14:paraId="622193B3" w14:textId="3D2C2D6B" w:rsidR="00EA5F14" w:rsidRDefault="00EA5F14" w:rsidP="00FA3FF7">
      <w:pPr>
        <w:rPr>
          <w:lang w:val="nl-NL"/>
        </w:rPr>
      </w:pPr>
    </w:p>
    <w:p w14:paraId="62D73138" w14:textId="77777777" w:rsidR="00EA5F14" w:rsidRPr="00BF0D66" w:rsidRDefault="00EA5F14" w:rsidP="00FA3FF7">
      <w:pPr>
        <w:rPr>
          <w:lang w:val="nl-NL"/>
        </w:rPr>
      </w:pPr>
    </w:p>
    <w:tbl>
      <w:tblPr>
        <w:tblW w:w="78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1702"/>
        <w:gridCol w:w="6111"/>
      </w:tblGrid>
      <w:tr w:rsidR="00FA3FF7" w:rsidRPr="00FA3FF7" w14:paraId="5D7DE60D" w14:textId="77777777" w:rsidTr="00FA3FF7">
        <w:trPr>
          <w:trHeight w:val="451"/>
        </w:trPr>
        <w:tc>
          <w:tcPr>
            <w:tcW w:w="1702" w:type="dxa"/>
          </w:tcPr>
          <w:p w14:paraId="13A69609" w14:textId="33A9D86E" w:rsidR="00FA3FF7" w:rsidRPr="00C04BD1" w:rsidRDefault="00FA3FF7" w:rsidP="00FA3FF7">
            <w:pPr>
              <w:spacing w:before="120" w:after="120"/>
              <w:rPr>
                <w:b/>
                <w:sz w:val="28"/>
                <w:szCs w:val="28"/>
                <w:u w:val="single"/>
                <w:lang w:val="fr-BE"/>
              </w:rPr>
            </w:pPr>
            <w:r w:rsidRPr="00BF0D66">
              <w:rPr>
                <w:b/>
                <w:sz w:val="28"/>
                <w:szCs w:val="28"/>
                <w:u w:val="single"/>
                <w:lang w:val="nl-NL"/>
              </w:rPr>
              <w:br w:type="page"/>
            </w:r>
            <w:r>
              <w:rPr>
                <w:b/>
                <w:sz w:val="28"/>
                <w:szCs w:val="28"/>
                <w:u w:val="single"/>
                <w:lang w:val="fr-BE"/>
              </w:rPr>
              <w:t>Bijlage</w:t>
            </w:r>
            <w:r w:rsidRPr="00C04BD1">
              <w:rPr>
                <w:b/>
                <w:sz w:val="28"/>
                <w:szCs w:val="28"/>
                <w:u w:val="single"/>
                <w:lang w:val="fr-BE"/>
              </w:rPr>
              <w:t xml:space="preserve"> </w:t>
            </w:r>
            <w:r w:rsidR="00EA5F14">
              <w:rPr>
                <w:b/>
                <w:sz w:val="28"/>
                <w:szCs w:val="28"/>
                <w:u w:val="single"/>
                <w:lang w:val="fr-BE"/>
              </w:rPr>
              <w:t>3</w:t>
            </w:r>
          </w:p>
        </w:tc>
        <w:tc>
          <w:tcPr>
            <w:tcW w:w="6111" w:type="dxa"/>
            <w:shd w:val="clear" w:color="auto" w:fill="E0E0E0"/>
          </w:tcPr>
          <w:p w14:paraId="78D6A4D1" w14:textId="5168BAF9" w:rsidR="00FA3FF7" w:rsidRPr="00FA3FF7" w:rsidRDefault="00836AA3" w:rsidP="005F26AA">
            <w:pPr>
              <w:spacing w:before="120" w:after="120"/>
              <w:rPr>
                <w:b/>
                <w:sz w:val="28"/>
                <w:szCs w:val="28"/>
                <w:u w:val="single"/>
              </w:rPr>
            </w:pPr>
            <w:r>
              <w:rPr>
                <w:b/>
                <w:sz w:val="28"/>
                <w:szCs w:val="28"/>
                <w:u w:val="single"/>
              </w:rPr>
              <w:t>P</w:t>
            </w:r>
            <w:r w:rsidR="00FA3FF7" w:rsidRPr="00FA3FF7">
              <w:rPr>
                <w:b/>
                <w:sz w:val="28"/>
                <w:szCs w:val="28"/>
                <w:u w:val="single"/>
              </w:rPr>
              <w:t>ool</w:t>
            </w:r>
          </w:p>
        </w:tc>
      </w:tr>
    </w:tbl>
    <w:p w14:paraId="41EF71F1" w14:textId="77777777" w:rsidR="00FA3FF7" w:rsidRPr="00FA3FF7" w:rsidRDefault="00FA3FF7" w:rsidP="00FA3FF7">
      <w:pPr>
        <w:ind w:left="142"/>
      </w:pPr>
    </w:p>
    <w:p w14:paraId="19F2EFA3" w14:textId="77777777" w:rsidR="00FA3FF7" w:rsidRPr="00FA3FF7" w:rsidRDefault="00FA3FF7" w:rsidP="00FA3FF7">
      <w:pPr>
        <w:ind w:left="142"/>
      </w:pPr>
    </w:p>
    <w:p w14:paraId="17E005D3" w14:textId="228AC4BE" w:rsidR="00FA3FF7" w:rsidRPr="00771FF0" w:rsidRDefault="00110D6F" w:rsidP="00FA3FF7">
      <w:pPr>
        <w:pStyle w:val="bodytext"/>
        <w:jc w:val="both"/>
        <w:rPr>
          <w:color w:val="auto"/>
          <w:sz w:val="20"/>
          <w:lang w:val="nl-BE"/>
        </w:rPr>
      </w:pPr>
      <w:r w:rsidRPr="00771FF0">
        <w:rPr>
          <w:color w:val="auto"/>
          <w:sz w:val="20"/>
          <w:lang w:val="nl-BE"/>
        </w:rPr>
        <w:t xml:space="preserve">De </w:t>
      </w:r>
      <w:r w:rsidR="00836AA3">
        <w:rPr>
          <w:color w:val="auto"/>
          <w:sz w:val="20"/>
          <w:lang w:val="nl-BE"/>
        </w:rPr>
        <w:t>SDP-F’s</w:t>
      </w:r>
      <w:r w:rsidR="00114234">
        <w:rPr>
          <w:color w:val="auto"/>
          <w:sz w:val="20"/>
          <w:lang w:val="nl-BE"/>
        </w:rPr>
        <w:t xml:space="preserve"> </w:t>
      </w:r>
      <w:r w:rsidRPr="00771FF0">
        <w:rPr>
          <w:color w:val="auto"/>
          <w:sz w:val="20"/>
          <w:lang w:val="nl-BE"/>
        </w:rPr>
        <w:t xml:space="preserve">(en de bijbehorende flexibiliteitsmiddelen) opgenomen in de hierna vermelde lijst maken deel uit van de </w:t>
      </w:r>
      <w:r w:rsidR="00836AA3">
        <w:rPr>
          <w:color w:val="auto"/>
          <w:sz w:val="20"/>
          <w:lang w:val="nl-BE"/>
        </w:rPr>
        <w:t>P</w:t>
      </w:r>
      <w:r w:rsidRPr="00771FF0">
        <w:rPr>
          <w:color w:val="auto"/>
          <w:sz w:val="20"/>
          <w:lang w:val="nl-BE"/>
        </w:rPr>
        <w:t xml:space="preserve">ool. Deze </w:t>
      </w:r>
      <w:r w:rsidR="00836AA3">
        <w:rPr>
          <w:color w:val="auto"/>
          <w:sz w:val="20"/>
          <w:lang w:val="nl-BE"/>
        </w:rPr>
        <w:t>P</w:t>
      </w:r>
      <w:r w:rsidRPr="00771FF0">
        <w:rPr>
          <w:color w:val="auto"/>
          <w:sz w:val="20"/>
          <w:lang w:val="nl-BE"/>
        </w:rPr>
        <w:t xml:space="preserve">ool kan in overeenstemming met artikel </w:t>
      </w:r>
      <w:r w:rsidR="00771FF0" w:rsidRPr="00771FF0">
        <w:rPr>
          <w:color w:val="auto"/>
          <w:sz w:val="20"/>
          <w:lang w:val="nl-BE"/>
        </w:rPr>
        <w:t>5</w:t>
      </w:r>
      <w:r w:rsidRPr="00771FF0">
        <w:rPr>
          <w:color w:val="auto"/>
          <w:sz w:val="20"/>
          <w:lang w:val="nl-BE"/>
        </w:rPr>
        <w:t xml:space="preserve"> van </w:t>
      </w:r>
      <w:r w:rsidR="00836AA3">
        <w:rPr>
          <w:color w:val="auto"/>
          <w:sz w:val="20"/>
          <w:lang w:val="nl-BE"/>
        </w:rPr>
        <w:t xml:space="preserve">onderhavige </w:t>
      </w:r>
      <w:r w:rsidRPr="00771FF0">
        <w:rPr>
          <w:color w:val="auto"/>
          <w:sz w:val="20"/>
          <w:lang w:val="nl-BE"/>
        </w:rPr>
        <w:t>overeenkomst worden gewijzigd</w:t>
      </w:r>
      <w:r w:rsidR="00FA3FF7" w:rsidRPr="00771FF0">
        <w:rPr>
          <w:color w:val="auto"/>
          <w:sz w:val="20"/>
          <w:lang w:val="nl-BE"/>
        </w:rPr>
        <w:t>.</w:t>
      </w:r>
    </w:p>
    <w:p w14:paraId="084C3FAE" w14:textId="77777777" w:rsidR="00FA3FF7" w:rsidRPr="00771FF0" w:rsidRDefault="00110D6F" w:rsidP="00FA3FF7">
      <w:pPr>
        <w:pStyle w:val="bodytext"/>
        <w:jc w:val="both"/>
        <w:rPr>
          <w:color w:val="auto"/>
          <w:sz w:val="20"/>
          <w:lang w:val="nl-BE"/>
        </w:rPr>
      </w:pPr>
      <w:r w:rsidRPr="00771FF0">
        <w:rPr>
          <w:color w:val="auto"/>
          <w:sz w:val="20"/>
          <w:lang w:val="nl-BE"/>
        </w:rPr>
        <w:t>Annuleert en vervangt de vorige versies te beginnen vanaf</w:t>
      </w:r>
      <w:r w:rsidR="00771FF0" w:rsidRPr="00771FF0">
        <w:rPr>
          <w:color w:val="auto"/>
          <w:sz w:val="20"/>
          <w:lang w:val="nl-BE"/>
        </w:rPr>
        <w:t xml:space="preserve"> </w:t>
      </w:r>
      <w:r w:rsidR="00771FF0" w:rsidRPr="00EA5F14">
        <w:rPr>
          <w:color w:val="auto"/>
          <w:sz w:val="20"/>
          <w:highlight w:val="yellow"/>
          <w:lang w:val="nl-BE"/>
        </w:rPr>
        <w:t>XXX</w:t>
      </w:r>
    </w:p>
    <w:p w14:paraId="7033A962" w14:textId="77777777" w:rsidR="00FA3FF7" w:rsidRPr="00110D6F" w:rsidRDefault="00FA3FF7" w:rsidP="00FA3FF7">
      <w:pPr>
        <w:pStyle w:val="bodytext"/>
        <w:jc w:val="both"/>
        <w:rPr>
          <w:color w:val="auto"/>
          <w:sz w:val="22"/>
          <w:lang w:val="nl-BE"/>
        </w:rPr>
      </w:pPr>
    </w:p>
    <w:p w14:paraId="08F61721" w14:textId="7376D87D" w:rsidR="00FA3FF7" w:rsidRDefault="00486FEE" w:rsidP="00FA3FF7">
      <w:pPr>
        <w:pStyle w:val="bodytext"/>
        <w:jc w:val="both"/>
        <w:rPr>
          <w:lang w:val="nl-BE"/>
        </w:rPr>
      </w:pPr>
      <w:r w:rsidRPr="006379C6">
        <w:rPr>
          <w:color w:val="auto"/>
          <w:sz w:val="22"/>
          <w:lang w:val="nl-BE"/>
        </w:rPr>
        <w:t xml:space="preserve">  </w:t>
      </w:r>
      <w:r w:rsidR="005E28E5" w:rsidRPr="006379C6">
        <w:rPr>
          <w:color w:val="auto"/>
          <w:sz w:val="22"/>
          <w:lang w:val="nl-BE"/>
        </w:rPr>
        <w:t xml:space="preserve"> </w:t>
      </w:r>
    </w:p>
    <w:p w14:paraId="315C23BB" w14:textId="456A1C5F" w:rsidR="00EA5F14" w:rsidRDefault="00B515BA" w:rsidP="00FA3FF7">
      <w:pPr>
        <w:pStyle w:val="bodytext"/>
        <w:jc w:val="both"/>
        <w:rPr>
          <w:lang w:val="nl-BE"/>
        </w:rPr>
      </w:pPr>
      <w:r>
        <w:rPr>
          <w:lang w:val="nl-BE"/>
        </w:rPr>
        <w:object w:dxaOrig="1534" w:dyaOrig="997" w14:anchorId="12CF456D">
          <v:shape id="_x0000_i1026" type="#_x0000_t75" style="width:76.6pt;height:49.85pt" o:ole="">
            <v:imagedata r:id="rId21" o:title=""/>
          </v:shape>
          <o:OLEObject Type="Embed" ProgID="Excel.Sheet.12" ShapeID="_x0000_i1026" DrawAspect="Icon" ObjectID="_1674632315" r:id="rId22"/>
        </w:object>
      </w:r>
    </w:p>
    <w:p w14:paraId="6A2A2B31" w14:textId="6EC7E491" w:rsidR="00EA5F14" w:rsidRDefault="00EA5F14" w:rsidP="00FA3FF7">
      <w:pPr>
        <w:pStyle w:val="bodytext"/>
        <w:jc w:val="both"/>
        <w:rPr>
          <w:lang w:val="nl-BE"/>
        </w:rPr>
      </w:pPr>
    </w:p>
    <w:p w14:paraId="059892DA" w14:textId="4946788E" w:rsidR="00EA5F14" w:rsidRDefault="00EA5F14" w:rsidP="00FA3FF7">
      <w:pPr>
        <w:pStyle w:val="bodytext"/>
        <w:jc w:val="both"/>
        <w:rPr>
          <w:lang w:val="nl-BE"/>
        </w:rPr>
      </w:pPr>
    </w:p>
    <w:p w14:paraId="2F8BC4BE" w14:textId="200768BE" w:rsidR="00EA5F14" w:rsidRDefault="00EA5F14" w:rsidP="00FA3FF7">
      <w:pPr>
        <w:pStyle w:val="bodytext"/>
        <w:jc w:val="both"/>
        <w:rPr>
          <w:lang w:val="nl-BE"/>
        </w:rPr>
      </w:pPr>
    </w:p>
    <w:p w14:paraId="574A11F2" w14:textId="2FD1CDFA" w:rsidR="006379C6" w:rsidRDefault="006379C6">
      <w:pPr>
        <w:spacing w:after="200" w:line="276" w:lineRule="auto"/>
        <w:jc w:val="left"/>
        <w:rPr>
          <w:rFonts w:eastAsia="Arial Unicode MS" w:cs="Arial"/>
          <w:sz w:val="22"/>
          <w:szCs w:val="18"/>
          <w:lang w:eastAsia="fr-FR"/>
        </w:rPr>
      </w:pPr>
      <w:r>
        <w:rPr>
          <w:sz w:val="22"/>
        </w:rPr>
        <w:br w:type="page"/>
      </w:r>
    </w:p>
    <w:tbl>
      <w:tblPr>
        <w:tblW w:w="77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1771"/>
        <w:gridCol w:w="6026"/>
      </w:tblGrid>
      <w:tr w:rsidR="00FA3FF7" w:rsidRPr="00C04BD1" w14:paraId="186CE1CD" w14:textId="77777777" w:rsidTr="00FA3FF7">
        <w:tc>
          <w:tcPr>
            <w:tcW w:w="1771" w:type="dxa"/>
            <w:vAlign w:val="center"/>
          </w:tcPr>
          <w:p w14:paraId="72A58AF7" w14:textId="58B82D60" w:rsidR="00FA3FF7" w:rsidRPr="00345027" w:rsidRDefault="00FA3FF7" w:rsidP="00FA3FF7">
            <w:pPr>
              <w:spacing w:before="120" w:after="120"/>
              <w:rPr>
                <w:b/>
                <w:sz w:val="28"/>
                <w:szCs w:val="28"/>
                <w:u w:val="single"/>
                <w:lang w:val="fr-BE"/>
              </w:rPr>
            </w:pPr>
            <w:r>
              <w:rPr>
                <w:b/>
                <w:sz w:val="28"/>
                <w:szCs w:val="28"/>
                <w:u w:val="single"/>
                <w:lang w:val="fr-BE"/>
              </w:rPr>
              <w:lastRenderedPageBreak/>
              <w:t>Bijlage</w:t>
            </w:r>
            <w:r w:rsidR="00EA5F14">
              <w:rPr>
                <w:b/>
                <w:sz w:val="28"/>
                <w:szCs w:val="28"/>
                <w:u w:val="single"/>
                <w:lang w:val="fr-BE"/>
              </w:rPr>
              <w:t xml:space="preserve"> 4</w:t>
            </w:r>
          </w:p>
        </w:tc>
        <w:tc>
          <w:tcPr>
            <w:tcW w:w="6026" w:type="dxa"/>
            <w:shd w:val="clear" w:color="auto" w:fill="E0E0E0"/>
            <w:vAlign w:val="center"/>
          </w:tcPr>
          <w:p w14:paraId="53D11DB1" w14:textId="77777777" w:rsidR="00FA3FF7" w:rsidRPr="005C434D" w:rsidRDefault="00FA3FF7" w:rsidP="00FA3FF7">
            <w:pPr>
              <w:spacing w:before="120" w:after="120"/>
              <w:rPr>
                <w:b/>
                <w:sz w:val="28"/>
                <w:szCs w:val="28"/>
                <w:u w:val="single"/>
                <w:lang w:val="fr-BE"/>
              </w:rPr>
            </w:pPr>
            <w:r>
              <w:rPr>
                <w:b/>
                <w:sz w:val="28"/>
                <w:szCs w:val="28"/>
                <w:u w:val="single"/>
                <w:lang w:val="fr-BE"/>
              </w:rPr>
              <w:t>Contactpersonen</w:t>
            </w:r>
          </w:p>
        </w:tc>
      </w:tr>
    </w:tbl>
    <w:p w14:paraId="241F286D" w14:textId="77777777" w:rsidR="00FA3FF7" w:rsidRPr="00C04BD1" w:rsidRDefault="00FA3FF7" w:rsidP="00FA3FF7">
      <w:pPr>
        <w:autoSpaceDE w:val="0"/>
        <w:autoSpaceDN w:val="0"/>
        <w:adjustRightInd w:val="0"/>
        <w:rPr>
          <w:rFonts w:cs="Arial"/>
          <w:sz w:val="17"/>
          <w:szCs w:val="17"/>
          <w:lang w:val="fr-BE" w:eastAsia="fr-BE"/>
        </w:rPr>
      </w:pPr>
    </w:p>
    <w:p w14:paraId="5A5EA4DA" w14:textId="77777777" w:rsidR="00FA3FF7" w:rsidRPr="00C04BD1" w:rsidRDefault="00FA3FF7" w:rsidP="00FA3FF7">
      <w:pPr>
        <w:autoSpaceDE w:val="0"/>
        <w:autoSpaceDN w:val="0"/>
        <w:adjustRightInd w:val="0"/>
        <w:rPr>
          <w:rFonts w:cs="Arial"/>
          <w:sz w:val="17"/>
          <w:szCs w:val="17"/>
          <w:lang w:val="fr-BE" w:eastAsia="fr-BE"/>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
        <w:gridCol w:w="1553"/>
        <w:gridCol w:w="1693"/>
        <w:gridCol w:w="1552"/>
        <w:gridCol w:w="1552"/>
        <w:gridCol w:w="1560"/>
        <w:gridCol w:w="1724"/>
      </w:tblGrid>
      <w:tr w:rsidR="00FA3FF7" w:rsidRPr="00C04BD1" w14:paraId="6FF9AEED" w14:textId="77777777" w:rsidTr="00FA3FF7">
        <w:trPr>
          <w:gridBefore w:val="1"/>
          <w:wBefore w:w="6" w:type="dxa"/>
          <w:cantSplit/>
          <w:trHeight w:val="392"/>
        </w:trPr>
        <w:tc>
          <w:tcPr>
            <w:tcW w:w="9634" w:type="dxa"/>
            <w:gridSpan w:val="6"/>
            <w:tcBorders>
              <w:right w:val="single" w:sz="4" w:space="0" w:color="auto"/>
            </w:tcBorders>
            <w:shd w:val="clear" w:color="auto" w:fill="E0E0E0"/>
          </w:tcPr>
          <w:p w14:paraId="7BE7356E" w14:textId="77777777" w:rsidR="00FA3FF7" w:rsidRPr="00C04BD1" w:rsidRDefault="00771FF0" w:rsidP="00FA3FF7">
            <w:pPr>
              <w:pStyle w:val="Koptekst"/>
              <w:spacing w:before="60" w:after="60"/>
              <w:ind w:left="142"/>
              <w:jc w:val="both"/>
              <w:rPr>
                <w:b/>
                <w:lang w:val="fr-BE"/>
              </w:rPr>
            </w:pPr>
            <w:r>
              <w:rPr>
                <w:b/>
                <w:lang w:val="fr-BE"/>
              </w:rPr>
              <w:t>DNB</w:t>
            </w:r>
          </w:p>
        </w:tc>
      </w:tr>
      <w:tr w:rsidR="00FA3FF7" w:rsidRPr="00BD6341" w14:paraId="65EBBD90" w14:textId="77777777" w:rsidTr="00FA3FF7">
        <w:tblPrEx>
          <w:tblCellMar>
            <w:left w:w="108" w:type="dxa"/>
            <w:right w:w="108" w:type="dxa"/>
          </w:tblCellMar>
        </w:tblPrEx>
        <w:tc>
          <w:tcPr>
            <w:tcW w:w="1559" w:type="dxa"/>
            <w:gridSpan w:val="2"/>
          </w:tcPr>
          <w:p w14:paraId="58B89E93" w14:textId="77777777" w:rsidR="00FA3FF7" w:rsidRPr="00BD6341" w:rsidRDefault="00FA3FF7" w:rsidP="00FA3FF7">
            <w:pPr>
              <w:pStyle w:val="ListBullet21"/>
              <w:numPr>
                <w:ilvl w:val="0"/>
                <w:numId w:val="0"/>
              </w:numPr>
              <w:rPr>
                <w:rFonts w:cs="Arial"/>
                <w:sz w:val="22"/>
                <w:szCs w:val="22"/>
                <w:lang w:val="fr-BE"/>
              </w:rPr>
            </w:pPr>
            <w:r>
              <w:rPr>
                <w:rFonts w:cs="Arial"/>
                <w:sz w:val="22"/>
                <w:szCs w:val="22"/>
                <w:lang w:val="fr-BE"/>
              </w:rPr>
              <w:t>Naa</w:t>
            </w:r>
            <w:r w:rsidRPr="00BD6341">
              <w:rPr>
                <w:rFonts w:cs="Arial"/>
                <w:sz w:val="22"/>
                <w:szCs w:val="22"/>
                <w:lang w:val="fr-BE"/>
              </w:rPr>
              <w:t>m</w:t>
            </w:r>
          </w:p>
        </w:tc>
        <w:tc>
          <w:tcPr>
            <w:tcW w:w="1693" w:type="dxa"/>
          </w:tcPr>
          <w:p w14:paraId="3DA85D92" w14:textId="77777777" w:rsidR="00FA3FF7" w:rsidRPr="00BD6341" w:rsidRDefault="00FA3FF7" w:rsidP="00FA3FF7">
            <w:pPr>
              <w:pStyle w:val="ListBullet21"/>
              <w:numPr>
                <w:ilvl w:val="0"/>
                <w:numId w:val="0"/>
              </w:numPr>
              <w:rPr>
                <w:rFonts w:cs="Arial"/>
                <w:sz w:val="22"/>
                <w:szCs w:val="22"/>
                <w:lang w:val="fr-BE"/>
              </w:rPr>
            </w:pPr>
            <w:r>
              <w:rPr>
                <w:rFonts w:cs="Arial"/>
                <w:sz w:val="22"/>
                <w:szCs w:val="22"/>
                <w:lang w:val="fr-BE"/>
              </w:rPr>
              <w:t>Telefoon</w:t>
            </w:r>
          </w:p>
        </w:tc>
        <w:tc>
          <w:tcPr>
            <w:tcW w:w="1552" w:type="dxa"/>
          </w:tcPr>
          <w:p w14:paraId="7F1A80A7" w14:textId="77777777" w:rsidR="00FA3FF7" w:rsidRPr="00BD6341" w:rsidRDefault="00FA3FF7" w:rsidP="00FA3FF7">
            <w:pPr>
              <w:pStyle w:val="ListBullet21"/>
              <w:numPr>
                <w:ilvl w:val="0"/>
                <w:numId w:val="0"/>
              </w:numPr>
              <w:rPr>
                <w:rFonts w:cs="Arial"/>
                <w:sz w:val="22"/>
                <w:szCs w:val="22"/>
                <w:lang w:val="fr-BE"/>
              </w:rPr>
            </w:pPr>
            <w:r w:rsidRPr="00BD6341">
              <w:rPr>
                <w:rFonts w:cs="Arial"/>
                <w:sz w:val="22"/>
                <w:szCs w:val="22"/>
                <w:lang w:val="fr-BE"/>
              </w:rPr>
              <w:t>Fax</w:t>
            </w:r>
          </w:p>
        </w:tc>
        <w:tc>
          <w:tcPr>
            <w:tcW w:w="1552" w:type="dxa"/>
          </w:tcPr>
          <w:p w14:paraId="36C685F9" w14:textId="77777777" w:rsidR="00FA3FF7" w:rsidRPr="00BD6341" w:rsidRDefault="00FA3FF7" w:rsidP="00FA3FF7">
            <w:pPr>
              <w:pStyle w:val="ListBullet21"/>
              <w:numPr>
                <w:ilvl w:val="0"/>
                <w:numId w:val="0"/>
              </w:numPr>
              <w:rPr>
                <w:rFonts w:cs="Arial"/>
                <w:sz w:val="22"/>
                <w:szCs w:val="22"/>
                <w:lang w:val="fr-BE"/>
              </w:rPr>
            </w:pPr>
            <w:r w:rsidRPr="00BD6341">
              <w:rPr>
                <w:rFonts w:cs="Arial"/>
                <w:sz w:val="22"/>
                <w:szCs w:val="22"/>
                <w:lang w:val="fr-BE"/>
              </w:rPr>
              <w:t>GSM</w:t>
            </w:r>
          </w:p>
        </w:tc>
        <w:tc>
          <w:tcPr>
            <w:tcW w:w="1560" w:type="dxa"/>
          </w:tcPr>
          <w:p w14:paraId="790E6C4F" w14:textId="77777777" w:rsidR="00FA3FF7" w:rsidRPr="00BD6341" w:rsidRDefault="00FA3FF7" w:rsidP="00FA3FF7">
            <w:pPr>
              <w:pStyle w:val="ListBullet21"/>
              <w:numPr>
                <w:ilvl w:val="0"/>
                <w:numId w:val="0"/>
              </w:numPr>
              <w:rPr>
                <w:rFonts w:cs="Arial"/>
                <w:sz w:val="22"/>
                <w:szCs w:val="22"/>
                <w:lang w:val="fr-BE"/>
              </w:rPr>
            </w:pPr>
            <w:r>
              <w:rPr>
                <w:rFonts w:cs="Arial"/>
                <w:sz w:val="22"/>
                <w:szCs w:val="22"/>
                <w:lang w:val="fr-BE"/>
              </w:rPr>
              <w:t>E-mail</w:t>
            </w:r>
          </w:p>
        </w:tc>
        <w:tc>
          <w:tcPr>
            <w:tcW w:w="1724" w:type="dxa"/>
          </w:tcPr>
          <w:p w14:paraId="395DFE26" w14:textId="77777777" w:rsidR="00FA3FF7" w:rsidRPr="00BD6341" w:rsidRDefault="00FA3FF7" w:rsidP="00FA3FF7">
            <w:pPr>
              <w:pStyle w:val="ListBullet21"/>
              <w:numPr>
                <w:ilvl w:val="0"/>
                <w:numId w:val="0"/>
              </w:numPr>
              <w:rPr>
                <w:rFonts w:cs="Arial"/>
                <w:sz w:val="22"/>
                <w:szCs w:val="22"/>
                <w:lang w:val="fr-BE"/>
              </w:rPr>
            </w:pPr>
            <w:r>
              <w:rPr>
                <w:rFonts w:cs="Arial"/>
                <w:sz w:val="22"/>
                <w:szCs w:val="22"/>
                <w:lang w:val="fr-BE"/>
              </w:rPr>
              <w:t>Toelichting</w:t>
            </w:r>
          </w:p>
        </w:tc>
      </w:tr>
      <w:tr w:rsidR="00FA3FF7" w:rsidRPr="00BD6341" w14:paraId="5C5C233F" w14:textId="77777777" w:rsidTr="00FA3FF7">
        <w:tblPrEx>
          <w:tblCellMar>
            <w:left w:w="108" w:type="dxa"/>
            <w:right w:w="108" w:type="dxa"/>
          </w:tblCellMar>
        </w:tblPrEx>
        <w:tc>
          <w:tcPr>
            <w:tcW w:w="1559" w:type="dxa"/>
            <w:gridSpan w:val="2"/>
          </w:tcPr>
          <w:p w14:paraId="1FD41B46" w14:textId="77777777" w:rsidR="00FA3FF7" w:rsidRPr="00BD6341" w:rsidRDefault="00FA3FF7" w:rsidP="00FA3FF7">
            <w:pPr>
              <w:pStyle w:val="ListBullet21"/>
              <w:numPr>
                <w:ilvl w:val="0"/>
                <w:numId w:val="0"/>
              </w:numPr>
              <w:rPr>
                <w:szCs w:val="20"/>
                <w:lang w:val="fr-BE"/>
              </w:rPr>
            </w:pPr>
            <w:r w:rsidRPr="00FA3FF7">
              <w:rPr>
                <w:szCs w:val="20"/>
                <w:lang w:val="fr-BE"/>
              </w:rPr>
              <w:t>Defecten Algemeen nr.</w:t>
            </w:r>
          </w:p>
        </w:tc>
        <w:tc>
          <w:tcPr>
            <w:tcW w:w="1693" w:type="dxa"/>
          </w:tcPr>
          <w:p w14:paraId="27271DBB" w14:textId="77777777" w:rsidR="00FA3FF7" w:rsidRPr="00BD6341" w:rsidRDefault="00FA3FF7" w:rsidP="00FA3FF7">
            <w:pPr>
              <w:pStyle w:val="ListBullet21"/>
              <w:numPr>
                <w:ilvl w:val="0"/>
                <w:numId w:val="0"/>
              </w:numPr>
              <w:rPr>
                <w:szCs w:val="20"/>
                <w:lang w:val="fr-BE"/>
              </w:rPr>
            </w:pPr>
            <w:r w:rsidRPr="00BD6341">
              <w:rPr>
                <w:szCs w:val="20"/>
                <w:lang w:val="fr-BE"/>
              </w:rPr>
              <w:t>-</w:t>
            </w:r>
          </w:p>
          <w:p w14:paraId="22AC457C" w14:textId="77777777" w:rsidR="00FA3FF7" w:rsidRPr="00BD6341" w:rsidRDefault="00FA3FF7" w:rsidP="00FA3FF7">
            <w:pPr>
              <w:pStyle w:val="ListBullet21"/>
              <w:numPr>
                <w:ilvl w:val="0"/>
                <w:numId w:val="0"/>
              </w:numPr>
              <w:rPr>
                <w:szCs w:val="20"/>
                <w:lang w:val="fr-BE"/>
              </w:rPr>
            </w:pPr>
          </w:p>
        </w:tc>
        <w:tc>
          <w:tcPr>
            <w:tcW w:w="1552" w:type="dxa"/>
          </w:tcPr>
          <w:p w14:paraId="45F26284" w14:textId="77777777" w:rsidR="00FA3FF7" w:rsidRPr="00BD6341" w:rsidRDefault="00FA3FF7" w:rsidP="00FA3FF7">
            <w:pPr>
              <w:pStyle w:val="ListBullet21"/>
              <w:numPr>
                <w:ilvl w:val="0"/>
                <w:numId w:val="0"/>
              </w:numPr>
              <w:rPr>
                <w:sz w:val="16"/>
                <w:lang w:val="fr-BE"/>
              </w:rPr>
            </w:pPr>
            <w:r w:rsidRPr="00BD6341">
              <w:rPr>
                <w:sz w:val="16"/>
                <w:lang w:val="fr-BE"/>
              </w:rPr>
              <w:t>-</w:t>
            </w:r>
          </w:p>
        </w:tc>
        <w:tc>
          <w:tcPr>
            <w:tcW w:w="1552" w:type="dxa"/>
          </w:tcPr>
          <w:p w14:paraId="7EBA2BD4" w14:textId="77777777" w:rsidR="00FA3FF7" w:rsidRPr="00BD6341" w:rsidRDefault="00FA3FF7" w:rsidP="00FA3FF7">
            <w:pPr>
              <w:pStyle w:val="ListBullet21"/>
              <w:numPr>
                <w:ilvl w:val="0"/>
                <w:numId w:val="0"/>
              </w:numPr>
              <w:rPr>
                <w:sz w:val="16"/>
                <w:lang w:val="fr-BE"/>
              </w:rPr>
            </w:pPr>
            <w:r w:rsidRPr="00BD6341">
              <w:rPr>
                <w:sz w:val="16"/>
                <w:lang w:val="fr-BE"/>
              </w:rPr>
              <w:t>-</w:t>
            </w:r>
          </w:p>
        </w:tc>
        <w:tc>
          <w:tcPr>
            <w:tcW w:w="1560" w:type="dxa"/>
          </w:tcPr>
          <w:p w14:paraId="473067F7" w14:textId="77777777" w:rsidR="00FA3FF7" w:rsidRPr="00BD6341" w:rsidRDefault="00FA3FF7" w:rsidP="00FA3FF7">
            <w:pPr>
              <w:pStyle w:val="ListBullet21"/>
              <w:numPr>
                <w:ilvl w:val="0"/>
                <w:numId w:val="0"/>
              </w:numPr>
              <w:rPr>
                <w:sz w:val="16"/>
                <w:lang w:val="fr-BE"/>
              </w:rPr>
            </w:pPr>
            <w:r w:rsidRPr="00BD6341">
              <w:rPr>
                <w:sz w:val="16"/>
                <w:lang w:val="fr-BE"/>
              </w:rPr>
              <w:t>-</w:t>
            </w:r>
          </w:p>
        </w:tc>
        <w:tc>
          <w:tcPr>
            <w:tcW w:w="1724" w:type="dxa"/>
          </w:tcPr>
          <w:p w14:paraId="271143A0" w14:textId="77777777" w:rsidR="00FA3FF7" w:rsidRPr="00BD6341" w:rsidRDefault="00FA3FF7" w:rsidP="00FA3FF7">
            <w:pPr>
              <w:pStyle w:val="ListBullet21"/>
              <w:numPr>
                <w:ilvl w:val="0"/>
                <w:numId w:val="0"/>
              </w:numPr>
              <w:rPr>
                <w:szCs w:val="20"/>
                <w:lang w:val="fr-BE"/>
              </w:rPr>
            </w:pPr>
          </w:p>
        </w:tc>
      </w:tr>
      <w:tr w:rsidR="00FA3FF7" w:rsidRPr="00BD6341" w14:paraId="35F63976" w14:textId="77777777" w:rsidTr="00FA3FF7">
        <w:tblPrEx>
          <w:tblCellMar>
            <w:left w:w="108" w:type="dxa"/>
            <w:right w:w="108" w:type="dxa"/>
          </w:tblCellMar>
        </w:tblPrEx>
        <w:tc>
          <w:tcPr>
            <w:tcW w:w="1559" w:type="dxa"/>
            <w:gridSpan w:val="2"/>
          </w:tcPr>
          <w:p w14:paraId="55C104B9" w14:textId="77777777" w:rsidR="00FA3FF7" w:rsidRPr="00BD6341" w:rsidRDefault="00FA3FF7" w:rsidP="00FA3FF7">
            <w:pPr>
              <w:pStyle w:val="ListBullet21"/>
              <w:numPr>
                <w:ilvl w:val="0"/>
                <w:numId w:val="0"/>
              </w:numPr>
              <w:rPr>
                <w:szCs w:val="20"/>
                <w:lang w:val="fr-BE"/>
              </w:rPr>
            </w:pPr>
          </w:p>
        </w:tc>
        <w:tc>
          <w:tcPr>
            <w:tcW w:w="1693" w:type="dxa"/>
          </w:tcPr>
          <w:p w14:paraId="68DF0911" w14:textId="77777777" w:rsidR="00FA3FF7" w:rsidRPr="00BD6341" w:rsidRDefault="00FA3FF7" w:rsidP="00FA3FF7">
            <w:pPr>
              <w:pStyle w:val="ListBullet21"/>
              <w:numPr>
                <w:ilvl w:val="0"/>
                <w:numId w:val="0"/>
              </w:numPr>
              <w:rPr>
                <w:szCs w:val="20"/>
                <w:lang w:val="fr-BE"/>
              </w:rPr>
            </w:pPr>
          </w:p>
        </w:tc>
        <w:tc>
          <w:tcPr>
            <w:tcW w:w="1552" w:type="dxa"/>
          </w:tcPr>
          <w:p w14:paraId="4F6BC58A" w14:textId="77777777" w:rsidR="00FA3FF7" w:rsidRPr="00BD6341" w:rsidRDefault="00FA3FF7" w:rsidP="00FA3FF7">
            <w:pPr>
              <w:pStyle w:val="ListBullet21"/>
              <w:numPr>
                <w:ilvl w:val="0"/>
                <w:numId w:val="0"/>
              </w:numPr>
              <w:rPr>
                <w:sz w:val="16"/>
                <w:lang w:val="fr-BE"/>
              </w:rPr>
            </w:pPr>
          </w:p>
        </w:tc>
        <w:tc>
          <w:tcPr>
            <w:tcW w:w="1552" w:type="dxa"/>
          </w:tcPr>
          <w:p w14:paraId="74861C57" w14:textId="77777777" w:rsidR="00FA3FF7" w:rsidRPr="00BD6341" w:rsidRDefault="00FA3FF7" w:rsidP="00FA3FF7">
            <w:pPr>
              <w:pStyle w:val="ListBullet21"/>
              <w:numPr>
                <w:ilvl w:val="0"/>
                <w:numId w:val="0"/>
              </w:numPr>
              <w:rPr>
                <w:sz w:val="16"/>
                <w:lang w:val="fr-BE"/>
              </w:rPr>
            </w:pPr>
          </w:p>
        </w:tc>
        <w:tc>
          <w:tcPr>
            <w:tcW w:w="1560" w:type="dxa"/>
          </w:tcPr>
          <w:p w14:paraId="57FA344F" w14:textId="77777777" w:rsidR="00FA3FF7" w:rsidRPr="00BD6341" w:rsidRDefault="00FA3FF7" w:rsidP="00FA3FF7">
            <w:pPr>
              <w:pStyle w:val="ListBullet21"/>
              <w:numPr>
                <w:ilvl w:val="0"/>
                <w:numId w:val="0"/>
              </w:numPr>
              <w:rPr>
                <w:sz w:val="16"/>
                <w:lang w:val="fr-BE"/>
              </w:rPr>
            </w:pPr>
          </w:p>
        </w:tc>
        <w:tc>
          <w:tcPr>
            <w:tcW w:w="1724" w:type="dxa"/>
          </w:tcPr>
          <w:p w14:paraId="34B59A89" w14:textId="77777777" w:rsidR="00FA3FF7" w:rsidRPr="00BD6341" w:rsidRDefault="00FA3FF7" w:rsidP="00FA3FF7">
            <w:pPr>
              <w:pStyle w:val="ListBullet21"/>
              <w:numPr>
                <w:ilvl w:val="0"/>
                <w:numId w:val="0"/>
              </w:numPr>
              <w:rPr>
                <w:szCs w:val="20"/>
                <w:lang w:val="fr-BE"/>
              </w:rPr>
            </w:pPr>
          </w:p>
        </w:tc>
      </w:tr>
      <w:tr w:rsidR="00FA3FF7" w:rsidRPr="00BD6341" w14:paraId="40936F0A" w14:textId="77777777" w:rsidTr="00FA3FF7">
        <w:tblPrEx>
          <w:tblCellMar>
            <w:left w:w="108" w:type="dxa"/>
            <w:right w:w="108" w:type="dxa"/>
          </w:tblCellMar>
        </w:tblPrEx>
        <w:tc>
          <w:tcPr>
            <w:tcW w:w="1559" w:type="dxa"/>
            <w:gridSpan w:val="2"/>
          </w:tcPr>
          <w:p w14:paraId="4207267B" w14:textId="77777777" w:rsidR="00FA3FF7" w:rsidRPr="00BD6341" w:rsidRDefault="00FA3FF7" w:rsidP="00FA3FF7">
            <w:pPr>
              <w:pStyle w:val="ListBullet21"/>
              <w:numPr>
                <w:ilvl w:val="0"/>
                <w:numId w:val="0"/>
              </w:numPr>
              <w:rPr>
                <w:szCs w:val="20"/>
                <w:lang w:val="fr-BE"/>
              </w:rPr>
            </w:pPr>
          </w:p>
        </w:tc>
        <w:tc>
          <w:tcPr>
            <w:tcW w:w="1693" w:type="dxa"/>
          </w:tcPr>
          <w:p w14:paraId="275C0285" w14:textId="77777777" w:rsidR="00FA3FF7" w:rsidRPr="00BD6341" w:rsidRDefault="00FA3FF7" w:rsidP="00FA3FF7">
            <w:pPr>
              <w:pStyle w:val="ListBullet21"/>
              <w:numPr>
                <w:ilvl w:val="0"/>
                <w:numId w:val="0"/>
              </w:numPr>
              <w:rPr>
                <w:szCs w:val="20"/>
                <w:lang w:val="fr-BE"/>
              </w:rPr>
            </w:pPr>
          </w:p>
        </w:tc>
        <w:tc>
          <w:tcPr>
            <w:tcW w:w="1552" w:type="dxa"/>
          </w:tcPr>
          <w:p w14:paraId="0FD966E3" w14:textId="77777777" w:rsidR="00FA3FF7" w:rsidRPr="00BD6341" w:rsidRDefault="00FA3FF7" w:rsidP="00FA3FF7">
            <w:pPr>
              <w:pStyle w:val="ListBullet21"/>
              <w:numPr>
                <w:ilvl w:val="0"/>
                <w:numId w:val="0"/>
              </w:numPr>
              <w:rPr>
                <w:sz w:val="16"/>
                <w:lang w:val="fr-BE"/>
              </w:rPr>
            </w:pPr>
          </w:p>
        </w:tc>
        <w:tc>
          <w:tcPr>
            <w:tcW w:w="1552" w:type="dxa"/>
          </w:tcPr>
          <w:p w14:paraId="224CB948" w14:textId="77777777" w:rsidR="00FA3FF7" w:rsidRPr="00BD6341" w:rsidRDefault="00FA3FF7" w:rsidP="00FA3FF7">
            <w:pPr>
              <w:pStyle w:val="ListBullet21"/>
              <w:numPr>
                <w:ilvl w:val="0"/>
                <w:numId w:val="0"/>
              </w:numPr>
              <w:rPr>
                <w:sz w:val="16"/>
                <w:lang w:val="fr-BE"/>
              </w:rPr>
            </w:pPr>
          </w:p>
        </w:tc>
        <w:tc>
          <w:tcPr>
            <w:tcW w:w="1560" w:type="dxa"/>
          </w:tcPr>
          <w:p w14:paraId="746CB613" w14:textId="77777777" w:rsidR="00FA3FF7" w:rsidRPr="00BD6341" w:rsidRDefault="00FA3FF7" w:rsidP="00FA3FF7">
            <w:pPr>
              <w:pStyle w:val="ListBullet21"/>
              <w:numPr>
                <w:ilvl w:val="0"/>
                <w:numId w:val="0"/>
              </w:numPr>
              <w:rPr>
                <w:sz w:val="16"/>
                <w:lang w:val="fr-BE"/>
              </w:rPr>
            </w:pPr>
          </w:p>
        </w:tc>
        <w:tc>
          <w:tcPr>
            <w:tcW w:w="1724" w:type="dxa"/>
          </w:tcPr>
          <w:p w14:paraId="0991FC94" w14:textId="77777777" w:rsidR="00FA3FF7" w:rsidRPr="00BD6341" w:rsidRDefault="00FA3FF7" w:rsidP="00FA3FF7">
            <w:pPr>
              <w:pStyle w:val="ListBullet21"/>
              <w:numPr>
                <w:ilvl w:val="0"/>
                <w:numId w:val="0"/>
              </w:numPr>
              <w:rPr>
                <w:szCs w:val="20"/>
                <w:lang w:val="fr-BE"/>
              </w:rPr>
            </w:pPr>
          </w:p>
        </w:tc>
      </w:tr>
    </w:tbl>
    <w:p w14:paraId="7317B217" w14:textId="77777777" w:rsidR="00FA3FF7" w:rsidRPr="006631DC" w:rsidRDefault="00FA3FF7" w:rsidP="00FA3FF7">
      <w:pPr>
        <w:autoSpaceDE w:val="0"/>
        <w:autoSpaceDN w:val="0"/>
        <w:adjustRightInd w:val="0"/>
        <w:rPr>
          <w:rFonts w:cs="Arial"/>
          <w:sz w:val="17"/>
          <w:szCs w:val="17"/>
          <w:lang w:val="fr-BE" w:eastAsia="fr-BE"/>
        </w:rPr>
      </w:pPr>
    </w:p>
    <w:p w14:paraId="6F1805ED" w14:textId="77777777" w:rsidR="00FA3FF7" w:rsidRPr="00435FBB" w:rsidRDefault="00FA3FF7" w:rsidP="00FA3FF7">
      <w:pPr>
        <w:autoSpaceDE w:val="0"/>
        <w:autoSpaceDN w:val="0"/>
        <w:adjustRightInd w:val="0"/>
        <w:rPr>
          <w:rFonts w:cs="Arial"/>
          <w:sz w:val="17"/>
          <w:szCs w:val="17"/>
          <w:lang w:val="fr-BE" w:eastAsia="fr-BE"/>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350"/>
        <w:gridCol w:w="720"/>
        <w:gridCol w:w="1260"/>
        <w:gridCol w:w="3060"/>
        <w:gridCol w:w="1668"/>
      </w:tblGrid>
      <w:tr w:rsidR="00FA3FF7" w:rsidRPr="00C15859" w14:paraId="5F7B811D" w14:textId="77777777" w:rsidTr="00FA3FF7">
        <w:trPr>
          <w:cantSplit/>
          <w:trHeight w:val="430"/>
        </w:trPr>
        <w:tc>
          <w:tcPr>
            <w:tcW w:w="9568" w:type="dxa"/>
            <w:gridSpan w:val="6"/>
            <w:shd w:val="clear" w:color="auto" w:fill="E0E0E0"/>
          </w:tcPr>
          <w:p w14:paraId="07A852C2" w14:textId="77777777" w:rsidR="00FA3FF7" w:rsidRPr="009359AD" w:rsidRDefault="00FA3FF7" w:rsidP="00FA3FF7">
            <w:pPr>
              <w:pStyle w:val="Koptekst"/>
              <w:spacing w:before="60" w:after="60"/>
              <w:ind w:left="142"/>
              <w:jc w:val="both"/>
              <w:rPr>
                <w:b/>
                <w:lang w:val="fr-BE"/>
              </w:rPr>
            </w:pPr>
            <w:r>
              <w:rPr>
                <w:b/>
                <w:lang w:val="fr-BE"/>
              </w:rPr>
              <w:t>F</w:t>
            </w:r>
            <w:r w:rsidRPr="009359AD">
              <w:rPr>
                <w:b/>
                <w:lang w:val="fr-BE"/>
              </w:rPr>
              <w:t>SP</w:t>
            </w:r>
          </w:p>
        </w:tc>
      </w:tr>
      <w:tr w:rsidR="00FA3FF7" w:rsidRPr="00FA54F1" w14:paraId="505FA0A6" w14:textId="77777777" w:rsidTr="00FA3FF7">
        <w:tblPrEx>
          <w:tblCellMar>
            <w:left w:w="108" w:type="dxa"/>
            <w:right w:w="108" w:type="dxa"/>
          </w:tblCellMar>
        </w:tblPrEx>
        <w:trPr>
          <w:trHeight w:val="580"/>
        </w:trPr>
        <w:tc>
          <w:tcPr>
            <w:tcW w:w="1510" w:type="dxa"/>
          </w:tcPr>
          <w:p w14:paraId="20152EEC" w14:textId="77777777" w:rsidR="00FA3FF7" w:rsidRPr="00FA54F1" w:rsidRDefault="00FA3FF7" w:rsidP="00FA3FF7">
            <w:pPr>
              <w:pStyle w:val="ListBullet21"/>
              <w:numPr>
                <w:ilvl w:val="0"/>
                <w:numId w:val="0"/>
              </w:numPr>
              <w:rPr>
                <w:rFonts w:cs="Arial"/>
                <w:sz w:val="22"/>
                <w:szCs w:val="22"/>
                <w:lang w:val="fr-BE"/>
              </w:rPr>
            </w:pPr>
            <w:r>
              <w:rPr>
                <w:rFonts w:cs="Arial"/>
                <w:sz w:val="22"/>
                <w:szCs w:val="22"/>
                <w:lang w:val="fr-BE"/>
              </w:rPr>
              <w:t>Naa</w:t>
            </w:r>
            <w:r w:rsidRPr="00FA54F1">
              <w:rPr>
                <w:rFonts w:cs="Arial"/>
                <w:sz w:val="22"/>
                <w:szCs w:val="22"/>
                <w:lang w:val="fr-BE"/>
              </w:rPr>
              <w:t>m</w:t>
            </w:r>
          </w:p>
        </w:tc>
        <w:tc>
          <w:tcPr>
            <w:tcW w:w="1350" w:type="dxa"/>
          </w:tcPr>
          <w:p w14:paraId="67B5D119" w14:textId="77777777" w:rsidR="00FA3FF7" w:rsidRPr="00FA54F1" w:rsidRDefault="00FA3FF7" w:rsidP="00FA3FF7">
            <w:pPr>
              <w:pStyle w:val="ListBullet21"/>
              <w:numPr>
                <w:ilvl w:val="0"/>
                <w:numId w:val="0"/>
              </w:numPr>
              <w:rPr>
                <w:rFonts w:cs="Arial"/>
                <w:sz w:val="22"/>
                <w:szCs w:val="22"/>
                <w:lang w:val="fr-BE"/>
              </w:rPr>
            </w:pPr>
            <w:r>
              <w:rPr>
                <w:rFonts w:cs="Arial"/>
                <w:sz w:val="22"/>
                <w:szCs w:val="22"/>
                <w:lang w:val="fr-BE"/>
              </w:rPr>
              <w:t>Telefoon</w:t>
            </w:r>
          </w:p>
        </w:tc>
        <w:tc>
          <w:tcPr>
            <w:tcW w:w="720" w:type="dxa"/>
          </w:tcPr>
          <w:p w14:paraId="4523A338" w14:textId="77777777" w:rsidR="00FA3FF7" w:rsidRPr="00FA54F1" w:rsidRDefault="00FA3FF7" w:rsidP="00FA3FF7">
            <w:pPr>
              <w:pStyle w:val="ListBullet21"/>
              <w:numPr>
                <w:ilvl w:val="0"/>
                <w:numId w:val="0"/>
              </w:numPr>
              <w:rPr>
                <w:rFonts w:cs="Arial"/>
                <w:sz w:val="22"/>
                <w:szCs w:val="22"/>
                <w:lang w:val="fr-BE"/>
              </w:rPr>
            </w:pPr>
            <w:r w:rsidRPr="00FA54F1">
              <w:rPr>
                <w:rFonts w:cs="Arial"/>
                <w:sz w:val="22"/>
                <w:szCs w:val="22"/>
                <w:lang w:val="fr-BE"/>
              </w:rPr>
              <w:t>Fax</w:t>
            </w:r>
          </w:p>
        </w:tc>
        <w:tc>
          <w:tcPr>
            <w:tcW w:w="1260" w:type="dxa"/>
          </w:tcPr>
          <w:p w14:paraId="03396DD8" w14:textId="77777777" w:rsidR="00FA3FF7" w:rsidRPr="00FA54F1" w:rsidRDefault="00FA3FF7" w:rsidP="00FA3FF7">
            <w:pPr>
              <w:pStyle w:val="ListBullet21"/>
              <w:numPr>
                <w:ilvl w:val="0"/>
                <w:numId w:val="0"/>
              </w:numPr>
              <w:rPr>
                <w:rFonts w:cs="Arial"/>
                <w:sz w:val="22"/>
                <w:szCs w:val="22"/>
                <w:lang w:val="fr-BE"/>
              </w:rPr>
            </w:pPr>
            <w:r w:rsidRPr="00FA54F1">
              <w:rPr>
                <w:rFonts w:cs="Arial"/>
                <w:sz w:val="22"/>
                <w:szCs w:val="22"/>
                <w:lang w:val="fr-BE"/>
              </w:rPr>
              <w:t>GSM</w:t>
            </w:r>
          </w:p>
        </w:tc>
        <w:tc>
          <w:tcPr>
            <w:tcW w:w="3060" w:type="dxa"/>
          </w:tcPr>
          <w:p w14:paraId="4D37AA6B" w14:textId="77777777" w:rsidR="00FA3FF7" w:rsidRPr="00FA54F1" w:rsidRDefault="00FA3FF7" w:rsidP="00FA3FF7">
            <w:pPr>
              <w:pStyle w:val="ListBullet21"/>
              <w:numPr>
                <w:ilvl w:val="0"/>
                <w:numId w:val="0"/>
              </w:numPr>
              <w:rPr>
                <w:rFonts w:cs="Arial"/>
                <w:sz w:val="22"/>
                <w:szCs w:val="22"/>
                <w:lang w:val="fr-BE"/>
              </w:rPr>
            </w:pPr>
            <w:r>
              <w:rPr>
                <w:rFonts w:cs="Arial"/>
                <w:sz w:val="22"/>
                <w:szCs w:val="22"/>
                <w:lang w:val="fr-BE"/>
              </w:rPr>
              <w:t>E-mail</w:t>
            </w:r>
          </w:p>
        </w:tc>
        <w:tc>
          <w:tcPr>
            <w:tcW w:w="1668" w:type="dxa"/>
          </w:tcPr>
          <w:p w14:paraId="6B91B87E" w14:textId="77777777" w:rsidR="00FA3FF7" w:rsidRPr="00FA54F1" w:rsidRDefault="00FA3FF7" w:rsidP="00FA3FF7">
            <w:pPr>
              <w:pStyle w:val="ListBullet21"/>
              <w:numPr>
                <w:ilvl w:val="0"/>
                <w:numId w:val="0"/>
              </w:numPr>
              <w:rPr>
                <w:rFonts w:cs="Arial"/>
                <w:sz w:val="22"/>
                <w:szCs w:val="22"/>
                <w:lang w:val="fr-BE"/>
              </w:rPr>
            </w:pPr>
            <w:r>
              <w:rPr>
                <w:rFonts w:cs="Arial"/>
                <w:sz w:val="22"/>
                <w:szCs w:val="22"/>
                <w:lang w:val="fr-BE"/>
              </w:rPr>
              <w:t>Toelichting</w:t>
            </w:r>
          </w:p>
        </w:tc>
      </w:tr>
      <w:tr w:rsidR="00FA3FF7" w:rsidRPr="00FA54F1" w14:paraId="6391050F" w14:textId="77777777" w:rsidTr="00771FF0">
        <w:tblPrEx>
          <w:tblCellMar>
            <w:left w:w="108" w:type="dxa"/>
            <w:right w:w="108" w:type="dxa"/>
          </w:tblCellMar>
        </w:tblPrEx>
        <w:trPr>
          <w:trHeight w:val="580"/>
        </w:trPr>
        <w:tc>
          <w:tcPr>
            <w:tcW w:w="1510" w:type="dxa"/>
          </w:tcPr>
          <w:p w14:paraId="7FA2E947" w14:textId="77777777" w:rsidR="00FA3FF7" w:rsidRPr="00FA54F1" w:rsidRDefault="00FA3FF7" w:rsidP="00FA3FF7">
            <w:pPr>
              <w:pStyle w:val="ListBullet21"/>
              <w:numPr>
                <w:ilvl w:val="0"/>
                <w:numId w:val="0"/>
              </w:numPr>
              <w:rPr>
                <w:rFonts w:cs="Arial"/>
                <w:sz w:val="16"/>
                <w:szCs w:val="16"/>
                <w:lang w:val="fr-BE"/>
              </w:rPr>
            </w:pPr>
          </w:p>
        </w:tc>
        <w:tc>
          <w:tcPr>
            <w:tcW w:w="1350" w:type="dxa"/>
          </w:tcPr>
          <w:p w14:paraId="27DC34FE" w14:textId="77777777" w:rsidR="00FA3FF7" w:rsidRPr="00FA54F1" w:rsidRDefault="00FA3FF7" w:rsidP="00FA3FF7">
            <w:pPr>
              <w:pStyle w:val="ListBullet21"/>
              <w:numPr>
                <w:ilvl w:val="0"/>
                <w:numId w:val="0"/>
              </w:numPr>
              <w:rPr>
                <w:rFonts w:cs="Arial"/>
                <w:sz w:val="16"/>
                <w:szCs w:val="16"/>
                <w:lang w:val="fr-BE"/>
              </w:rPr>
            </w:pPr>
          </w:p>
        </w:tc>
        <w:tc>
          <w:tcPr>
            <w:tcW w:w="720" w:type="dxa"/>
          </w:tcPr>
          <w:p w14:paraId="45E9B2D7" w14:textId="77777777" w:rsidR="00FA3FF7" w:rsidRPr="00FA54F1" w:rsidRDefault="00FA3FF7" w:rsidP="00FA3FF7">
            <w:pPr>
              <w:pStyle w:val="ListBullet21"/>
              <w:numPr>
                <w:ilvl w:val="0"/>
                <w:numId w:val="0"/>
              </w:numPr>
              <w:rPr>
                <w:rFonts w:cs="Arial"/>
                <w:sz w:val="16"/>
                <w:szCs w:val="16"/>
                <w:lang w:val="fr-BE"/>
              </w:rPr>
            </w:pPr>
          </w:p>
        </w:tc>
        <w:tc>
          <w:tcPr>
            <w:tcW w:w="1260" w:type="dxa"/>
          </w:tcPr>
          <w:p w14:paraId="317EAF48" w14:textId="77777777" w:rsidR="00FA3FF7" w:rsidRPr="00FA54F1" w:rsidRDefault="00FA3FF7" w:rsidP="00FA3FF7">
            <w:pPr>
              <w:pStyle w:val="ListBullet21"/>
              <w:numPr>
                <w:ilvl w:val="0"/>
                <w:numId w:val="0"/>
              </w:numPr>
              <w:rPr>
                <w:rFonts w:cs="Arial"/>
                <w:sz w:val="16"/>
                <w:szCs w:val="16"/>
                <w:lang w:val="fr-BE"/>
              </w:rPr>
            </w:pPr>
          </w:p>
        </w:tc>
        <w:tc>
          <w:tcPr>
            <w:tcW w:w="3060" w:type="dxa"/>
          </w:tcPr>
          <w:p w14:paraId="64173A71" w14:textId="77777777" w:rsidR="00FA3FF7" w:rsidRPr="00FA54F1" w:rsidRDefault="00FA3FF7" w:rsidP="00FA3FF7">
            <w:pPr>
              <w:pStyle w:val="Plattetekst"/>
              <w:spacing w:before="60" w:after="60"/>
              <w:rPr>
                <w:rFonts w:cs="Arial"/>
                <w:sz w:val="16"/>
                <w:szCs w:val="16"/>
                <w:lang w:val="fr-BE" w:eastAsia="fr-FR"/>
              </w:rPr>
            </w:pPr>
          </w:p>
        </w:tc>
        <w:tc>
          <w:tcPr>
            <w:tcW w:w="1668" w:type="dxa"/>
            <w:shd w:val="clear" w:color="auto" w:fill="auto"/>
          </w:tcPr>
          <w:p w14:paraId="6A29E05B" w14:textId="77777777" w:rsidR="00FA3FF7" w:rsidRPr="00FA54F1" w:rsidRDefault="00FA3FF7" w:rsidP="00FA3FF7">
            <w:pPr>
              <w:pStyle w:val="ListBullet21"/>
              <w:numPr>
                <w:ilvl w:val="0"/>
                <w:numId w:val="0"/>
              </w:numPr>
              <w:rPr>
                <w:rFonts w:cs="Arial"/>
                <w:sz w:val="22"/>
                <w:szCs w:val="22"/>
                <w:lang w:val="fr-BE"/>
              </w:rPr>
            </w:pPr>
          </w:p>
        </w:tc>
      </w:tr>
      <w:tr w:rsidR="00FA3FF7" w:rsidRPr="00FA54F1" w14:paraId="2ACF550F" w14:textId="77777777" w:rsidTr="00FA3FF7">
        <w:tblPrEx>
          <w:tblCellMar>
            <w:left w:w="108" w:type="dxa"/>
            <w:right w:w="108" w:type="dxa"/>
          </w:tblCellMar>
        </w:tblPrEx>
        <w:trPr>
          <w:trHeight w:val="580"/>
        </w:trPr>
        <w:tc>
          <w:tcPr>
            <w:tcW w:w="1510" w:type="dxa"/>
          </w:tcPr>
          <w:p w14:paraId="4D7BEFE8" w14:textId="77777777" w:rsidR="00FA3FF7" w:rsidRPr="00FA54F1" w:rsidRDefault="00FA3FF7" w:rsidP="00FA3FF7">
            <w:pPr>
              <w:pStyle w:val="ListBullet21"/>
              <w:numPr>
                <w:ilvl w:val="0"/>
                <w:numId w:val="0"/>
              </w:numPr>
              <w:rPr>
                <w:rFonts w:cs="Arial"/>
                <w:sz w:val="16"/>
                <w:szCs w:val="16"/>
                <w:lang w:val="fr-BE"/>
              </w:rPr>
            </w:pPr>
          </w:p>
        </w:tc>
        <w:tc>
          <w:tcPr>
            <w:tcW w:w="1350" w:type="dxa"/>
          </w:tcPr>
          <w:p w14:paraId="26AF80DB" w14:textId="77777777" w:rsidR="00FA3FF7" w:rsidRPr="00FA54F1" w:rsidRDefault="00FA3FF7" w:rsidP="00FA3FF7">
            <w:pPr>
              <w:pStyle w:val="ListBullet21"/>
              <w:numPr>
                <w:ilvl w:val="0"/>
                <w:numId w:val="0"/>
              </w:numPr>
              <w:rPr>
                <w:rFonts w:cs="Arial"/>
                <w:sz w:val="16"/>
                <w:szCs w:val="16"/>
                <w:lang w:val="fr-BE"/>
              </w:rPr>
            </w:pPr>
          </w:p>
        </w:tc>
        <w:tc>
          <w:tcPr>
            <w:tcW w:w="720" w:type="dxa"/>
          </w:tcPr>
          <w:p w14:paraId="35EF28C7" w14:textId="77777777" w:rsidR="00FA3FF7" w:rsidRPr="00FA54F1" w:rsidRDefault="00FA3FF7" w:rsidP="00FA3FF7">
            <w:pPr>
              <w:pStyle w:val="ListBullet21"/>
              <w:numPr>
                <w:ilvl w:val="0"/>
                <w:numId w:val="0"/>
              </w:numPr>
              <w:rPr>
                <w:rFonts w:cs="Arial"/>
                <w:sz w:val="16"/>
                <w:szCs w:val="16"/>
                <w:lang w:val="fr-BE"/>
              </w:rPr>
            </w:pPr>
          </w:p>
        </w:tc>
        <w:tc>
          <w:tcPr>
            <w:tcW w:w="1260" w:type="dxa"/>
          </w:tcPr>
          <w:p w14:paraId="32FC1E41" w14:textId="77777777" w:rsidR="00FA3FF7" w:rsidRPr="00FA54F1" w:rsidRDefault="00FA3FF7" w:rsidP="00FA3FF7">
            <w:pPr>
              <w:pStyle w:val="ListBullet21"/>
              <w:numPr>
                <w:ilvl w:val="0"/>
                <w:numId w:val="0"/>
              </w:numPr>
              <w:rPr>
                <w:rFonts w:cs="Arial"/>
                <w:sz w:val="16"/>
                <w:szCs w:val="16"/>
                <w:lang w:val="fr-BE"/>
              </w:rPr>
            </w:pPr>
          </w:p>
        </w:tc>
        <w:tc>
          <w:tcPr>
            <w:tcW w:w="3060" w:type="dxa"/>
          </w:tcPr>
          <w:p w14:paraId="0D2173CA" w14:textId="77777777" w:rsidR="00FA3FF7" w:rsidRPr="00FA54F1" w:rsidRDefault="00FA3FF7" w:rsidP="00FA3FF7">
            <w:pPr>
              <w:pStyle w:val="Plattetekst"/>
              <w:spacing w:before="60" w:after="60"/>
              <w:rPr>
                <w:rFonts w:cs="Arial"/>
                <w:sz w:val="16"/>
                <w:szCs w:val="16"/>
                <w:lang w:val="fr-BE" w:eastAsia="fr-FR"/>
              </w:rPr>
            </w:pPr>
          </w:p>
        </w:tc>
        <w:tc>
          <w:tcPr>
            <w:tcW w:w="1668" w:type="dxa"/>
          </w:tcPr>
          <w:p w14:paraId="5763CD7F" w14:textId="77777777" w:rsidR="00FA3FF7" w:rsidRPr="00FA54F1" w:rsidRDefault="00FA3FF7" w:rsidP="00FA3FF7">
            <w:pPr>
              <w:pStyle w:val="ListBullet21"/>
              <w:numPr>
                <w:ilvl w:val="0"/>
                <w:numId w:val="0"/>
              </w:numPr>
              <w:rPr>
                <w:rFonts w:cs="Arial"/>
                <w:sz w:val="22"/>
                <w:szCs w:val="22"/>
                <w:lang w:val="fr-BE"/>
              </w:rPr>
            </w:pPr>
          </w:p>
        </w:tc>
      </w:tr>
    </w:tbl>
    <w:p w14:paraId="6EFEE4B5" w14:textId="77777777" w:rsidR="00FA3FF7" w:rsidRPr="00C04BD1" w:rsidRDefault="00FA3FF7" w:rsidP="00FA3FF7">
      <w:pPr>
        <w:pStyle w:val="bodytext"/>
        <w:jc w:val="both"/>
        <w:rPr>
          <w:color w:val="auto"/>
          <w:sz w:val="22"/>
          <w:lang w:val="fr-BE"/>
        </w:rPr>
      </w:pPr>
    </w:p>
    <w:p w14:paraId="4398DFCD" w14:textId="77777777" w:rsidR="00FA3FF7" w:rsidRDefault="00FA3FF7" w:rsidP="00FA3FF7">
      <w:pPr>
        <w:rPr>
          <w:lang w:val="fr-BE"/>
        </w:rPr>
      </w:pPr>
    </w:p>
    <w:p w14:paraId="66F5977F" w14:textId="77777777" w:rsidR="00C67442" w:rsidRPr="00C04BD1" w:rsidRDefault="00C67442" w:rsidP="00C67442">
      <w:pPr>
        <w:pStyle w:val="bodytext"/>
        <w:jc w:val="both"/>
        <w:rPr>
          <w:color w:val="auto"/>
          <w:sz w:val="22"/>
          <w:lang w:val="fr-BE"/>
        </w:rPr>
      </w:pPr>
    </w:p>
    <w:sectPr w:rsidR="00C67442" w:rsidRPr="00C04BD1" w:rsidSect="00953B4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A6327" w14:textId="77777777" w:rsidR="001E7485" w:rsidRDefault="001E7485" w:rsidP="001503AB">
      <w:r>
        <w:separator/>
      </w:r>
    </w:p>
  </w:endnote>
  <w:endnote w:type="continuationSeparator" w:id="0">
    <w:p w14:paraId="38AE0F2F" w14:textId="77777777" w:rsidR="001E7485" w:rsidRDefault="001E7485" w:rsidP="001503AB">
      <w:r>
        <w:continuationSeparator/>
      </w:r>
    </w:p>
  </w:endnote>
  <w:endnote w:type="continuationNotice" w:id="1">
    <w:p w14:paraId="17A281D2" w14:textId="77777777" w:rsidR="001E7485" w:rsidRDefault="001E7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29F2" w14:textId="60D20083" w:rsidR="00836AA3" w:rsidRPr="00E20836" w:rsidRDefault="00836AA3" w:rsidP="001503AB">
    <w:pPr>
      <w:pStyle w:val="Voettekst"/>
      <w:rPr>
        <w:color w:val="A6A6A6" w:themeColor="background1" w:themeShade="A6"/>
        <w:sz w:val="16"/>
      </w:rPr>
    </w:pPr>
    <w:r w:rsidRPr="00E20836">
      <w:rPr>
        <w:color w:val="A6A6A6" w:themeColor="background1" w:themeShade="A6"/>
        <w:sz w:val="16"/>
      </w:rPr>
      <w:tab/>
    </w:r>
    <w:r w:rsidRPr="00E20836">
      <w:rPr>
        <w:color w:val="A6A6A6" w:themeColor="background1" w:themeShade="A6"/>
        <w:sz w:val="16"/>
      </w:rPr>
      <w:tab/>
    </w:r>
    <w:r w:rsidRPr="00E20836">
      <w:rPr>
        <w:color w:val="A6A6A6" w:themeColor="background1" w:themeShade="A6"/>
        <w:sz w:val="16"/>
      </w:rPr>
      <w:fldChar w:fldCharType="begin"/>
    </w:r>
    <w:r w:rsidRPr="00E20836">
      <w:rPr>
        <w:color w:val="A6A6A6" w:themeColor="background1" w:themeShade="A6"/>
        <w:sz w:val="16"/>
      </w:rPr>
      <w:instrText xml:space="preserve"> PAGE  \* Arabic  \* MERGEFORMAT </w:instrText>
    </w:r>
    <w:r w:rsidRPr="00E20836">
      <w:rPr>
        <w:color w:val="A6A6A6" w:themeColor="background1" w:themeShade="A6"/>
        <w:sz w:val="16"/>
      </w:rPr>
      <w:fldChar w:fldCharType="separate"/>
    </w:r>
    <w:r w:rsidR="00030C59">
      <w:rPr>
        <w:noProof/>
        <w:color w:val="A6A6A6" w:themeColor="background1" w:themeShade="A6"/>
        <w:sz w:val="16"/>
      </w:rPr>
      <w:t>19</w:t>
    </w:r>
    <w:r w:rsidRPr="00E20836">
      <w:rPr>
        <w:color w:val="A6A6A6" w:themeColor="background1" w:themeShade="A6"/>
        <w:sz w:val="16"/>
      </w:rPr>
      <w:fldChar w:fldCharType="end"/>
    </w:r>
    <w:r w:rsidRPr="00E20836">
      <w:rPr>
        <w:color w:val="A6A6A6" w:themeColor="background1" w:themeShade="A6"/>
        <w:sz w:val="16"/>
      </w:rPr>
      <w:t>/</w:t>
    </w:r>
    <w:r w:rsidRPr="00E20836">
      <w:rPr>
        <w:color w:val="A6A6A6" w:themeColor="background1" w:themeShade="A6"/>
        <w:sz w:val="16"/>
      </w:rPr>
      <w:fldChar w:fldCharType="begin"/>
    </w:r>
    <w:r w:rsidRPr="00E20836">
      <w:rPr>
        <w:color w:val="A6A6A6" w:themeColor="background1" w:themeShade="A6"/>
        <w:sz w:val="16"/>
      </w:rPr>
      <w:instrText xml:space="preserve"> NUMPAGES  \* Arabic  \* MERGEFORMAT </w:instrText>
    </w:r>
    <w:r w:rsidRPr="00E20836">
      <w:rPr>
        <w:color w:val="A6A6A6" w:themeColor="background1" w:themeShade="A6"/>
        <w:sz w:val="16"/>
      </w:rPr>
      <w:fldChar w:fldCharType="separate"/>
    </w:r>
    <w:r w:rsidR="00030C59">
      <w:rPr>
        <w:noProof/>
        <w:color w:val="A6A6A6" w:themeColor="background1" w:themeShade="A6"/>
        <w:sz w:val="16"/>
      </w:rPr>
      <w:t>19</w:t>
    </w:r>
    <w:r w:rsidRPr="00E20836">
      <w:rPr>
        <w:color w:val="A6A6A6" w:themeColor="background1" w:themeShade="A6"/>
        <w:sz w:val="16"/>
      </w:rPr>
      <w:fldChar w:fldCharType="end"/>
    </w:r>
  </w:p>
  <w:p w14:paraId="29730B12" w14:textId="77777777" w:rsidR="00836AA3" w:rsidRDefault="00836AA3">
    <w:pPr>
      <w:pStyle w:val="Voettekst"/>
    </w:pPr>
  </w:p>
  <w:p w14:paraId="3D7C896E" w14:textId="77777777" w:rsidR="00836AA3" w:rsidRDefault="00836A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0CC2C" w14:textId="77777777" w:rsidR="001E7485" w:rsidRDefault="001E7485" w:rsidP="001503AB">
      <w:r>
        <w:separator/>
      </w:r>
    </w:p>
  </w:footnote>
  <w:footnote w:type="continuationSeparator" w:id="0">
    <w:p w14:paraId="5823851D" w14:textId="77777777" w:rsidR="001E7485" w:rsidRDefault="001E7485" w:rsidP="001503AB">
      <w:r>
        <w:continuationSeparator/>
      </w:r>
    </w:p>
  </w:footnote>
  <w:footnote w:type="continuationNotice" w:id="1">
    <w:p w14:paraId="2556917F" w14:textId="77777777" w:rsidR="001E7485" w:rsidRDefault="001E74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3ED"/>
    <w:multiLevelType w:val="singleLevel"/>
    <w:tmpl w:val="81CE5CB6"/>
    <w:lvl w:ilvl="0">
      <w:start w:val="1"/>
      <w:numFmt w:val="decimal"/>
      <w:pStyle w:val="ListBullet31"/>
      <w:lvlText w:val="%1)"/>
      <w:lvlJc w:val="left"/>
      <w:pPr>
        <w:tabs>
          <w:tab w:val="num" w:pos="720"/>
        </w:tabs>
        <w:ind w:left="720" w:hanging="360"/>
      </w:pPr>
      <w:rPr>
        <w:sz w:val="22"/>
        <w:szCs w:val="22"/>
      </w:rPr>
    </w:lvl>
  </w:abstractNum>
  <w:abstractNum w:abstractNumId="1" w15:restartNumberingAfterBreak="0">
    <w:nsid w:val="02B04B76"/>
    <w:multiLevelType w:val="hybridMultilevel"/>
    <w:tmpl w:val="1B607674"/>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B8E755F"/>
    <w:multiLevelType w:val="hybridMultilevel"/>
    <w:tmpl w:val="2690D162"/>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C9D1815"/>
    <w:multiLevelType w:val="hybridMultilevel"/>
    <w:tmpl w:val="50041644"/>
    <w:lvl w:ilvl="0" w:tplc="080C0001">
      <w:start w:val="1"/>
      <w:numFmt w:val="bulle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94701120">
      <w:numFmt w:val="bullet"/>
      <w:lvlText w:val=""/>
      <w:lvlJc w:val="left"/>
      <w:pPr>
        <w:ind w:left="2688" w:hanging="360"/>
      </w:pPr>
      <w:rPr>
        <w:rFonts w:ascii="Wingdings" w:eastAsiaTheme="minorHAnsi" w:hAnsi="Wingdings" w:cstheme="minorBidi" w:hint="default"/>
      </w:r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15:restartNumberingAfterBreak="0">
    <w:nsid w:val="0CF07CB7"/>
    <w:multiLevelType w:val="hybridMultilevel"/>
    <w:tmpl w:val="7708DE8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0E114569"/>
    <w:multiLevelType w:val="hybridMultilevel"/>
    <w:tmpl w:val="75DA94F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0F8C0F06"/>
    <w:multiLevelType w:val="hybridMultilevel"/>
    <w:tmpl w:val="47829F4A"/>
    <w:lvl w:ilvl="0" w:tplc="48C62B62">
      <w:start w:val="1"/>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15:restartNumberingAfterBreak="0">
    <w:nsid w:val="126B37B5"/>
    <w:multiLevelType w:val="hybridMultilevel"/>
    <w:tmpl w:val="CCA8C6F8"/>
    <w:lvl w:ilvl="0" w:tplc="30B61B06">
      <w:start w:val="5"/>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48015D3"/>
    <w:multiLevelType w:val="hybridMultilevel"/>
    <w:tmpl w:val="C30065E8"/>
    <w:lvl w:ilvl="0" w:tplc="0980BA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D60A07"/>
    <w:multiLevelType w:val="hybridMultilevel"/>
    <w:tmpl w:val="EB7EDDAA"/>
    <w:lvl w:ilvl="0" w:tplc="2DF8FA16">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40497E"/>
    <w:multiLevelType w:val="hybridMultilevel"/>
    <w:tmpl w:val="0FEA09E8"/>
    <w:lvl w:ilvl="0" w:tplc="FE0EE23E">
      <w:start w:val="1"/>
      <w:numFmt w:val="bullet"/>
      <w:pStyle w:val="ListBullet21"/>
      <w:lvlText w:val=""/>
      <w:lvlJc w:val="left"/>
      <w:pPr>
        <w:tabs>
          <w:tab w:val="num" w:pos="1070"/>
        </w:tabs>
        <w:ind w:left="1070" w:hanging="360"/>
      </w:pPr>
      <w:rPr>
        <w:rFonts w:ascii="Wingdings" w:hAnsi="Wingdings" w:hint="default"/>
      </w:rPr>
    </w:lvl>
    <w:lvl w:ilvl="1" w:tplc="080C0003" w:tentative="1">
      <w:start w:val="1"/>
      <w:numFmt w:val="lowerLetter"/>
      <w:lvlText w:val="%2."/>
      <w:lvlJc w:val="left"/>
      <w:pPr>
        <w:tabs>
          <w:tab w:val="num" w:pos="1440"/>
        </w:tabs>
        <w:ind w:left="1440" w:hanging="360"/>
      </w:pPr>
    </w:lvl>
    <w:lvl w:ilvl="2" w:tplc="080C0005" w:tentative="1">
      <w:start w:val="1"/>
      <w:numFmt w:val="lowerRoman"/>
      <w:lvlText w:val="%3."/>
      <w:lvlJc w:val="right"/>
      <w:pPr>
        <w:tabs>
          <w:tab w:val="num" w:pos="2160"/>
        </w:tabs>
        <w:ind w:left="2160" w:hanging="180"/>
      </w:pPr>
    </w:lvl>
    <w:lvl w:ilvl="3" w:tplc="080C0001" w:tentative="1">
      <w:start w:val="1"/>
      <w:numFmt w:val="decimal"/>
      <w:lvlText w:val="%4."/>
      <w:lvlJc w:val="left"/>
      <w:pPr>
        <w:tabs>
          <w:tab w:val="num" w:pos="2880"/>
        </w:tabs>
        <w:ind w:left="2880" w:hanging="360"/>
      </w:pPr>
    </w:lvl>
    <w:lvl w:ilvl="4" w:tplc="080C0003" w:tentative="1">
      <w:start w:val="1"/>
      <w:numFmt w:val="lowerLetter"/>
      <w:lvlText w:val="%5."/>
      <w:lvlJc w:val="left"/>
      <w:pPr>
        <w:tabs>
          <w:tab w:val="num" w:pos="3600"/>
        </w:tabs>
        <w:ind w:left="3600" w:hanging="360"/>
      </w:pPr>
    </w:lvl>
    <w:lvl w:ilvl="5" w:tplc="080C0005" w:tentative="1">
      <w:start w:val="1"/>
      <w:numFmt w:val="lowerRoman"/>
      <w:lvlText w:val="%6."/>
      <w:lvlJc w:val="right"/>
      <w:pPr>
        <w:tabs>
          <w:tab w:val="num" w:pos="4320"/>
        </w:tabs>
        <w:ind w:left="4320" w:hanging="180"/>
      </w:pPr>
    </w:lvl>
    <w:lvl w:ilvl="6" w:tplc="080C0001" w:tentative="1">
      <w:start w:val="1"/>
      <w:numFmt w:val="decimal"/>
      <w:lvlText w:val="%7."/>
      <w:lvlJc w:val="left"/>
      <w:pPr>
        <w:tabs>
          <w:tab w:val="num" w:pos="5040"/>
        </w:tabs>
        <w:ind w:left="5040" w:hanging="360"/>
      </w:pPr>
    </w:lvl>
    <w:lvl w:ilvl="7" w:tplc="080C0003" w:tentative="1">
      <w:start w:val="1"/>
      <w:numFmt w:val="lowerLetter"/>
      <w:lvlText w:val="%8."/>
      <w:lvlJc w:val="left"/>
      <w:pPr>
        <w:tabs>
          <w:tab w:val="num" w:pos="5760"/>
        </w:tabs>
        <w:ind w:left="5760" w:hanging="360"/>
      </w:pPr>
    </w:lvl>
    <w:lvl w:ilvl="8" w:tplc="080C0005" w:tentative="1">
      <w:start w:val="1"/>
      <w:numFmt w:val="lowerRoman"/>
      <w:lvlText w:val="%9."/>
      <w:lvlJc w:val="right"/>
      <w:pPr>
        <w:tabs>
          <w:tab w:val="num" w:pos="6480"/>
        </w:tabs>
        <w:ind w:left="6480" w:hanging="180"/>
      </w:pPr>
    </w:lvl>
  </w:abstractNum>
  <w:abstractNum w:abstractNumId="11" w15:restartNumberingAfterBreak="0">
    <w:nsid w:val="16E054DF"/>
    <w:multiLevelType w:val="hybridMultilevel"/>
    <w:tmpl w:val="75DCDEE6"/>
    <w:lvl w:ilvl="0" w:tplc="0809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17CB7062"/>
    <w:multiLevelType w:val="hybridMultilevel"/>
    <w:tmpl w:val="EF3C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566AD"/>
    <w:multiLevelType w:val="hybridMultilevel"/>
    <w:tmpl w:val="968C08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1C940DFB"/>
    <w:multiLevelType w:val="hybridMultilevel"/>
    <w:tmpl w:val="01F8FAAA"/>
    <w:lvl w:ilvl="0" w:tplc="4A5E8370">
      <w:numFmt w:val="bullet"/>
      <w:lvlText w:val=""/>
      <w:lvlJc w:val="left"/>
      <w:pPr>
        <w:ind w:left="1776" w:hanging="360"/>
      </w:pPr>
      <w:rPr>
        <w:rFonts w:ascii="Symbol" w:eastAsiaTheme="minorHAnsi" w:hAnsi="Symbol" w:cstheme="minorBidi" w:hint="default"/>
      </w:rPr>
    </w:lvl>
    <w:lvl w:ilvl="1" w:tplc="08130003">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5" w15:restartNumberingAfterBreak="0">
    <w:nsid w:val="1D917E3C"/>
    <w:multiLevelType w:val="hybridMultilevel"/>
    <w:tmpl w:val="511ACF04"/>
    <w:lvl w:ilvl="0" w:tplc="A59613F0">
      <w:start w:val="1"/>
      <w:numFmt w:val="decimal"/>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13E7351"/>
    <w:multiLevelType w:val="hybridMultilevel"/>
    <w:tmpl w:val="DE82C4B8"/>
    <w:lvl w:ilvl="0" w:tplc="03D43EBA">
      <w:start w:val="3"/>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7" w15:restartNumberingAfterBreak="0">
    <w:nsid w:val="22FB1E74"/>
    <w:multiLevelType w:val="hybridMultilevel"/>
    <w:tmpl w:val="FE7C92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3FA5E65"/>
    <w:multiLevelType w:val="hybridMultilevel"/>
    <w:tmpl w:val="DC149056"/>
    <w:lvl w:ilvl="0" w:tplc="A3662528">
      <w:numFmt w:val="bullet"/>
      <w:lvlText w:val="•"/>
      <w:lvlJc w:val="left"/>
      <w:pPr>
        <w:ind w:left="1080" w:hanging="72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A4856B7"/>
    <w:multiLevelType w:val="hybridMultilevel"/>
    <w:tmpl w:val="CAA825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AB80F16"/>
    <w:multiLevelType w:val="hybridMultilevel"/>
    <w:tmpl w:val="76BEBD10"/>
    <w:lvl w:ilvl="0" w:tplc="9E98D766">
      <w:numFmt w:val="bullet"/>
      <w:lvlText w:val="•"/>
      <w:lvlJc w:val="left"/>
      <w:pPr>
        <w:ind w:left="1080" w:hanging="720"/>
      </w:pPr>
      <w:rPr>
        <w:rFonts w:ascii="Arial" w:eastAsia="Times New Roman" w:hAnsi="Arial" w:cs="Arial" w:hint="default"/>
        <w:lang w:val="nl-B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E8E40EC"/>
    <w:multiLevelType w:val="hybridMultilevel"/>
    <w:tmpl w:val="08029AF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1177087"/>
    <w:multiLevelType w:val="hybridMultilevel"/>
    <w:tmpl w:val="532AF198"/>
    <w:lvl w:ilvl="0" w:tplc="7286E9A4">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1041FC"/>
    <w:multiLevelType w:val="hybridMultilevel"/>
    <w:tmpl w:val="3ED84644"/>
    <w:lvl w:ilvl="0" w:tplc="080C0003">
      <w:start w:val="1"/>
      <w:numFmt w:val="bullet"/>
      <w:lvlText w:val="o"/>
      <w:lvlJc w:val="left"/>
      <w:pPr>
        <w:ind w:left="683" w:hanging="360"/>
      </w:pPr>
      <w:rPr>
        <w:rFonts w:ascii="Courier New" w:hAnsi="Courier New" w:cs="Courier New" w:hint="default"/>
      </w:rPr>
    </w:lvl>
    <w:lvl w:ilvl="1" w:tplc="080C0003" w:tentative="1">
      <w:start w:val="1"/>
      <w:numFmt w:val="bullet"/>
      <w:lvlText w:val="o"/>
      <w:lvlJc w:val="left"/>
      <w:pPr>
        <w:ind w:left="1403" w:hanging="360"/>
      </w:pPr>
      <w:rPr>
        <w:rFonts w:ascii="Courier New" w:hAnsi="Courier New" w:cs="Courier New" w:hint="default"/>
      </w:rPr>
    </w:lvl>
    <w:lvl w:ilvl="2" w:tplc="080C0005" w:tentative="1">
      <w:start w:val="1"/>
      <w:numFmt w:val="bullet"/>
      <w:lvlText w:val=""/>
      <w:lvlJc w:val="left"/>
      <w:pPr>
        <w:ind w:left="2123" w:hanging="360"/>
      </w:pPr>
      <w:rPr>
        <w:rFonts w:ascii="Wingdings" w:hAnsi="Wingdings" w:hint="default"/>
      </w:rPr>
    </w:lvl>
    <w:lvl w:ilvl="3" w:tplc="080C0001" w:tentative="1">
      <w:start w:val="1"/>
      <w:numFmt w:val="bullet"/>
      <w:lvlText w:val=""/>
      <w:lvlJc w:val="left"/>
      <w:pPr>
        <w:ind w:left="2843" w:hanging="360"/>
      </w:pPr>
      <w:rPr>
        <w:rFonts w:ascii="Symbol" w:hAnsi="Symbol" w:hint="default"/>
      </w:rPr>
    </w:lvl>
    <w:lvl w:ilvl="4" w:tplc="080C0003" w:tentative="1">
      <w:start w:val="1"/>
      <w:numFmt w:val="bullet"/>
      <w:lvlText w:val="o"/>
      <w:lvlJc w:val="left"/>
      <w:pPr>
        <w:ind w:left="3563" w:hanging="360"/>
      </w:pPr>
      <w:rPr>
        <w:rFonts w:ascii="Courier New" w:hAnsi="Courier New" w:cs="Courier New" w:hint="default"/>
      </w:rPr>
    </w:lvl>
    <w:lvl w:ilvl="5" w:tplc="080C0005" w:tentative="1">
      <w:start w:val="1"/>
      <w:numFmt w:val="bullet"/>
      <w:lvlText w:val=""/>
      <w:lvlJc w:val="left"/>
      <w:pPr>
        <w:ind w:left="4283" w:hanging="360"/>
      </w:pPr>
      <w:rPr>
        <w:rFonts w:ascii="Wingdings" w:hAnsi="Wingdings" w:hint="default"/>
      </w:rPr>
    </w:lvl>
    <w:lvl w:ilvl="6" w:tplc="080C0001" w:tentative="1">
      <w:start w:val="1"/>
      <w:numFmt w:val="bullet"/>
      <w:lvlText w:val=""/>
      <w:lvlJc w:val="left"/>
      <w:pPr>
        <w:ind w:left="5003" w:hanging="360"/>
      </w:pPr>
      <w:rPr>
        <w:rFonts w:ascii="Symbol" w:hAnsi="Symbol" w:hint="default"/>
      </w:rPr>
    </w:lvl>
    <w:lvl w:ilvl="7" w:tplc="080C0003" w:tentative="1">
      <w:start w:val="1"/>
      <w:numFmt w:val="bullet"/>
      <w:lvlText w:val="o"/>
      <w:lvlJc w:val="left"/>
      <w:pPr>
        <w:ind w:left="5723" w:hanging="360"/>
      </w:pPr>
      <w:rPr>
        <w:rFonts w:ascii="Courier New" w:hAnsi="Courier New" w:cs="Courier New" w:hint="default"/>
      </w:rPr>
    </w:lvl>
    <w:lvl w:ilvl="8" w:tplc="080C0005" w:tentative="1">
      <w:start w:val="1"/>
      <w:numFmt w:val="bullet"/>
      <w:lvlText w:val=""/>
      <w:lvlJc w:val="left"/>
      <w:pPr>
        <w:ind w:left="6443" w:hanging="360"/>
      </w:pPr>
      <w:rPr>
        <w:rFonts w:ascii="Wingdings" w:hAnsi="Wingdings" w:hint="default"/>
      </w:rPr>
    </w:lvl>
  </w:abstractNum>
  <w:abstractNum w:abstractNumId="24" w15:restartNumberingAfterBreak="0">
    <w:nsid w:val="3DA81DFD"/>
    <w:multiLevelType w:val="hybridMultilevel"/>
    <w:tmpl w:val="E9609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D569C6"/>
    <w:multiLevelType w:val="hybridMultilevel"/>
    <w:tmpl w:val="61E60956"/>
    <w:lvl w:ilvl="0" w:tplc="110C3EF4">
      <w:start w:val="1"/>
      <w:numFmt w:val="bullet"/>
      <w:pStyle w:val="Lijstalinea"/>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26" w15:restartNumberingAfterBreak="0">
    <w:nsid w:val="41312DAC"/>
    <w:multiLevelType w:val="hybridMultilevel"/>
    <w:tmpl w:val="565ED0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421A2BA4"/>
    <w:multiLevelType w:val="hybridMultilevel"/>
    <w:tmpl w:val="8BD616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D211F1F"/>
    <w:multiLevelType w:val="hybridMultilevel"/>
    <w:tmpl w:val="1EC8378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4FBC24D3"/>
    <w:multiLevelType w:val="hybridMultilevel"/>
    <w:tmpl w:val="857098E0"/>
    <w:lvl w:ilvl="0" w:tplc="80B2C77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14D3FDA"/>
    <w:multiLevelType w:val="hybridMultilevel"/>
    <w:tmpl w:val="0B7E4D5C"/>
    <w:lvl w:ilvl="0" w:tplc="5ABE8C3C">
      <w:start w:val="1"/>
      <w:numFmt w:val="decimal"/>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4F636AB"/>
    <w:multiLevelType w:val="hybridMultilevel"/>
    <w:tmpl w:val="A69C1CD8"/>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564676A6"/>
    <w:multiLevelType w:val="hybridMultilevel"/>
    <w:tmpl w:val="3424CC4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15:restartNumberingAfterBreak="0">
    <w:nsid w:val="587E34BB"/>
    <w:multiLevelType w:val="hybridMultilevel"/>
    <w:tmpl w:val="CA386D28"/>
    <w:lvl w:ilvl="0" w:tplc="7286E9A4">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578F0"/>
    <w:multiLevelType w:val="hybridMultilevel"/>
    <w:tmpl w:val="8D9AC0D8"/>
    <w:lvl w:ilvl="0" w:tplc="C7E05C84">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F96C61"/>
    <w:multiLevelType w:val="hybridMultilevel"/>
    <w:tmpl w:val="07606F7A"/>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36" w15:restartNumberingAfterBreak="0">
    <w:nsid w:val="622F6ED2"/>
    <w:multiLevelType w:val="hybridMultilevel"/>
    <w:tmpl w:val="96C46730"/>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3114961"/>
    <w:multiLevelType w:val="multilevel"/>
    <w:tmpl w:val="B98014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38462A"/>
    <w:multiLevelType w:val="hybridMultilevel"/>
    <w:tmpl w:val="771033C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9" w15:restartNumberingAfterBreak="0">
    <w:nsid w:val="6C542414"/>
    <w:multiLevelType w:val="multilevel"/>
    <w:tmpl w:val="FC366246"/>
    <w:lvl w:ilvl="0">
      <w:start w:val="1"/>
      <w:numFmt w:val="decimal"/>
      <w:pStyle w:val="Kop1"/>
      <w:lvlText w:val="Artikel %1"/>
      <w:lvlJc w:val="left"/>
      <w:pPr>
        <w:ind w:left="680" w:hanging="680"/>
      </w:pPr>
      <w:rPr>
        <w:rFonts w:hint="default"/>
      </w:rPr>
    </w:lvl>
    <w:lvl w:ilvl="1">
      <w:start w:val="1"/>
      <w:numFmt w:val="decimal"/>
      <w:pStyle w:val="Kop2"/>
      <w:lvlText w:val="%1.%2."/>
      <w:lvlJc w:val="left"/>
      <w:pPr>
        <w:ind w:left="680" w:hanging="680"/>
      </w:pPr>
      <w:rPr>
        <w:rFonts w:hint="default"/>
      </w:rPr>
    </w:lvl>
    <w:lvl w:ilvl="2">
      <w:start w:val="1"/>
      <w:numFmt w:val="decimal"/>
      <w:pStyle w:val="Kop3"/>
      <w:lvlText w:val="%1.%2.%3."/>
      <w:lvlJc w:val="right"/>
      <w:pPr>
        <w:ind w:left="2041" w:hanging="283"/>
      </w:pPr>
      <w:rPr>
        <w:rFonts w:hint="default"/>
      </w:rPr>
    </w:lvl>
    <w:lvl w:ilvl="3">
      <w:start w:val="1"/>
      <w:numFmt w:val="decimal"/>
      <w:pStyle w:val="Kop4"/>
      <w:lvlText w:val="%1.%2.%3.%4"/>
      <w:lvlJc w:val="left"/>
      <w:pPr>
        <w:ind w:left="2840" w:hanging="680"/>
      </w:pPr>
      <w:rPr>
        <w:rFonts w:hint="default"/>
      </w:rPr>
    </w:lvl>
    <w:lvl w:ilvl="4">
      <w:start w:val="1"/>
      <w:numFmt w:val="lowerLetter"/>
      <w:lvlText w:val="%5."/>
      <w:lvlJc w:val="left"/>
      <w:pPr>
        <w:ind w:left="3560" w:hanging="680"/>
      </w:pPr>
      <w:rPr>
        <w:rFonts w:hint="default"/>
      </w:rPr>
    </w:lvl>
    <w:lvl w:ilvl="5">
      <w:start w:val="1"/>
      <w:numFmt w:val="lowerRoman"/>
      <w:lvlText w:val="%6."/>
      <w:lvlJc w:val="right"/>
      <w:pPr>
        <w:ind w:left="4280" w:hanging="680"/>
      </w:pPr>
      <w:rPr>
        <w:rFonts w:hint="default"/>
      </w:rPr>
    </w:lvl>
    <w:lvl w:ilvl="6">
      <w:start w:val="1"/>
      <w:numFmt w:val="decimal"/>
      <w:lvlText w:val="%7."/>
      <w:lvlJc w:val="left"/>
      <w:pPr>
        <w:ind w:left="5000" w:hanging="680"/>
      </w:pPr>
      <w:rPr>
        <w:rFonts w:hint="default"/>
      </w:rPr>
    </w:lvl>
    <w:lvl w:ilvl="7">
      <w:start w:val="1"/>
      <w:numFmt w:val="lowerLetter"/>
      <w:lvlText w:val="%8."/>
      <w:lvlJc w:val="left"/>
      <w:pPr>
        <w:ind w:left="5720" w:hanging="680"/>
      </w:pPr>
      <w:rPr>
        <w:rFonts w:hint="default"/>
      </w:rPr>
    </w:lvl>
    <w:lvl w:ilvl="8">
      <w:start w:val="1"/>
      <w:numFmt w:val="lowerRoman"/>
      <w:lvlText w:val="%9."/>
      <w:lvlJc w:val="right"/>
      <w:pPr>
        <w:ind w:left="6440" w:hanging="680"/>
      </w:pPr>
      <w:rPr>
        <w:rFonts w:hint="default"/>
      </w:rPr>
    </w:lvl>
  </w:abstractNum>
  <w:abstractNum w:abstractNumId="40" w15:restartNumberingAfterBreak="0">
    <w:nsid w:val="79D079B2"/>
    <w:multiLevelType w:val="hybridMultilevel"/>
    <w:tmpl w:val="A13ADE30"/>
    <w:lvl w:ilvl="0" w:tplc="900A4F2C">
      <w:start w:val="1"/>
      <w:numFmt w:val="lowerLetter"/>
      <w:pStyle w:val="Kop5"/>
      <w:lvlText w:val="%1)"/>
      <w:lvlJc w:val="left"/>
      <w:pPr>
        <w:ind w:left="4072" w:hanging="360"/>
      </w:pPr>
    </w:lvl>
    <w:lvl w:ilvl="1" w:tplc="08130019" w:tentative="1">
      <w:start w:val="1"/>
      <w:numFmt w:val="lowerLetter"/>
      <w:lvlText w:val="%2."/>
      <w:lvlJc w:val="left"/>
      <w:pPr>
        <w:ind w:left="4792" w:hanging="360"/>
      </w:pPr>
    </w:lvl>
    <w:lvl w:ilvl="2" w:tplc="0813001B" w:tentative="1">
      <w:start w:val="1"/>
      <w:numFmt w:val="lowerRoman"/>
      <w:lvlText w:val="%3."/>
      <w:lvlJc w:val="right"/>
      <w:pPr>
        <w:ind w:left="5512" w:hanging="180"/>
      </w:pPr>
    </w:lvl>
    <w:lvl w:ilvl="3" w:tplc="0813000F" w:tentative="1">
      <w:start w:val="1"/>
      <w:numFmt w:val="decimal"/>
      <w:lvlText w:val="%4."/>
      <w:lvlJc w:val="left"/>
      <w:pPr>
        <w:ind w:left="6232" w:hanging="360"/>
      </w:pPr>
    </w:lvl>
    <w:lvl w:ilvl="4" w:tplc="08130019" w:tentative="1">
      <w:start w:val="1"/>
      <w:numFmt w:val="lowerLetter"/>
      <w:lvlText w:val="%5."/>
      <w:lvlJc w:val="left"/>
      <w:pPr>
        <w:ind w:left="6952" w:hanging="360"/>
      </w:pPr>
    </w:lvl>
    <w:lvl w:ilvl="5" w:tplc="0813001B" w:tentative="1">
      <w:start w:val="1"/>
      <w:numFmt w:val="lowerRoman"/>
      <w:lvlText w:val="%6."/>
      <w:lvlJc w:val="right"/>
      <w:pPr>
        <w:ind w:left="7672" w:hanging="180"/>
      </w:pPr>
    </w:lvl>
    <w:lvl w:ilvl="6" w:tplc="0813000F" w:tentative="1">
      <w:start w:val="1"/>
      <w:numFmt w:val="decimal"/>
      <w:lvlText w:val="%7."/>
      <w:lvlJc w:val="left"/>
      <w:pPr>
        <w:ind w:left="8392" w:hanging="360"/>
      </w:pPr>
    </w:lvl>
    <w:lvl w:ilvl="7" w:tplc="08130019" w:tentative="1">
      <w:start w:val="1"/>
      <w:numFmt w:val="lowerLetter"/>
      <w:lvlText w:val="%8."/>
      <w:lvlJc w:val="left"/>
      <w:pPr>
        <w:ind w:left="9112" w:hanging="360"/>
      </w:pPr>
    </w:lvl>
    <w:lvl w:ilvl="8" w:tplc="0813001B" w:tentative="1">
      <w:start w:val="1"/>
      <w:numFmt w:val="lowerRoman"/>
      <w:lvlText w:val="%9."/>
      <w:lvlJc w:val="right"/>
      <w:pPr>
        <w:ind w:left="9832" w:hanging="180"/>
      </w:pPr>
    </w:lvl>
  </w:abstractNum>
  <w:abstractNum w:abstractNumId="41" w15:restartNumberingAfterBreak="0">
    <w:nsid w:val="7A276CE8"/>
    <w:multiLevelType w:val="hybridMultilevel"/>
    <w:tmpl w:val="7FBCD0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A4D3889"/>
    <w:multiLevelType w:val="hybridMultilevel"/>
    <w:tmpl w:val="6ACC6D8C"/>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7CB927A4"/>
    <w:multiLevelType w:val="hybridMultilevel"/>
    <w:tmpl w:val="0CCAF516"/>
    <w:lvl w:ilvl="0" w:tplc="7286E9A4">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9"/>
  </w:num>
  <w:num w:numId="3">
    <w:abstractNumId w:val="25"/>
  </w:num>
  <w:num w:numId="4">
    <w:abstractNumId w:val="40"/>
  </w:num>
  <w:num w:numId="5">
    <w:abstractNumId w:val="42"/>
  </w:num>
  <w:num w:numId="6">
    <w:abstractNumId w:val="17"/>
  </w:num>
  <w:num w:numId="7">
    <w:abstractNumId w:val="38"/>
  </w:num>
  <w:num w:numId="8">
    <w:abstractNumId w:val="3"/>
  </w:num>
  <w:num w:numId="9">
    <w:abstractNumId w:val="10"/>
  </w:num>
  <w:num w:numId="10">
    <w:abstractNumId w:val="14"/>
  </w:num>
  <w:num w:numId="11">
    <w:abstractNumId w:val="35"/>
  </w:num>
  <w:num w:numId="12">
    <w:abstractNumId w:val="0"/>
  </w:num>
  <w:num w:numId="13">
    <w:abstractNumId w:val="20"/>
  </w:num>
  <w:num w:numId="14">
    <w:abstractNumId w:val="27"/>
  </w:num>
  <w:num w:numId="15">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9"/>
  </w:num>
  <w:num w:numId="18">
    <w:abstractNumId w:val="41"/>
  </w:num>
  <w:num w:numId="19">
    <w:abstractNumId w:val="1"/>
  </w:num>
  <w:num w:numId="20">
    <w:abstractNumId w:val="13"/>
  </w:num>
  <w:num w:numId="21">
    <w:abstractNumId w:val="28"/>
  </w:num>
  <w:num w:numId="22">
    <w:abstractNumId w:val="37"/>
  </w:num>
  <w:num w:numId="23">
    <w:abstractNumId w:val="6"/>
  </w:num>
  <w:num w:numId="24">
    <w:abstractNumId w:val="7"/>
  </w:num>
  <w:num w:numId="25">
    <w:abstractNumId w:val="25"/>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19"/>
  </w:num>
  <w:num w:numId="29">
    <w:abstractNumId w:val="26"/>
  </w:num>
  <w:num w:numId="30">
    <w:abstractNumId w:val="25"/>
  </w:num>
  <w:num w:numId="31">
    <w:abstractNumId w:val="30"/>
  </w:num>
  <w:num w:numId="32">
    <w:abstractNumId w:val="25"/>
  </w:num>
  <w:num w:numId="33">
    <w:abstractNumId w:val="25"/>
  </w:num>
  <w:num w:numId="34">
    <w:abstractNumId w:val="39"/>
  </w:num>
  <w:num w:numId="35">
    <w:abstractNumId w:val="8"/>
  </w:num>
  <w:num w:numId="36">
    <w:abstractNumId w:val="9"/>
  </w:num>
  <w:num w:numId="37">
    <w:abstractNumId w:val="34"/>
  </w:num>
  <w:num w:numId="38">
    <w:abstractNumId w:val="24"/>
  </w:num>
  <w:num w:numId="39">
    <w:abstractNumId w:val="33"/>
  </w:num>
  <w:num w:numId="40">
    <w:abstractNumId w:val="22"/>
  </w:num>
  <w:num w:numId="41">
    <w:abstractNumId w:val="12"/>
  </w:num>
  <w:num w:numId="42">
    <w:abstractNumId w:val="43"/>
  </w:num>
  <w:num w:numId="43">
    <w:abstractNumId w:val="2"/>
  </w:num>
  <w:num w:numId="44">
    <w:abstractNumId w:val="36"/>
  </w:num>
  <w:num w:numId="45">
    <w:abstractNumId w:val="11"/>
  </w:num>
  <w:num w:numId="46">
    <w:abstractNumId w:val="31"/>
  </w:num>
  <w:num w:numId="47">
    <w:abstractNumId w:val="25"/>
  </w:num>
  <w:num w:numId="48">
    <w:abstractNumId w:val="25"/>
  </w:num>
  <w:num w:numId="49">
    <w:abstractNumId w:val="25"/>
  </w:num>
  <w:num w:numId="50">
    <w:abstractNumId w:val="16"/>
  </w:num>
  <w:num w:numId="51">
    <w:abstractNumId w:val="4"/>
  </w:num>
  <w:num w:numId="52">
    <w:abstractNumId w:val="5"/>
  </w:num>
  <w:num w:numId="53">
    <w:abstractNumId w:val="25"/>
  </w:num>
  <w:num w:numId="54">
    <w:abstractNumId w:val="15"/>
  </w:num>
  <w:num w:numId="55">
    <w:abstractNumId w:val="25"/>
  </w:num>
  <w:num w:numId="56">
    <w:abstractNumId w:val="32"/>
  </w:num>
  <w:num w:numId="57">
    <w:abstractNumId w:val="21"/>
  </w:num>
  <w:num w:numId="58">
    <w:abstractNumId w:val="25"/>
  </w:num>
  <w:num w:numId="59">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37"/>
    <w:rsid w:val="00003925"/>
    <w:rsid w:val="000044BD"/>
    <w:rsid w:val="0000545C"/>
    <w:rsid w:val="000079F4"/>
    <w:rsid w:val="0001202E"/>
    <w:rsid w:val="0001297A"/>
    <w:rsid w:val="00012A43"/>
    <w:rsid w:val="00012A4B"/>
    <w:rsid w:val="00013C0A"/>
    <w:rsid w:val="00013C8B"/>
    <w:rsid w:val="00015F32"/>
    <w:rsid w:val="0001749F"/>
    <w:rsid w:val="000211D0"/>
    <w:rsid w:val="00024501"/>
    <w:rsid w:val="00025770"/>
    <w:rsid w:val="00026B5B"/>
    <w:rsid w:val="000270BF"/>
    <w:rsid w:val="00027EFE"/>
    <w:rsid w:val="00030C59"/>
    <w:rsid w:val="00031E5A"/>
    <w:rsid w:val="00032123"/>
    <w:rsid w:val="0003412E"/>
    <w:rsid w:val="00034CD7"/>
    <w:rsid w:val="00035033"/>
    <w:rsid w:val="00036A70"/>
    <w:rsid w:val="000413B9"/>
    <w:rsid w:val="000471B5"/>
    <w:rsid w:val="000529C9"/>
    <w:rsid w:val="00065B36"/>
    <w:rsid w:val="00066B9B"/>
    <w:rsid w:val="00070E69"/>
    <w:rsid w:val="000732DC"/>
    <w:rsid w:val="000743D9"/>
    <w:rsid w:val="000749CC"/>
    <w:rsid w:val="000759ED"/>
    <w:rsid w:val="00075ADD"/>
    <w:rsid w:val="00075BB7"/>
    <w:rsid w:val="00075EA4"/>
    <w:rsid w:val="00077252"/>
    <w:rsid w:val="00085828"/>
    <w:rsid w:val="00086003"/>
    <w:rsid w:val="000870C6"/>
    <w:rsid w:val="00090D74"/>
    <w:rsid w:val="000915EF"/>
    <w:rsid w:val="0009691D"/>
    <w:rsid w:val="000A02AC"/>
    <w:rsid w:val="000A1D8E"/>
    <w:rsid w:val="000A2685"/>
    <w:rsid w:val="000A594F"/>
    <w:rsid w:val="000A7AF5"/>
    <w:rsid w:val="000B1A0F"/>
    <w:rsid w:val="000B27EE"/>
    <w:rsid w:val="000B6E81"/>
    <w:rsid w:val="000B77D8"/>
    <w:rsid w:val="000B7E55"/>
    <w:rsid w:val="000C0622"/>
    <w:rsid w:val="000C0802"/>
    <w:rsid w:val="000C2BEA"/>
    <w:rsid w:val="000D0A78"/>
    <w:rsid w:val="000D2968"/>
    <w:rsid w:val="000D2A4A"/>
    <w:rsid w:val="000D398D"/>
    <w:rsid w:val="000D4185"/>
    <w:rsid w:val="000D68B5"/>
    <w:rsid w:val="000E1746"/>
    <w:rsid w:val="000E1A7A"/>
    <w:rsid w:val="000E2239"/>
    <w:rsid w:val="000E5F48"/>
    <w:rsid w:val="000F1877"/>
    <w:rsid w:val="000F4723"/>
    <w:rsid w:val="000F5A79"/>
    <w:rsid w:val="000F5C42"/>
    <w:rsid w:val="000F7A24"/>
    <w:rsid w:val="00100180"/>
    <w:rsid w:val="0010043F"/>
    <w:rsid w:val="00100891"/>
    <w:rsid w:val="00104576"/>
    <w:rsid w:val="00107608"/>
    <w:rsid w:val="00110436"/>
    <w:rsid w:val="00110D6F"/>
    <w:rsid w:val="001113F8"/>
    <w:rsid w:val="00112EC9"/>
    <w:rsid w:val="00114234"/>
    <w:rsid w:val="001172EB"/>
    <w:rsid w:val="001232B3"/>
    <w:rsid w:val="00124289"/>
    <w:rsid w:val="00125651"/>
    <w:rsid w:val="00126EF5"/>
    <w:rsid w:val="00131EB6"/>
    <w:rsid w:val="00137EBF"/>
    <w:rsid w:val="001402BA"/>
    <w:rsid w:val="0014105A"/>
    <w:rsid w:val="00141766"/>
    <w:rsid w:val="00141863"/>
    <w:rsid w:val="00142021"/>
    <w:rsid w:val="00143B86"/>
    <w:rsid w:val="001447B8"/>
    <w:rsid w:val="001462CE"/>
    <w:rsid w:val="001467FE"/>
    <w:rsid w:val="001503AB"/>
    <w:rsid w:val="00152108"/>
    <w:rsid w:val="00154EDA"/>
    <w:rsid w:val="00155611"/>
    <w:rsid w:val="0015581E"/>
    <w:rsid w:val="00155BBD"/>
    <w:rsid w:val="00157ED1"/>
    <w:rsid w:val="00164910"/>
    <w:rsid w:val="00170CA9"/>
    <w:rsid w:val="001716FD"/>
    <w:rsid w:val="00171A18"/>
    <w:rsid w:val="00173AD3"/>
    <w:rsid w:val="0017424E"/>
    <w:rsid w:val="001766DD"/>
    <w:rsid w:val="00181018"/>
    <w:rsid w:val="00184438"/>
    <w:rsid w:val="00185F26"/>
    <w:rsid w:val="0019120C"/>
    <w:rsid w:val="00193AC4"/>
    <w:rsid w:val="001973FF"/>
    <w:rsid w:val="001A46F2"/>
    <w:rsid w:val="001A4E93"/>
    <w:rsid w:val="001A6764"/>
    <w:rsid w:val="001A788C"/>
    <w:rsid w:val="001A7A1F"/>
    <w:rsid w:val="001B0D9C"/>
    <w:rsid w:val="001B1DCE"/>
    <w:rsid w:val="001B22CD"/>
    <w:rsid w:val="001B689D"/>
    <w:rsid w:val="001B6B34"/>
    <w:rsid w:val="001B6DF6"/>
    <w:rsid w:val="001C11D7"/>
    <w:rsid w:val="001C1CE9"/>
    <w:rsid w:val="001C1E89"/>
    <w:rsid w:val="001C554E"/>
    <w:rsid w:val="001D0016"/>
    <w:rsid w:val="001D00B2"/>
    <w:rsid w:val="001D2455"/>
    <w:rsid w:val="001D3D61"/>
    <w:rsid w:val="001E036D"/>
    <w:rsid w:val="001E1816"/>
    <w:rsid w:val="001E395A"/>
    <w:rsid w:val="001E3E78"/>
    <w:rsid w:val="001E5707"/>
    <w:rsid w:val="001E696A"/>
    <w:rsid w:val="001E7485"/>
    <w:rsid w:val="001F1E54"/>
    <w:rsid w:val="001F5A61"/>
    <w:rsid w:val="001F65C4"/>
    <w:rsid w:val="0020031E"/>
    <w:rsid w:val="00200CBB"/>
    <w:rsid w:val="00201087"/>
    <w:rsid w:val="00202B49"/>
    <w:rsid w:val="00203B3D"/>
    <w:rsid w:val="00204F30"/>
    <w:rsid w:val="002050D0"/>
    <w:rsid w:val="002070D0"/>
    <w:rsid w:val="00214EA5"/>
    <w:rsid w:val="0021614B"/>
    <w:rsid w:val="00217173"/>
    <w:rsid w:val="00217F80"/>
    <w:rsid w:val="00221A69"/>
    <w:rsid w:val="00221B58"/>
    <w:rsid w:val="00221FAC"/>
    <w:rsid w:val="0022424E"/>
    <w:rsid w:val="00226D15"/>
    <w:rsid w:val="00227335"/>
    <w:rsid w:val="00232C09"/>
    <w:rsid w:val="00236303"/>
    <w:rsid w:val="0023690B"/>
    <w:rsid w:val="00240D7F"/>
    <w:rsid w:val="002419B9"/>
    <w:rsid w:val="00246015"/>
    <w:rsid w:val="002466B8"/>
    <w:rsid w:val="00246F64"/>
    <w:rsid w:val="0025656E"/>
    <w:rsid w:val="0025715A"/>
    <w:rsid w:val="00262746"/>
    <w:rsid w:val="00263ED1"/>
    <w:rsid w:val="002658DF"/>
    <w:rsid w:val="00266C9A"/>
    <w:rsid w:val="00273E88"/>
    <w:rsid w:val="0027450B"/>
    <w:rsid w:val="00274724"/>
    <w:rsid w:val="00276221"/>
    <w:rsid w:val="002813F1"/>
    <w:rsid w:val="002815F1"/>
    <w:rsid w:val="0028243B"/>
    <w:rsid w:val="00283103"/>
    <w:rsid w:val="002837AF"/>
    <w:rsid w:val="0028709D"/>
    <w:rsid w:val="0028723F"/>
    <w:rsid w:val="00294B85"/>
    <w:rsid w:val="002A5CAD"/>
    <w:rsid w:val="002A5E59"/>
    <w:rsid w:val="002A6C4D"/>
    <w:rsid w:val="002B3757"/>
    <w:rsid w:val="002B3DDA"/>
    <w:rsid w:val="002B6868"/>
    <w:rsid w:val="002C12F5"/>
    <w:rsid w:val="002C5525"/>
    <w:rsid w:val="002C6EC2"/>
    <w:rsid w:val="002C7AA1"/>
    <w:rsid w:val="002C7DF2"/>
    <w:rsid w:val="002D1D9D"/>
    <w:rsid w:val="002D51F9"/>
    <w:rsid w:val="002E0464"/>
    <w:rsid w:val="002E2BEA"/>
    <w:rsid w:val="002E57E7"/>
    <w:rsid w:val="002E6649"/>
    <w:rsid w:val="002E69E2"/>
    <w:rsid w:val="002F0D1B"/>
    <w:rsid w:val="002F1ED5"/>
    <w:rsid w:val="002F4EB3"/>
    <w:rsid w:val="002F748D"/>
    <w:rsid w:val="002F7E55"/>
    <w:rsid w:val="003008A1"/>
    <w:rsid w:val="0030784A"/>
    <w:rsid w:val="00310880"/>
    <w:rsid w:val="003110C4"/>
    <w:rsid w:val="0031145E"/>
    <w:rsid w:val="00313758"/>
    <w:rsid w:val="00321B11"/>
    <w:rsid w:val="00321FF4"/>
    <w:rsid w:val="00322C7A"/>
    <w:rsid w:val="00323653"/>
    <w:rsid w:val="003329FD"/>
    <w:rsid w:val="00332FA9"/>
    <w:rsid w:val="00334436"/>
    <w:rsid w:val="003347A4"/>
    <w:rsid w:val="00337C35"/>
    <w:rsid w:val="00340E2F"/>
    <w:rsid w:val="00341530"/>
    <w:rsid w:val="00341880"/>
    <w:rsid w:val="00343366"/>
    <w:rsid w:val="0034350E"/>
    <w:rsid w:val="00344307"/>
    <w:rsid w:val="00344FF5"/>
    <w:rsid w:val="00345F38"/>
    <w:rsid w:val="0035180E"/>
    <w:rsid w:val="00364D0F"/>
    <w:rsid w:val="00365236"/>
    <w:rsid w:val="003657B6"/>
    <w:rsid w:val="00365A22"/>
    <w:rsid w:val="003723F0"/>
    <w:rsid w:val="00374160"/>
    <w:rsid w:val="00374C08"/>
    <w:rsid w:val="00375E2B"/>
    <w:rsid w:val="003767C2"/>
    <w:rsid w:val="00380862"/>
    <w:rsid w:val="003819C4"/>
    <w:rsid w:val="003847CA"/>
    <w:rsid w:val="003862EA"/>
    <w:rsid w:val="00387747"/>
    <w:rsid w:val="00390794"/>
    <w:rsid w:val="00392114"/>
    <w:rsid w:val="003924ED"/>
    <w:rsid w:val="00392F4E"/>
    <w:rsid w:val="00393922"/>
    <w:rsid w:val="00393F87"/>
    <w:rsid w:val="00396020"/>
    <w:rsid w:val="0039785E"/>
    <w:rsid w:val="003A0DAE"/>
    <w:rsid w:val="003A2D59"/>
    <w:rsid w:val="003A5989"/>
    <w:rsid w:val="003A6F81"/>
    <w:rsid w:val="003B0176"/>
    <w:rsid w:val="003B26DB"/>
    <w:rsid w:val="003B2842"/>
    <w:rsid w:val="003B36AD"/>
    <w:rsid w:val="003B49F6"/>
    <w:rsid w:val="003B5D2E"/>
    <w:rsid w:val="003C48FF"/>
    <w:rsid w:val="003C5DBE"/>
    <w:rsid w:val="003D4DD3"/>
    <w:rsid w:val="003D7B08"/>
    <w:rsid w:val="003E0FA4"/>
    <w:rsid w:val="003E2422"/>
    <w:rsid w:val="003E2D33"/>
    <w:rsid w:val="003E39C4"/>
    <w:rsid w:val="003E6937"/>
    <w:rsid w:val="003F0892"/>
    <w:rsid w:val="003F0ABF"/>
    <w:rsid w:val="003F1D9B"/>
    <w:rsid w:val="003F5D47"/>
    <w:rsid w:val="003F7418"/>
    <w:rsid w:val="003F7C0E"/>
    <w:rsid w:val="00400115"/>
    <w:rsid w:val="00401ECA"/>
    <w:rsid w:val="00403030"/>
    <w:rsid w:val="004035F1"/>
    <w:rsid w:val="0040370C"/>
    <w:rsid w:val="00404D06"/>
    <w:rsid w:val="00405286"/>
    <w:rsid w:val="00405344"/>
    <w:rsid w:val="00410396"/>
    <w:rsid w:val="00411561"/>
    <w:rsid w:val="0041262A"/>
    <w:rsid w:val="00412CFF"/>
    <w:rsid w:val="00415ABA"/>
    <w:rsid w:val="00416B4F"/>
    <w:rsid w:val="00417482"/>
    <w:rsid w:val="00417F47"/>
    <w:rsid w:val="00420A5E"/>
    <w:rsid w:val="0042107C"/>
    <w:rsid w:val="00421A3E"/>
    <w:rsid w:val="00423887"/>
    <w:rsid w:val="004257F8"/>
    <w:rsid w:val="004272E2"/>
    <w:rsid w:val="00431AB8"/>
    <w:rsid w:val="0043298C"/>
    <w:rsid w:val="00435609"/>
    <w:rsid w:val="00442C5B"/>
    <w:rsid w:val="00447FD9"/>
    <w:rsid w:val="00450988"/>
    <w:rsid w:val="0045463C"/>
    <w:rsid w:val="0045650C"/>
    <w:rsid w:val="00462418"/>
    <w:rsid w:val="00463466"/>
    <w:rsid w:val="0046383A"/>
    <w:rsid w:val="00465A81"/>
    <w:rsid w:val="00470E21"/>
    <w:rsid w:val="00474C8B"/>
    <w:rsid w:val="00480364"/>
    <w:rsid w:val="00482241"/>
    <w:rsid w:val="00484A30"/>
    <w:rsid w:val="00484BA0"/>
    <w:rsid w:val="00486FEE"/>
    <w:rsid w:val="0049078D"/>
    <w:rsid w:val="00491FDB"/>
    <w:rsid w:val="0049419E"/>
    <w:rsid w:val="0049472D"/>
    <w:rsid w:val="00496B42"/>
    <w:rsid w:val="004A2BD4"/>
    <w:rsid w:val="004A2CF3"/>
    <w:rsid w:val="004A550E"/>
    <w:rsid w:val="004A62B0"/>
    <w:rsid w:val="004A7193"/>
    <w:rsid w:val="004B0000"/>
    <w:rsid w:val="004B50CF"/>
    <w:rsid w:val="004B653D"/>
    <w:rsid w:val="004B6A6C"/>
    <w:rsid w:val="004C0283"/>
    <w:rsid w:val="004C1E17"/>
    <w:rsid w:val="004C3EE6"/>
    <w:rsid w:val="004C4BA3"/>
    <w:rsid w:val="004C651F"/>
    <w:rsid w:val="004D1DA4"/>
    <w:rsid w:val="004D1FBA"/>
    <w:rsid w:val="004D2353"/>
    <w:rsid w:val="004D7A59"/>
    <w:rsid w:val="004E0251"/>
    <w:rsid w:val="004E2261"/>
    <w:rsid w:val="004E25DE"/>
    <w:rsid w:val="004E369B"/>
    <w:rsid w:val="004E5408"/>
    <w:rsid w:val="004E612B"/>
    <w:rsid w:val="004E6814"/>
    <w:rsid w:val="004E7A18"/>
    <w:rsid w:val="004F1099"/>
    <w:rsid w:val="004F10BB"/>
    <w:rsid w:val="004F1844"/>
    <w:rsid w:val="004F1F1E"/>
    <w:rsid w:val="004F21C7"/>
    <w:rsid w:val="004F2C34"/>
    <w:rsid w:val="004F343A"/>
    <w:rsid w:val="004F436B"/>
    <w:rsid w:val="004F5079"/>
    <w:rsid w:val="004F57BD"/>
    <w:rsid w:val="0050027D"/>
    <w:rsid w:val="005012B2"/>
    <w:rsid w:val="00501CEF"/>
    <w:rsid w:val="00503312"/>
    <w:rsid w:val="0050344F"/>
    <w:rsid w:val="00505620"/>
    <w:rsid w:val="005073DE"/>
    <w:rsid w:val="0050776E"/>
    <w:rsid w:val="005121A7"/>
    <w:rsid w:val="00513C1E"/>
    <w:rsid w:val="005142BA"/>
    <w:rsid w:val="00515DCF"/>
    <w:rsid w:val="005234F3"/>
    <w:rsid w:val="00523E6C"/>
    <w:rsid w:val="00531A73"/>
    <w:rsid w:val="0053285C"/>
    <w:rsid w:val="0053458D"/>
    <w:rsid w:val="005428E1"/>
    <w:rsid w:val="00543A1A"/>
    <w:rsid w:val="00544EE4"/>
    <w:rsid w:val="00545609"/>
    <w:rsid w:val="0054648D"/>
    <w:rsid w:val="00546E83"/>
    <w:rsid w:val="005519D1"/>
    <w:rsid w:val="0055399D"/>
    <w:rsid w:val="00553D70"/>
    <w:rsid w:val="0055697D"/>
    <w:rsid w:val="005571CA"/>
    <w:rsid w:val="00562B87"/>
    <w:rsid w:val="00567D97"/>
    <w:rsid w:val="00570D78"/>
    <w:rsid w:val="00571C51"/>
    <w:rsid w:val="005756E8"/>
    <w:rsid w:val="00575947"/>
    <w:rsid w:val="005763B7"/>
    <w:rsid w:val="005772D8"/>
    <w:rsid w:val="00577A4E"/>
    <w:rsid w:val="00582688"/>
    <w:rsid w:val="00582E5C"/>
    <w:rsid w:val="0058329C"/>
    <w:rsid w:val="0058539A"/>
    <w:rsid w:val="005861AD"/>
    <w:rsid w:val="00594DE7"/>
    <w:rsid w:val="00595691"/>
    <w:rsid w:val="00596AD5"/>
    <w:rsid w:val="005974D6"/>
    <w:rsid w:val="005A014F"/>
    <w:rsid w:val="005A0AAB"/>
    <w:rsid w:val="005A1D3F"/>
    <w:rsid w:val="005A48A4"/>
    <w:rsid w:val="005B1325"/>
    <w:rsid w:val="005B1328"/>
    <w:rsid w:val="005B2AEE"/>
    <w:rsid w:val="005B2DBF"/>
    <w:rsid w:val="005B3084"/>
    <w:rsid w:val="005B3C4B"/>
    <w:rsid w:val="005B45AD"/>
    <w:rsid w:val="005B525A"/>
    <w:rsid w:val="005B7F13"/>
    <w:rsid w:val="005C1B19"/>
    <w:rsid w:val="005C43C8"/>
    <w:rsid w:val="005C6C7C"/>
    <w:rsid w:val="005C7AE6"/>
    <w:rsid w:val="005D254A"/>
    <w:rsid w:val="005D3325"/>
    <w:rsid w:val="005D4EE7"/>
    <w:rsid w:val="005E1552"/>
    <w:rsid w:val="005E28E5"/>
    <w:rsid w:val="005E72C1"/>
    <w:rsid w:val="005E79CF"/>
    <w:rsid w:val="005E7AFB"/>
    <w:rsid w:val="005F0693"/>
    <w:rsid w:val="005F22B8"/>
    <w:rsid w:val="005F26AA"/>
    <w:rsid w:val="0060017F"/>
    <w:rsid w:val="00600633"/>
    <w:rsid w:val="006006DB"/>
    <w:rsid w:val="00601694"/>
    <w:rsid w:val="00603C7C"/>
    <w:rsid w:val="006079AC"/>
    <w:rsid w:val="006155EF"/>
    <w:rsid w:val="00620B31"/>
    <w:rsid w:val="00623661"/>
    <w:rsid w:val="006241D6"/>
    <w:rsid w:val="006311A5"/>
    <w:rsid w:val="0063603E"/>
    <w:rsid w:val="006379C6"/>
    <w:rsid w:val="00637C73"/>
    <w:rsid w:val="0064175F"/>
    <w:rsid w:val="00644523"/>
    <w:rsid w:val="006457B3"/>
    <w:rsid w:val="006508B2"/>
    <w:rsid w:val="00651BD8"/>
    <w:rsid w:val="006559F7"/>
    <w:rsid w:val="00660D80"/>
    <w:rsid w:val="00660ED1"/>
    <w:rsid w:val="00661AA5"/>
    <w:rsid w:val="00662437"/>
    <w:rsid w:val="0066315B"/>
    <w:rsid w:val="00670498"/>
    <w:rsid w:val="00673D33"/>
    <w:rsid w:val="00673FFE"/>
    <w:rsid w:val="0067479B"/>
    <w:rsid w:val="006751D9"/>
    <w:rsid w:val="0067556D"/>
    <w:rsid w:val="006757AA"/>
    <w:rsid w:val="006775ED"/>
    <w:rsid w:val="006803F7"/>
    <w:rsid w:val="00680B76"/>
    <w:rsid w:val="00685C4B"/>
    <w:rsid w:val="00687E24"/>
    <w:rsid w:val="00694147"/>
    <w:rsid w:val="00696759"/>
    <w:rsid w:val="0069756A"/>
    <w:rsid w:val="006A0399"/>
    <w:rsid w:val="006A0555"/>
    <w:rsid w:val="006A5702"/>
    <w:rsid w:val="006A62CF"/>
    <w:rsid w:val="006A6C26"/>
    <w:rsid w:val="006A7044"/>
    <w:rsid w:val="006B3CE1"/>
    <w:rsid w:val="006B51D3"/>
    <w:rsid w:val="006B52A3"/>
    <w:rsid w:val="006B786B"/>
    <w:rsid w:val="006C050F"/>
    <w:rsid w:val="006D7E60"/>
    <w:rsid w:val="006E004D"/>
    <w:rsid w:val="006E15CD"/>
    <w:rsid w:val="006E3AC7"/>
    <w:rsid w:val="006E3F54"/>
    <w:rsid w:val="006E5F13"/>
    <w:rsid w:val="006E779C"/>
    <w:rsid w:val="006F13B0"/>
    <w:rsid w:val="00701F2A"/>
    <w:rsid w:val="00702099"/>
    <w:rsid w:val="00702102"/>
    <w:rsid w:val="007035A6"/>
    <w:rsid w:val="00703733"/>
    <w:rsid w:val="00707851"/>
    <w:rsid w:val="007156DB"/>
    <w:rsid w:val="00722612"/>
    <w:rsid w:val="00722663"/>
    <w:rsid w:val="00722FAE"/>
    <w:rsid w:val="007235F2"/>
    <w:rsid w:val="00723B76"/>
    <w:rsid w:val="00723CEE"/>
    <w:rsid w:val="00723F6B"/>
    <w:rsid w:val="00727BC7"/>
    <w:rsid w:val="00736A9F"/>
    <w:rsid w:val="00742742"/>
    <w:rsid w:val="00742CAB"/>
    <w:rsid w:val="00745652"/>
    <w:rsid w:val="00747D87"/>
    <w:rsid w:val="00750BA3"/>
    <w:rsid w:val="007518A7"/>
    <w:rsid w:val="00752A91"/>
    <w:rsid w:val="00756AA1"/>
    <w:rsid w:val="00757E7E"/>
    <w:rsid w:val="0076148C"/>
    <w:rsid w:val="00764AD9"/>
    <w:rsid w:val="007678AF"/>
    <w:rsid w:val="00771FF0"/>
    <w:rsid w:val="0077240E"/>
    <w:rsid w:val="0077395A"/>
    <w:rsid w:val="0078125C"/>
    <w:rsid w:val="00784053"/>
    <w:rsid w:val="0078580B"/>
    <w:rsid w:val="007870AB"/>
    <w:rsid w:val="00794E19"/>
    <w:rsid w:val="007A2DBC"/>
    <w:rsid w:val="007A45D3"/>
    <w:rsid w:val="007A49E0"/>
    <w:rsid w:val="007A4D4B"/>
    <w:rsid w:val="007A54BE"/>
    <w:rsid w:val="007B09F5"/>
    <w:rsid w:val="007B1394"/>
    <w:rsid w:val="007B667E"/>
    <w:rsid w:val="007B6C17"/>
    <w:rsid w:val="007B7253"/>
    <w:rsid w:val="007C2BA2"/>
    <w:rsid w:val="007C6C99"/>
    <w:rsid w:val="007D09C4"/>
    <w:rsid w:val="007D2F68"/>
    <w:rsid w:val="007D40CE"/>
    <w:rsid w:val="007D5E7D"/>
    <w:rsid w:val="007D5E95"/>
    <w:rsid w:val="007E63D2"/>
    <w:rsid w:val="007E6E37"/>
    <w:rsid w:val="007E7A70"/>
    <w:rsid w:val="007F116E"/>
    <w:rsid w:val="007F2418"/>
    <w:rsid w:val="007F47DD"/>
    <w:rsid w:val="007F4FA5"/>
    <w:rsid w:val="007F503B"/>
    <w:rsid w:val="00800AE8"/>
    <w:rsid w:val="008050CF"/>
    <w:rsid w:val="008079CC"/>
    <w:rsid w:val="00807C45"/>
    <w:rsid w:val="008107C5"/>
    <w:rsid w:val="0081318F"/>
    <w:rsid w:val="00814BDE"/>
    <w:rsid w:val="00816EFF"/>
    <w:rsid w:val="00817078"/>
    <w:rsid w:val="00817649"/>
    <w:rsid w:val="008178C2"/>
    <w:rsid w:val="0082054A"/>
    <w:rsid w:val="00824855"/>
    <w:rsid w:val="00827C7C"/>
    <w:rsid w:val="008309FA"/>
    <w:rsid w:val="00831DB2"/>
    <w:rsid w:val="008327BA"/>
    <w:rsid w:val="008337E4"/>
    <w:rsid w:val="00834BFA"/>
    <w:rsid w:val="00834F0D"/>
    <w:rsid w:val="00835975"/>
    <w:rsid w:val="00835E66"/>
    <w:rsid w:val="00836AA3"/>
    <w:rsid w:val="0084462C"/>
    <w:rsid w:val="00845058"/>
    <w:rsid w:val="00847564"/>
    <w:rsid w:val="00847A27"/>
    <w:rsid w:val="00847B7C"/>
    <w:rsid w:val="00851365"/>
    <w:rsid w:val="0085232F"/>
    <w:rsid w:val="0085242F"/>
    <w:rsid w:val="00855BC3"/>
    <w:rsid w:val="00856B0D"/>
    <w:rsid w:val="00857F72"/>
    <w:rsid w:val="0086175A"/>
    <w:rsid w:val="00862CE8"/>
    <w:rsid w:val="0086749E"/>
    <w:rsid w:val="00867E34"/>
    <w:rsid w:val="00867F64"/>
    <w:rsid w:val="00871E78"/>
    <w:rsid w:val="0087370C"/>
    <w:rsid w:val="0087567A"/>
    <w:rsid w:val="00875D2B"/>
    <w:rsid w:val="008762E2"/>
    <w:rsid w:val="008778DC"/>
    <w:rsid w:val="008829EB"/>
    <w:rsid w:val="0088363B"/>
    <w:rsid w:val="008865F4"/>
    <w:rsid w:val="00896F5C"/>
    <w:rsid w:val="008A27F4"/>
    <w:rsid w:val="008A5A12"/>
    <w:rsid w:val="008B0265"/>
    <w:rsid w:val="008B19D4"/>
    <w:rsid w:val="008B23BA"/>
    <w:rsid w:val="008B24A8"/>
    <w:rsid w:val="008B2BB5"/>
    <w:rsid w:val="008B40EB"/>
    <w:rsid w:val="008B4B5D"/>
    <w:rsid w:val="008B7291"/>
    <w:rsid w:val="008C0BA5"/>
    <w:rsid w:val="008C294D"/>
    <w:rsid w:val="008C50EA"/>
    <w:rsid w:val="008C5130"/>
    <w:rsid w:val="008C5D85"/>
    <w:rsid w:val="008D13C1"/>
    <w:rsid w:val="008D16B0"/>
    <w:rsid w:val="008D1B48"/>
    <w:rsid w:val="008D1BA2"/>
    <w:rsid w:val="008D6DCE"/>
    <w:rsid w:val="008E18A1"/>
    <w:rsid w:val="008E2F20"/>
    <w:rsid w:val="008E4FF7"/>
    <w:rsid w:val="008F36C5"/>
    <w:rsid w:val="008F36DD"/>
    <w:rsid w:val="008F4FF3"/>
    <w:rsid w:val="008F54F3"/>
    <w:rsid w:val="00902DA1"/>
    <w:rsid w:val="00902F29"/>
    <w:rsid w:val="00905365"/>
    <w:rsid w:val="009068D3"/>
    <w:rsid w:val="009115ED"/>
    <w:rsid w:val="00912C1A"/>
    <w:rsid w:val="0091533C"/>
    <w:rsid w:val="00915BE0"/>
    <w:rsid w:val="00920D4B"/>
    <w:rsid w:val="00922654"/>
    <w:rsid w:val="0092284A"/>
    <w:rsid w:val="009243BB"/>
    <w:rsid w:val="00924864"/>
    <w:rsid w:val="00931DD6"/>
    <w:rsid w:val="00933977"/>
    <w:rsid w:val="00935ABF"/>
    <w:rsid w:val="00935CC3"/>
    <w:rsid w:val="009363E4"/>
    <w:rsid w:val="009420F2"/>
    <w:rsid w:val="00945382"/>
    <w:rsid w:val="00945763"/>
    <w:rsid w:val="009502A8"/>
    <w:rsid w:val="00952903"/>
    <w:rsid w:val="00952D2A"/>
    <w:rsid w:val="009537D3"/>
    <w:rsid w:val="00953B4A"/>
    <w:rsid w:val="00953FA6"/>
    <w:rsid w:val="009546A9"/>
    <w:rsid w:val="00957192"/>
    <w:rsid w:val="00963928"/>
    <w:rsid w:val="009643D0"/>
    <w:rsid w:val="00964F7E"/>
    <w:rsid w:val="00967C3B"/>
    <w:rsid w:val="00970175"/>
    <w:rsid w:val="00971342"/>
    <w:rsid w:val="00974207"/>
    <w:rsid w:val="0097433E"/>
    <w:rsid w:val="00974DA0"/>
    <w:rsid w:val="00975E50"/>
    <w:rsid w:val="00977C06"/>
    <w:rsid w:val="00977DB3"/>
    <w:rsid w:val="00981212"/>
    <w:rsid w:val="0098275E"/>
    <w:rsid w:val="00983148"/>
    <w:rsid w:val="00984D35"/>
    <w:rsid w:val="00990332"/>
    <w:rsid w:val="00993B48"/>
    <w:rsid w:val="00995BA2"/>
    <w:rsid w:val="00996723"/>
    <w:rsid w:val="009978BD"/>
    <w:rsid w:val="009A2602"/>
    <w:rsid w:val="009A4252"/>
    <w:rsid w:val="009A5BD9"/>
    <w:rsid w:val="009A5FB3"/>
    <w:rsid w:val="009A665F"/>
    <w:rsid w:val="009A6955"/>
    <w:rsid w:val="009B08A4"/>
    <w:rsid w:val="009B2568"/>
    <w:rsid w:val="009B3096"/>
    <w:rsid w:val="009B5060"/>
    <w:rsid w:val="009B66AB"/>
    <w:rsid w:val="009C04E6"/>
    <w:rsid w:val="009C1A88"/>
    <w:rsid w:val="009C24BA"/>
    <w:rsid w:val="009D0363"/>
    <w:rsid w:val="009D0E67"/>
    <w:rsid w:val="009D16A6"/>
    <w:rsid w:val="009D24BF"/>
    <w:rsid w:val="009E243D"/>
    <w:rsid w:val="009E33E7"/>
    <w:rsid w:val="009E464C"/>
    <w:rsid w:val="009F152B"/>
    <w:rsid w:val="009F4990"/>
    <w:rsid w:val="009F6256"/>
    <w:rsid w:val="009F7E69"/>
    <w:rsid w:val="00A00E26"/>
    <w:rsid w:val="00A047A9"/>
    <w:rsid w:val="00A07E68"/>
    <w:rsid w:val="00A14F89"/>
    <w:rsid w:val="00A16857"/>
    <w:rsid w:val="00A17664"/>
    <w:rsid w:val="00A17A74"/>
    <w:rsid w:val="00A22D45"/>
    <w:rsid w:val="00A24D5F"/>
    <w:rsid w:val="00A25819"/>
    <w:rsid w:val="00A25AA7"/>
    <w:rsid w:val="00A26F55"/>
    <w:rsid w:val="00A30274"/>
    <w:rsid w:val="00A302CC"/>
    <w:rsid w:val="00A34838"/>
    <w:rsid w:val="00A35756"/>
    <w:rsid w:val="00A3624F"/>
    <w:rsid w:val="00A3674D"/>
    <w:rsid w:val="00A36C7C"/>
    <w:rsid w:val="00A377EF"/>
    <w:rsid w:val="00A40597"/>
    <w:rsid w:val="00A42337"/>
    <w:rsid w:val="00A459B2"/>
    <w:rsid w:val="00A47DF2"/>
    <w:rsid w:val="00A50417"/>
    <w:rsid w:val="00A50A4F"/>
    <w:rsid w:val="00A51370"/>
    <w:rsid w:val="00A515A6"/>
    <w:rsid w:val="00A601B7"/>
    <w:rsid w:val="00A61BD2"/>
    <w:rsid w:val="00A62BAF"/>
    <w:rsid w:val="00A660E2"/>
    <w:rsid w:val="00A663D6"/>
    <w:rsid w:val="00A66F74"/>
    <w:rsid w:val="00A80095"/>
    <w:rsid w:val="00A8095D"/>
    <w:rsid w:val="00A80D21"/>
    <w:rsid w:val="00A818CE"/>
    <w:rsid w:val="00A81DB7"/>
    <w:rsid w:val="00A851B0"/>
    <w:rsid w:val="00A87E14"/>
    <w:rsid w:val="00A936AD"/>
    <w:rsid w:val="00A940F8"/>
    <w:rsid w:val="00A94986"/>
    <w:rsid w:val="00AA3799"/>
    <w:rsid w:val="00AA3B0D"/>
    <w:rsid w:val="00AA4D12"/>
    <w:rsid w:val="00AA4FFE"/>
    <w:rsid w:val="00AA549E"/>
    <w:rsid w:val="00AA6036"/>
    <w:rsid w:val="00AA628E"/>
    <w:rsid w:val="00AB23A8"/>
    <w:rsid w:val="00AB3BB7"/>
    <w:rsid w:val="00AC1396"/>
    <w:rsid w:val="00AC4BE7"/>
    <w:rsid w:val="00AC6805"/>
    <w:rsid w:val="00AD442E"/>
    <w:rsid w:val="00AD518B"/>
    <w:rsid w:val="00AD7A0D"/>
    <w:rsid w:val="00AE16BE"/>
    <w:rsid w:val="00AE3E3F"/>
    <w:rsid w:val="00AE3EBF"/>
    <w:rsid w:val="00AE4D3A"/>
    <w:rsid w:val="00AE5857"/>
    <w:rsid w:val="00AE76DD"/>
    <w:rsid w:val="00B001B9"/>
    <w:rsid w:val="00B01CB4"/>
    <w:rsid w:val="00B03DC2"/>
    <w:rsid w:val="00B0695B"/>
    <w:rsid w:val="00B06CF0"/>
    <w:rsid w:val="00B12A71"/>
    <w:rsid w:val="00B14920"/>
    <w:rsid w:val="00B14A08"/>
    <w:rsid w:val="00B235DE"/>
    <w:rsid w:val="00B236AF"/>
    <w:rsid w:val="00B23E94"/>
    <w:rsid w:val="00B23F2C"/>
    <w:rsid w:val="00B310A5"/>
    <w:rsid w:val="00B31622"/>
    <w:rsid w:val="00B3168C"/>
    <w:rsid w:val="00B32104"/>
    <w:rsid w:val="00B32467"/>
    <w:rsid w:val="00B3490A"/>
    <w:rsid w:val="00B4065F"/>
    <w:rsid w:val="00B41BAF"/>
    <w:rsid w:val="00B43619"/>
    <w:rsid w:val="00B43AA4"/>
    <w:rsid w:val="00B4446B"/>
    <w:rsid w:val="00B456B0"/>
    <w:rsid w:val="00B46A5A"/>
    <w:rsid w:val="00B46FEB"/>
    <w:rsid w:val="00B515BA"/>
    <w:rsid w:val="00B6494F"/>
    <w:rsid w:val="00B678C8"/>
    <w:rsid w:val="00B70407"/>
    <w:rsid w:val="00B730E1"/>
    <w:rsid w:val="00B7436A"/>
    <w:rsid w:val="00B745EA"/>
    <w:rsid w:val="00B748A4"/>
    <w:rsid w:val="00B74B58"/>
    <w:rsid w:val="00B764B9"/>
    <w:rsid w:val="00B77225"/>
    <w:rsid w:val="00B77D33"/>
    <w:rsid w:val="00B800EA"/>
    <w:rsid w:val="00B810A9"/>
    <w:rsid w:val="00B81E5B"/>
    <w:rsid w:val="00B83755"/>
    <w:rsid w:val="00B87682"/>
    <w:rsid w:val="00B90250"/>
    <w:rsid w:val="00B91473"/>
    <w:rsid w:val="00BA18B6"/>
    <w:rsid w:val="00BA1A59"/>
    <w:rsid w:val="00BA53DB"/>
    <w:rsid w:val="00BA63DD"/>
    <w:rsid w:val="00BA64A2"/>
    <w:rsid w:val="00BB0FD9"/>
    <w:rsid w:val="00BB19E7"/>
    <w:rsid w:val="00BB28CB"/>
    <w:rsid w:val="00BB7909"/>
    <w:rsid w:val="00BC3262"/>
    <w:rsid w:val="00BC58B7"/>
    <w:rsid w:val="00BC66A9"/>
    <w:rsid w:val="00BC71E0"/>
    <w:rsid w:val="00BD044F"/>
    <w:rsid w:val="00BD0A7C"/>
    <w:rsid w:val="00BD0B61"/>
    <w:rsid w:val="00BD1607"/>
    <w:rsid w:val="00BD3B96"/>
    <w:rsid w:val="00BD49BC"/>
    <w:rsid w:val="00BD4DC3"/>
    <w:rsid w:val="00BD6CEC"/>
    <w:rsid w:val="00BE0860"/>
    <w:rsid w:val="00BE0BD5"/>
    <w:rsid w:val="00BE1579"/>
    <w:rsid w:val="00BE4659"/>
    <w:rsid w:val="00BE49D4"/>
    <w:rsid w:val="00BE58FC"/>
    <w:rsid w:val="00BE59B7"/>
    <w:rsid w:val="00BF0D66"/>
    <w:rsid w:val="00BF0DE3"/>
    <w:rsid w:val="00BF0F2B"/>
    <w:rsid w:val="00BF28ED"/>
    <w:rsid w:val="00BF2B12"/>
    <w:rsid w:val="00BF2F97"/>
    <w:rsid w:val="00BF385A"/>
    <w:rsid w:val="00BF43C4"/>
    <w:rsid w:val="00BF6019"/>
    <w:rsid w:val="00BF6750"/>
    <w:rsid w:val="00C03B2C"/>
    <w:rsid w:val="00C05450"/>
    <w:rsid w:val="00C119B8"/>
    <w:rsid w:val="00C12A20"/>
    <w:rsid w:val="00C14C94"/>
    <w:rsid w:val="00C163AE"/>
    <w:rsid w:val="00C219EF"/>
    <w:rsid w:val="00C221A9"/>
    <w:rsid w:val="00C244D8"/>
    <w:rsid w:val="00C271F6"/>
    <w:rsid w:val="00C276B1"/>
    <w:rsid w:val="00C324CE"/>
    <w:rsid w:val="00C3381E"/>
    <w:rsid w:val="00C37E5F"/>
    <w:rsid w:val="00C37E83"/>
    <w:rsid w:val="00C43EB1"/>
    <w:rsid w:val="00C44D07"/>
    <w:rsid w:val="00C45B21"/>
    <w:rsid w:val="00C46C89"/>
    <w:rsid w:val="00C50BA2"/>
    <w:rsid w:val="00C518CC"/>
    <w:rsid w:val="00C5260F"/>
    <w:rsid w:val="00C528E6"/>
    <w:rsid w:val="00C53D9F"/>
    <w:rsid w:val="00C540BA"/>
    <w:rsid w:val="00C54CBA"/>
    <w:rsid w:val="00C54FA1"/>
    <w:rsid w:val="00C60251"/>
    <w:rsid w:val="00C60E5E"/>
    <w:rsid w:val="00C62300"/>
    <w:rsid w:val="00C66862"/>
    <w:rsid w:val="00C66870"/>
    <w:rsid w:val="00C66A92"/>
    <w:rsid w:val="00C67442"/>
    <w:rsid w:val="00C734C4"/>
    <w:rsid w:val="00C80FD9"/>
    <w:rsid w:val="00C82F5D"/>
    <w:rsid w:val="00C8339B"/>
    <w:rsid w:val="00C8461F"/>
    <w:rsid w:val="00C92007"/>
    <w:rsid w:val="00C92D91"/>
    <w:rsid w:val="00C945C7"/>
    <w:rsid w:val="00C95BDB"/>
    <w:rsid w:val="00C9629C"/>
    <w:rsid w:val="00C97588"/>
    <w:rsid w:val="00CA1BC1"/>
    <w:rsid w:val="00CA2FDC"/>
    <w:rsid w:val="00CA3870"/>
    <w:rsid w:val="00CA3D93"/>
    <w:rsid w:val="00CA5085"/>
    <w:rsid w:val="00CA70A8"/>
    <w:rsid w:val="00CB3280"/>
    <w:rsid w:val="00CB4538"/>
    <w:rsid w:val="00CB648F"/>
    <w:rsid w:val="00CB6579"/>
    <w:rsid w:val="00CB6850"/>
    <w:rsid w:val="00CB7478"/>
    <w:rsid w:val="00CC1700"/>
    <w:rsid w:val="00CC1F61"/>
    <w:rsid w:val="00CC5DDF"/>
    <w:rsid w:val="00CC5EB2"/>
    <w:rsid w:val="00CC64DE"/>
    <w:rsid w:val="00CC6661"/>
    <w:rsid w:val="00CD71E6"/>
    <w:rsid w:val="00CE3431"/>
    <w:rsid w:val="00CE4F69"/>
    <w:rsid w:val="00CE6F2A"/>
    <w:rsid w:val="00CF277E"/>
    <w:rsid w:val="00CF73B3"/>
    <w:rsid w:val="00D02029"/>
    <w:rsid w:val="00D02B47"/>
    <w:rsid w:val="00D02EEF"/>
    <w:rsid w:val="00D06494"/>
    <w:rsid w:val="00D10AD8"/>
    <w:rsid w:val="00D114D8"/>
    <w:rsid w:val="00D21B0B"/>
    <w:rsid w:val="00D22B1F"/>
    <w:rsid w:val="00D26CC8"/>
    <w:rsid w:val="00D272EC"/>
    <w:rsid w:val="00D27DB0"/>
    <w:rsid w:val="00D304EF"/>
    <w:rsid w:val="00D30D21"/>
    <w:rsid w:val="00D3408A"/>
    <w:rsid w:val="00D35720"/>
    <w:rsid w:val="00D3653C"/>
    <w:rsid w:val="00D36CDA"/>
    <w:rsid w:val="00D42D68"/>
    <w:rsid w:val="00D5030C"/>
    <w:rsid w:val="00D51F6A"/>
    <w:rsid w:val="00D52FD8"/>
    <w:rsid w:val="00D62DA8"/>
    <w:rsid w:val="00D673A7"/>
    <w:rsid w:val="00D67DC9"/>
    <w:rsid w:val="00D70EB6"/>
    <w:rsid w:val="00D72A65"/>
    <w:rsid w:val="00D730F4"/>
    <w:rsid w:val="00D73CA2"/>
    <w:rsid w:val="00D746B9"/>
    <w:rsid w:val="00D759F5"/>
    <w:rsid w:val="00D7693C"/>
    <w:rsid w:val="00D85229"/>
    <w:rsid w:val="00D87C63"/>
    <w:rsid w:val="00D9281D"/>
    <w:rsid w:val="00D95395"/>
    <w:rsid w:val="00D96522"/>
    <w:rsid w:val="00D97600"/>
    <w:rsid w:val="00D9789D"/>
    <w:rsid w:val="00DA0398"/>
    <w:rsid w:val="00DA0706"/>
    <w:rsid w:val="00DA18FC"/>
    <w:rsid w:val="00DA3637"/>
    <w:rsid w:val="00DA40FD"/>
    <w:rsid w:val="00DA5184"/>
    <w:rsid w:val="00DA6207"/>
    <w:rsid w:val="00DB043A"/>
    <w:rsid w:val="00DB0EBE"/>
    <w:rsid w:val="00DB2861"/>
    <w:rsid w:val="00DB461D"/>
    <w:rsid w:val="00DB55D2"/>
    <w:rsid w:val="00DB5D74"/>
    <w:rsid w:val="00DC41BD"/>
    <w:rsid w:val="00DC4EEF"/>
    <w:rsid w:val="00DC52FA"/>
    <w:rsid w:val="00DC59D0"/>
    <w:rsid w:val="00DC63D0"/>
    <w:rsid w:val="00DC6EF5"/>
    <w:rsid w:val="00DD0DF8"/>
    <w:rsid w:val="00DD2F5F"/>
    <w:rsid w:val="00DD417A"/>
    <w:rsid w:val="00DE0E31"/>
    <w:rsid w:val="00DE3D90"/>
    <w:rsid w:val="00DE416C"/>
    <w:rsid w:val="00DE5429"/>
    <w:rsid w:val="00DE7956"/>
    <w:rsid w:val="00DE7D11"/>
    <w:rsid w:val="00DF1053"/>
    <w:rsid w:val="00DF3A1C"/>
    <w:rsid w:val="00DF4536"/>
    <w:rsid w:val="00DF5A85"/>
    <w:rsid w:val="00E04352"/>
    <w:rsid w:val="00E04715"/>
    <w:rsid w:val="00E053E8"/>
    <w:rsid w:val="00E05D2F"/>
    <w:rsid w:val="00E06EEA"/>
    <w:rsid w:val="00E07E68"/>
    <w:rsid w:val="00E11B7D"/>
    <w:rsid w:val="00E124E0"/>
    <w:rsid w:val="00E15D68"/>
    <w:rsid w:val="00E16825"/>
    <w:rsid w:val="00E16986"/>
    <w:rsid w:val="00E22345"/>
    <w:rsid w:val="00E23C58"/>
    <w:rsid w:val="00E27510"/>
    <w:rsid w:val="00E275A4"/>
    <w:rsid w:val="00E30743"/>
    <w:rsid w:val="00E30B4F"/>
    <w:rsid w:val="00E3299F"/>
    <w:rsid w:val="00E339FB"/>
    <w:rsid w:val="00E33B0A"/>
    <w:rsid w:val="00E3519D"/>
    <w:rsid w:val="00E40075"/>
    <w:rsid w:val="00E40F02"/>
    <w:rsid w:val="00E40F77"/>
    <w:rsid w:val="00E41EAC"/>
    <w:rsid w:val="00E439E3"/>
    <w:rsid w:val="00E44A5B"/>
    <w:rsid w:val="00E52BD0"/>
    <w:rsid w:val="00E52EA0"/>
    <w:rsid w:val="00E52F49"/>
    <w:rsid w:val="00E54C3E"/>
    <w:rsid w:val="00E55D0D"/>
    <w:rsid w:val="00E565BA"/>
    <w:rsid w:val="00E56923"/>
    <w:rsid w:val="00E631C4"/>
    <w:rsid w:val="00E63724"/>
    <w:rsid w:val="00E642FE"/>
    <w:rsid w:val="00E65597"/>
    <w:rsid w:val="00E66599"/>
    <w:rsid w:val="00E67958"/>
    <w:rsid w:val="00E679FA"/>
    <w:rsid w:val="00E7234A"/>
    <w:rsid w:val="00E73ABD"/>
    <w:rsid w:val="00E73D2C"/>
    <w:rsid w:val="00E75D83"/>
    <w:rsid w:val="00E75E70"/>
    <w:rsid w:val="00E81C60"/>
    <w:rsid w:val="00E8257D"/>
    <w:rsid w:val="00E82AF6"/>
    <w:rsid w:val="00E84022"/>
    <w:rsid w:val="00E8684F"/>
    <w:rsid w:val="00E86EDA"/>
    <w:rsid w:val="00E87BC2"/>
    <w:rsid w:val="00E917B8"/>
    <w:rsid w:val="00E923DE"/>
    <w:rsid w:val="00E92B3B"/>
    <w:rsid w:val="00E962FA"/>
    <w:rsid w:val="00E9640D"/>
    <w:rsid w:val="00EA0C8F"/>
    <w:rsid w:val="00EA1C12"/>
    <w:rsid w:val="00EA2CB0"/>
    <w:rsid w:val="00EA345B"/>
    <w:rsid w:val="00EA3E4E"/>
    <w:rsid w:val="00EA5F14"/>
    <w:rsid w:val="00EA63D9"/>
    <w:rsid w:val="00EA6D42"/>
    <w:rsid w:val="00EB1AC3"/>
    <w:rsid w:val="00EB3197"/>
    <w:rsid w:val="00EB371A"/>
    <w:rsid w:val="00EB53B8"/>
    <w:rsid w:val="00EB587F"/>
    <w:rsid w:val="00EC10AB"/>
    <w:rsid w:val="00EC3BF8"/>
    <w:rsid w:val="00EC3CB9"/>
    <w:rsid w:val="00EC545D"/>
    <w:rsid w:val="00EC56F6"/>
    <w:rsid w:val="00EC6CD7"/>
    <w:rsid w:val="00EC7D80"/>
    <w:rsid w:val="00ED1D45"/>
    <w:rsid w:val="00ED1E5E"/>
    <w:rsid w:val="00ED2768"/>
    <w:rsid w:val="00ED3383"/>
    <w:rsid w:val="00EE05D4"/>
    <w:rsid w:val="00EE1197"/>
    <w:rsid w:val="00EE6284"/>
    <w:rsid w:val="00EE6333"/>
    <w:rsid w:val="00EE6FE2"/>
    <w:rsid w:val="00EF780B"/>
    <w:rsid w:val="00EF78E6"/>
    <w:rsid w:val="00F01430"/>
    <w:rsid w:val="00F03BF4"/>
    <w:rsid w:val="00F07160"/>
    <w:rsid w:val="00F110E9"/>
    <w:rsid w:val="00F12923"/>
    <w:rsid w:val="00F1355E"/>
    <w:rsid w:val="00F13639"/>
    <w:rsid w:val="00F150A2"/>
    <w:rsid w:val="00F15B29"/>
    <w:rsid w:val="00F16714"/>
    <w:rsid w:val="00F17717"/>
    <w:rsid w:val="00F202F1"/>
    <w:rsid w:val="00F21919"/>
    <w:rsid w:val="00F22C98"/>
    <w:rsid w:val="00F23268"/>
    <w:rsid w:val="00F2432A"/>
    <w:rsid w:val="00F27582"/>
    <w:rsid w:val="00F27C99"/>
    <w:rsid w:val="00F3129E"/>
    <w:rsid w:val="00F31580"/>
    <w:rsid w:val="00F341EF"/>
    <w:rsid w:val="00F3577C"/>
    <w:rsid w:val="00F36FB3"/>
    <w:rsid w:val="00F40865"/>
    <w:rsid w:val="00F4090C"/>
    <w:rsid w:val="00F416CA"/>
    <w:rsid w:val="00F445E4"/>
    <w:rsid w:val="00F46976"/>
    <w:rsid w:val="00F47A78"/>
    <w:rsid w:val="00F50835"/>
    <w:rsid w:val="00F50BAC"/>
    <w:rsid w:val="00F5125B"/>
    <w:rsid w:val="00F604DA"/>
    <w:rsid w:val="00F60795"/>
    <w:rsid w:val="00F642B2"/>
    <w:rsid w:val="00F67D3D"/>
    <w:rsid w:val="00F67F2E"/>
    <w:rsid w:val="00F73148"/>
    <w:rsid w:val="00F75587"/>
    <w:rsid w:val="00F764D1"/>
    <w:rsid w:val="00F77336"/>
    <w:rsid w:val="00F80C78"/>
    <w:rsid w:val="00F84343"/>
    <w:rsid w:val="00F92916"/>
    <w:rsid w:val="00F93158"/>
    <w:rsid w:val="00F9387E"/>
    <w:rsid w:val="00F95831"/>
    <w:rsid w:val="00F960E5"/>
    <w:rsid w:val="00F96829"/>
    <w:rsid w:val="00F96DF7"/>
    <w:rsid w:val="00F96F46"/>
    <w:rsid w:val="00FA1F87"/>
    <w:rsid w:val="00FA336D"/>
    <w:rsid w:val="00FA3FF7"/>
    <w:rsid w:val="00FA6149"/>
    <w:rsid w:val="00FA6B8C"/>
    <w:rsid w:val="00FB076A"/>
    <w:rsid w:val="00FB12A8"/>
    <w:rsid w:val="00FB2565"/>
    <w:rsid w:val="00FB26F9"/>
    <w:rsid w:val="00FB419F"/>
    <w:rsid w:val="00FB584F"/>
    <w:rsid w:val="00FB64B0"/>
    <w:rsid w:val="00FC1EFD"/>
    <w:rsid w:val="00FC56E4"/>
    <w:rsid w:val="00FD1D1D"/>
    <w:rsid w:val="00FD1FA1"/>
    <w:rsid w:val="00FD3247"/>
    <w:rsid w:val="00FD48D0"/>
    <w:rsid w:val="00FD4DE2"/>
    <w:rsid w:val="00FD7F78"/>
    <w:rsid w:val="00FE1B5D"/>
    <w:rsid w:val="00FE3D0D"/>
    <w:rsid w:val="00FE5DBB"/>
    <w:rsid w:val="00FE7890"/>
    <w:rsid w:val="00FF01D0"/>
    <w:rsid w:val="00FF7A9A"/>
    <w:rsid w:val="5C4B9132"/>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73AE4"/>
  <w15:docId w15:val="{540F504B-3483-43AF-BE29-D41868A3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E631C4"/>
    <w:pPr>
      <w:spacing w:after="0" w:line="240" w:lineRule="auto"/>
      <w:jc w:val="both"/>
    </w:pPr>
    <w:rPr>
      <w:rFonts w:ascii="Arial" w:hAnsi="Arial"/>
      <w:sz w:val="20"/>
    </w:rPr>
  </w:style>
  <w:style w:type="paragraph" w:styleId="Kop1">
    <w:name w:val="heading 1"/>
    <w:basedOn w:val="Standaard"/>
    <w:next w:val="Standaard"/>
    <w:link w:val="Kop1Char"/>
    <w:uiPriority w:val="9"/>
    <w:qFormat/>
    <w:rsid w:val="00BE59B7"/>
    <w:pPr>
      <w:keepNext/>
      <w:keepLines/>
      <w:numPr>
        <w:numId w:val="2"/>
      </w:numPr>
      <w:shd w:val="clear" w:color="auto" w:fill="D9D9D9" w:themeFill="background1" w:themeFillShade="D9"/>
      <w:spacing w:before="480" w:after="240"/>
      <w:outlineLvl w:val="0"/>
    </w:pPr>
    <w:rPr>
      <w:rFonts w:eastAsiaTheme="majorEastAsia" w:cs="Arial"/>
      <w:b/>
      <w:bCs/>
      <w:sz w:val="24"/>
      <w:szCs w:val="24"/>
    </w:rPr>
  </w:style>
  <w:style w:type="paragraph" w:styleId="Kop2">
    <w:name w:val="heading 2"/>
    <w:basedOn w:val="Standaard"/>
    <w:next w:val="Standaard"/>
    <w:link w:val="Kop2Char"/>
    <w:uiPriority w:val="9"/>
    <w:unhideWhenUsed/>
    <w:qFormat/>
    <w:rsid w:val="00E631C4"/>
    <w:pPr>
      <w:keepNext/>
      <w:keepLines/>
      <w:numPr>
        <w:ilvl w:val="1"/>
        <w:numId w:val="2"/>
      </w:numPr>
      <w:spacing w:before="200" w:after="240"/>
      <w:outlineLvl w:val="1"/>
    </w:pPr>
    <w:rPr>
      <w:rFonts w:eastAsiaTheme="majorEastAsia" w:cs="Arial"/>
      <w:bCs/>
      <w:i/>
      <w:u w:val="single"/>
    </w:rPr>
  </w:style>
  <w:style w:type="paragraph" w:styleId="Kop3">
    <w:name w:val="heading 3"/>
    <w:basedOn w:val="Standaard"/>
    <w:next w:val="Standaard"/>
    <w:link w:val="Kop3Char"/>
    <w:uiPriority w:val="9"/>
    <w:unhideWhenUsed/>
    <w:qFormat/>
    <w:rsid w:val="00E631C4"/>
    <w:pPr>
      <w:keepNext/>
      <w:keepLines/>
      <w:numPr>
        <w:ilvl w:val="2"/>
        <w:numId w:val="2"/>
      </w:numPr>
      <w:spacing w:before="200" w:after="240"/>
      <w:outlineLvl w:val="2"/>
    </w:pPr>
    <w:rPr>
      <w:rFonts w:eastAsiaTheme="majorEastAsia" w:cs="Arial"/>
      <w:b/>
      <w:bCs/>
    </w:rPr>
  </w:style>
  <w:style w:type="paragraph" w:styleId="Kop4">
    <w:name w:val="heading 4"/>
    <w:basedOn w:val="Standaard"/>
    <w:next w:val="Standaard"/>
    <w:link w:val="Kop4Char"/>
    <w:uiPriority w:val="9"/>
    <w:unhideWhenUsed/>
    <w:qFormat/>
    <w:rsid w:val="0031145E"/>
    <w:pPr>
      <w:keepNext/>
      <w:keepLines/>
      <w:numPr>
        <w:ilvl w:val="3"/>
        <w:numId w:val="2"/>
      </w:numPr>
      <w:spacing w:before="200"/>
      <w:outlineLvl w:val="3"/>
    </w:pPr>
    <w:rPr>
      <w:rFonts w:eastAsiaTheme="majorEastAsia" w:cs="Arial"/>
      <w:bCs/>
      <w:i/>
      <w:iCs/>
      <w:szCs w:val="20"/>
      <w:u w:val="dotted"/>
    </w:rPr>
  </w:style>
  <w:style w:type="paragraph" w:styleId="Kop5">
    <w:name w:val="heading 5"/>
    <w:basedOn w:val="Kop8"/>
    <w:next w:val="Standaard"/>
    <w:link w:val="Kop5Char"/>
    <w:uiPriority w:val="9"/>
    <w:unhideWhenUsed/>
    <w:qFormat/>
    <w:rsid w:val="00463466"/>
    <w:pPr>
      <w:keepNext w:val="0"/>
      <w:keepLines w:val="0"/>
      <w:numPr>
        <w:numId w:val="4"/>
      </w:numPr>
      <w:autoSpaceDE w:val="0"/>
      <w:autoSpaceDN w:val="0"/>
      <w:adjustRightInd w:val="0"/>
      <w:spacing w:before="240" w:after="60"/>
      <w:ind w:left="2552" w:hanging="425"/>
      <w:jc w:val="left"/>
      <w:outlineLvl w:val="4"/>
    </w:pPr>
    <w:rPr>
      <w:rFonts w:ascii="Arial" w:hAnsi="Arial" w:cs="Arial"/>
      <w:color w:val="auto"/>
      <w:sz w:val="18"/>
      <w:u w:val="single"/>
    </w:rPr>
  </w:style>
  <w:style w:type="paragraph" w:styleId="Kop6">
    <w:name w:val="heading 6"/>
    <w:aliases w:val="subArtikel"/>
    <w:basedOn w:val="Standaard"/>
    <w:next w:val="Standaard"/>
    <w:link w:val="Kop6Char"/>
    <w:unhideWhenUsed/>
    <w:qFormat/>
    <w:rsid w:val="00E631C4"/>
    <w:pPr>
      <w:keepNext/>
      <w:keepLines/>
      <w:spacing w:before="200"/>
      <w:outlineLvl w:val="5"/>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631C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59B7"/>
    <w:rPr>
      <w:rFonts w:ascii="Arial" w:eastAsiaTheme="majorEastAsia" w:hAnsi="Arial" w:cs="Arial"/>
      <w:b/>
      <w:bCs/>
      <w:sz w:val="24"/>
      <w:szCs w:val="24"/>
      <w:shd w:val="clear" w:color="auto" w:fill="D9D9D9" w:themeFill="background1" w:themeFillShade="D9"/>
    </w:rPr>
  </w:style>
  <w:style w:type="character" w:customStyle="1" w:styleId="Kop2Char">
    <w:name w:val="Kop 2 Char"/>
    <w:basedOn w:val="Standaardalinea-lettertype"/>
    <w:link w:val="Kop2"/>
    <w:uiPriority w:val="9"/>
    <w:rsid w:val="00E631C4"/>
    <w:rPr>
      <w:rFonts w:ascii="Arial" w:eastAsiaTheme="majorEastAsia" w:hAnsi="Arial" w:cs="Arial"/>
      <w:bCs/>
      <w:i/>
      <w:sz w:val="20"/>
      <w:u w:val="single"/>
    </w:rPr>
  </w:style>
  <w:style w:type="character" w:customStyle="1" w:styleId="Kop3Char">
    <w:name w:val="Kop 3 Char"/>
    <w:basedOn w:val="Standaardalinea-lettertype"/>
    <w:link w:val="Kop3"/>
    <w:uiPriority w:val="9"/>
    <w:rsid w:val="00E631C4"/>
    <w:rPr>
      <w:rFonts w:ascii="Arial" w:eastAsiaTheme="majorEastAsia" w:hAnsi="Arial" w:cs="Arial"/>
      <w:b/>
      <w:bCs/>
      <w:sz w:val="20"/>
    </w:rPr>
  </w:style>
  <w:style w:type="character" w:customStyle="1" w:styleId="Kop4Char">
    <w:name w:val="Kop 4 Char"/>
    <w:basedOn w:val="Standaardalinea-lettertype"/>
    <w:link w:val="Kop4"/>
    <w:uiPriority w:val="9"/>
    <w:rsid w:val="0031145E"/>
    <w:rPr>
      <w:rFonts w:ascii="Arial" w:eastAsiaTheme="majorEastAsia" w:hAnsi="Arial" w:cs="Arial"/>
      <w:bCs/>
      <w:i/>
      <w:iCs/>
      <w:sz w:val="20"/>
      <w:szCs w:val="20"/>
      <w:u w:val="dotted"/>
    </w:rPr>
  </w:style>
  <w:style w:type="paragraph" w:styleId="Titel">
    <w:name w:val="Title"/>
    <w:basedOn w:val="Standaard"/>
    <w:next w:val="Standaard"/>
    <w:link w:val="TitelChar"/>
    <w:uiPriority w:val="10"/>
    <w:qFormat/>
    <w:rsid w:val="004C0283"/>
    <w:pPr>
      <w:contextualSpacing/>
      <w:jc w:val="center"/>
    </w:pPr>
    <w:rPr>
      <w:rFonts w:eastAsiaTheme="majorEastAsia" w:cs="Arial"/>
      <w:b/>
      <w:spacing w:val="5"/>
      <w:kern w:val="28"/>
      <w:sz w:val="32"/>
      <w:szCs w:val="52"/>
    </w:rPr>
  </w:style>
  <w:style w:type="character" w:customStyle="1" w:styleId="TitelChar">
    <w:name w:val="Titel Char"/>
    <w:basedOn w:val="Standaardalinea-lettertype"/>
    <w:link w:val="Titel"/>
    <w:uiPriority w:val="10"/>
    <w:rsid w:val="004C0283"/>
    <w:rPr>
      <w:rFonts w:ascii="Arial" w:eastAsiaTheme="majorEastAsia" w:hAnsi="Arial" w:cs="Arial"/>
      <w:b/>
      <w:spacing w:val="5"/>
      <w:kern w:val="28"/>
      <w:sz w:val="32"/>
      <w:szCs w:val="52"/>
    </w:rPr>
  </w:style>
  <w:style w:type="paragraph" w:styleId="Ondertitel">
    <w:name w:val="Subtitle"/>
    <w:basedOn w:val="Standaard"/>
    <w:next w:val="Standaard"/>
    <w:link w:val="OndertitelChar"/>
    <w:uiPriority w:val="11"/>
    <w:qFormat/>
    <w:rsid w:val="006775ED"/>
    <w:pPr>
      <w:spacing w:before="120" w:after="120"/>
      <w:jc w:val="center"/>
    </w:pPr>
    <w:rPr>
      <w:rFonts w:cs="Arial"/>
      <w:sz w:val="24"/>
    </w:rPr>
  </w:style>
  <w:style w:type="character" w:customStyle="1" w:styleId="OndertitelChar">
    <w:name w:val="Ondertitel Char"/>
    <w:basedOn w:val="Standaardalinea-lettertype"/>
    <w:link w:val="Ondertitel"/>
    <w:uiPriority w:val="11"/>
    <w:rsid w:val="006775ED"/>
    <w:rPr>
      <w:rFonts w:ascii="Arial" w:hAnsi="Arial" w:cs="Arial"/>
      <w:sz w:val="24"/>
    </w:rPr>
  </w:style>
  <w:style w:type="paragraph" w:styleId="Lijstalinea">
    <w:name w:val="List Paragraph"/>
    <w:aliases w:val="Bullets 1 niveau,Conclusion de partie,Dot pt,No Spacing1,List Paragraph Char Char Char,Indicator Text,Numbered Para 1,List Paragraph1,Bullet Points,MAIN CONTENT,List Paragraph12,List Paragraph11,OBC Bullet,F5 List Paragraph,Ha"/>
    <w:basedOn w:val="Standaard"/>
    <w:link w:val="LijstalineaChar"/>
    <w:uiPriority w:val="34"/>
    <w:qFormat/>
    <w:rsid w:val="00D36CDA"/>
    <w:pPr>
      <w:numPr>
        <w:numId w:val="3"/>
      </w:numPr>
      <w:autoSpaceDE w:val="0"/>
      <w:autoSpaceDN w:val="0"/>
      <w:jc w:val="left"/>
    </w:pPr>
    <w:rPr>
      <w:rFonts w:eastAsia="Times New Roman" w:cs="Arial"/>
      <w:szCs w:val="20"/>
    </w:rPr>
  </w:style>
  <w:style w:type="paragraph" w:styleId="Bloktekst">
    <w:name w:val="Block Text"/>
    <w:basedOn w:val="Standaard"/>
    <w:semiHidden/>
    <w:rsid w:val="00E631C4"/>
    <w:pPr>
      <w:autoSpaceDE w:val="0"/>
      <w:autoSpaceDN w:val="0"/>
      <w:adjustRightInd w:val="0"/>
      <w:jc w:val="left"/>
    </w:pPr>
    <w:rPr>
      <w:rFonts w:eastAsia="Times New Roman" w:cs="Times New Roman"/>
      <w:szCs w:val="20"/>
    </w:rPr>
  </w:style>
  <w:style w:type="paragraph" w:styleId="Afsluiting">
    <w:name w:val="Closing"/>
    <w:basedOn w:val="Standaard"/>
    <w:link w:val="AfsluitingChar"/>
    <w:semiHidden/>
    <w:rsid w:val="00E631C4"/>
    <w:pPr>
      <w:autoSpaceDE w:val="0"/>
      <w:autoSpaceDN w:val="0"/>
      <w:adjustRightInd w:val="0"/>
      <w:ind w:left="4252"/>
      <w:jc w:val="left"/>
    </w:pPr>
    <w:rPr>
      <w:rFonts w:eastAsia="Times New Roman" w:cs="Times New Roman"/>
      <w:szCs w:val="20"/>
    </w:rPr>
  </w:style>
  <w:style w:type="character" w:customStyle="1" w:styleId="AfsluitingChar">
    <w:name w:val="Afsluiting Char"/>
    <w:basedOn w:val="Standaardalinea-lettertype"/>
    <w:link w:val="Afsluiting"/>
    <w:semiHidden/>
    <w:rsid w:val="00E631C4"/>
    <w:rPr>
      <w:rFonts w:ascii="Arial" w:eastAsia="Times New Roman" w:hAnsi="Arial" w:cs="Times New Roman"/>
      <w:sz w:val="20"/>
      <w:szCs w:val="20"/>
    </w:rPr>
  </w:style>
  <w:style w:type="character" w:customStyle="1" w:styleId="Kop8Char">
    <w:name w:val="Kop 8 Char"/>
    <w:basedOn w:val="Standaardalinea-lettertype"/>
    <w:link w:val="Kop8"/>
    <w:uiPriority w:val="9"/>
    <w:semiHidden/>
    <w:rsid w:val="00E631C4"/>
    <w:rPr>
      <w:rFonts w:asciiTheme="majorHAnsi" w:eastAsiaTheme="majorEastAsia" w:hAnsiTheme="majorHAnsi" w:cstheme="majorBidi"/>
      <w:color w:val="404040" w:themeColor="text1" w:themeTint="BF"/>
      <w:sz w:val="20"/>
      <w:szCs w:val="20"/>
    </w:rPr>
  </w:style>
  <w:style w:type="paragraph" w:styleId="Koptekst">
    <w:name w:val="header"/>
    <w:basedOn w:val="Standaard"/>
    <w:link w:val="KoptekstChar"/>
    <w:rsid w:val="00E631C4"/>
    <w:pPr>
      <w:tabs>
        <w:tab w:val="center" w:pos="4320"/>
        <w:tab w:val="right" w:pos="8640"/>
      </w:tabs>
      <w:autoSpaceDE w:val="0"/>
      <w:autoSpaceDN w:val="0"/>
      <w:adjustRightInd w:val="0"/>
      <w:jc w:val="left"/>
    </w:pPr>
    <w:rPr>
      <w:rFonts w:eastAsia="Times New Roman" w:cs="Times New Roman"/>
      <w:szCs w:val="20"/>
    </w:rPr>
  </w:style>
  <w:style w:type="character" w:customStyle="1" w:styleId="KoptekstChar">
    <w:name w:val="Koptekst Char"/>
    <w:basedOn w:val="Standaardalinea-lettertype"/>
    <w:link w:val="Koptekst"/>
    <w:rsid w:val="00E631C4"/>
    <w:rPr>
      <w:rFonts w:ascii="Arial" w:eastAsia="Times New Roman" w:hAnsi="Arial" w:cs="Times New Roman"/>
      <w:sz w:val="20"/>
      <w:szCs w:val="20"/>
    </w:rPr>
  </w:style>
  <w:style w:type="character" w:styleId="Verwijzingopmerking">
    <w:name w:val="annotation reference"/>
    <w:basedOn w:val="Standaardalinea-lettertype"/>
    <w:uiPriority w:val="99"/>
    <w:semiHidden/>
    <w:rsid w:val="00E631C4"/>
    <w:rPr>
      <w:spacing w:val="0"/>
      <w:sz w:val="16"/>
      <w:szCs w:val="16"/>
    </w:rPr>
  </w:style>
  <w:style w:type="paragraph" w:styleId="Tekstopmerking">
    <w:name w:val="annotation text"/>
    <w:basedOn w:val="Standaard"/>
    <w:link w:val="TekstopmerkingChar"/>
    <w:uiPriority w:val="99"/>
    <w:rsid w:val="00E631C4"/>
    <w:pPr>
      <w:autoSpaceDE w:val="0"/>
      <w:autoSpaceDN w:val="0"/>
      <w:adjustRightInd w:val="0"/>
      <w:jc w:val="left"/>
    </w:pPr>
    <w:rPr>
      <w:rFonts w:eastAsia="Times New Roman" w:cs="Times New Roman"/>
      <w:szCs w:val="20"/>
    </w:rPr>
  </w:style>
  <w:style w:type="character" w:customStyle="1" w:styleId="TekstopmerkingChar">
    <w:name w:val="Tekst opmerking Char"/>
    <w:basedOn w:val="Standaardalinea-lettertype"/>
    <w:link w:val="Tekstopmerking"/>
    <w:uiPriority w:val="99"/>
    <w:rsid w:val="00E631C4"/>
    <w:rPr>
      <w:rFonts w:ascii="Arial" w:eastAsia="Times New Roman" w:hAnsi="Arial" w:cs="Times New Roman"/>
      <w:sz w:val="20"/>
      <w:szCs w:val="20"/>
    </w:rPr>
  </w:style>
  <w:style w:type="paragraph" w:styleId="Ballontekst">
    <w:name w:val="Balloon Text"/>
    <w:basedOn w:val="Standaard"/>
    <w:link w:val="BallontekstChar"/>
    <w:uiPriority w:val="99"/>
    <w:semiHidden/>
    <w:unhideWhenUsed/>
    <w:rsid w:val="00E631C4"/>
    <w:rPr>
      <w:rFonts w:ascii="Tahoma" w:hAnsi="Tahoma" w:cs="Tahoma"/>
      <w:sz w:val="16"/>
      <w:szCs w:val="16"/>
    </w:rPr>
  </w:style>
  <w:style w:type="character" w:customStyle="1" w:styleId="BallontekstChar">
    <w:name w:val="Ballontekst Char"/>
    <w:basedOn w:val="Standaardalinea-lettertype"/>
    <w:link w:val="Ballontekst"/>
    <w:uiPriority w:val="99"/>
    <w:semiHidden/>
    <w:rsid w:val="00E631C4"/>
    <w:rPr>
      <w:rFonts w:ascii="Tahoma" w:hAnsi="Tahoma" w:cs="Tahoma"/>
      <w:sz w:val="16"/>
      <w:szCs w:val="16"/>
    </w:rPr>
  </w:style>
  <w:style w:type="character" w:customStyle="1" w:styleId="Kop5Char">
    <w:name w:val="Kop 5 Char"/>
    <w:basedOn w:val="Standaardalinea-lettertype"/>
    <w:link w:val="Kop5"/>
    <w:uiPriority w:val="9"/>
    <w:rsid w:val="00463466"/>
    <w:rPr>
      <w:rFonts w:ascii="Arial" w:eastAsiaTheme="majorEastAsia" w:hAnsi="Arial" w:cs="Arial"/>
      <w:sz w:val="18"/>
      <w:szCs w:val="20"/>
      <w:u w:val="single"/>
    </w:rPr>
  </w:style>
  <w:style w:type="character" w:customStyle="1" w:styleId="Kop6Char">
    <w:name w:val="Kop 6 Char"/>
    <w:aliases w:val="subArtikel Char"/>
    <w:basedOn w:val="Standaardalinea-lettertype"/>
    <w:link w:val="Kop6"/>
    <w:uiPriority w:val="9"/>
    <w:semiHidden/>
    <w:rsid w:val="00E631C4"/>
    <w:rPr>
      <w:rFonts w:asciiTheme="majorHAnsi" w:eastAsiaTheme="majorEastAsia" w:hAnsiTheme="majorHAnsi" w:cstheme="majorBidi"/>
      <w:i/>
      <w:iCs/>
      <w:color w:val="243F60" w:themeColor="accent1" w:themeShade="7F"/>
      <w:sz w:val="20"/>
    </w:rPr>
  </w:style>
  <w:style w:type="paragraph" w:styleId="Plattetekst">
    <w:name w:val="Body Text"/>
    <w:basedOn w:val="Standaard"/>
    <w:link w:val="PlattetekstChar"/>
    <w:semiHidden/>
    <w:rsid w:val="00E631C4"/>
    <w:pPr>
      <w:widowControl w:val="0"/>
      <w:tabs>
        <w:tab w:val="left" w:pos="-720"/>
        <w:tab w:val="left" w:pos="0"/>
        <w:tab w:val="left" w:pos="851"/>
        <w:tab w:val="left" w:pos="1134"/>
        <w:tab w:val="left" w:pos="1418"/>
        <w:tab w:val="left" w:pos="1985"/>
        <w:tab w:val="left" w:pos="2268"/>
        <w:tab w:val="left" w:pos="2552"/>
        <w:tab w:val="left" w:pos="2835"/>
      </w:tabs>
      <w:suppressAutoHyphens/>
      <w:autoSpaceDE w:val="0"/>
      <w:autoSpaceDN w:val="0"/>
      <w:adjustRightInd w:val="0"/>
      <w:spacing w:line="280" w:lineRule="exact"/>
    </w:pPr>
    <w:rPr>
      <w:rFonts w:eastAsia="Times New Roman" w:cs="Times New Roman"/>
      <w:sz w:val="22"/>
      <w:lang w:val="nl-NL"/>
    </w:rPr>
  </w:style>
  <w:style w:type="character" w:customStyle="1" w:styleId="PlattetekstChar">
    <w:name w:val="Platte tekst Char"/>
    <w:basedOn w:val="Standaardalinea-lettertype"/>
    <w:link w:val="Plattetekst"/>
    <w:semiHidden/>
    <w:rsid w:val="00E631C4"/>
    <w:rPr>
      <w:rFonts w:ascii="Arial" w:eastAsia="Times New Roman" w:hAnsi="Arial" w:cs="Times New Roman"/>
      <w:lang w:val="nl-NL"/>
    </w:rPr>
  </w:style>
  <w:style w:type="paragraph" w:styleId="Inhopg1">
    <w:name w:val="toc 1"/>
    <w:basedOn w:val="Standaard"/>
    <w:next w:val="Standaard"/>
    <w:autoRedefine/>
    <w:uiPriority w:val="39"/>
    <w:unhideWhenUsed/>
    <w:rsid w:val="00B810A9"/>
    <w:pPr>
      <w:spacing w:before="120"/>
      <w:jc w:val="left"/>
    </w:pPr>
    <w:rPr>
      <w:rFonts w:asciiTheme="minorHAnsi" w:hAnsiTheme="minorHAnsi" w:cstheme="minorHAnsi"/>
      <w:b/>
      <w:bCs/>
      <w:i/>
      <w:iCs/>
      <w:sz w:val="24"/>
      <w:szCs w:val="24"/>
    </w:rPr>
  </w:style>
  <w:style w:type="paragraph" w:styleId="Inhopg2">
    <w:name w:val="toc 2"/>
    <w:basedOn w:val="Standaard"/>
    <w:next w:val="Standaard"/>
    <w:autoRedefine/>
    <w:uiPriority w:val="39"/>
    <w:unhideWhenUsed/>
    <w:rsid w:val="00B810A9"/>
    <w:pPr>
      <w:spacing w:before="120"/>
      <w:ind w:left="200"/>
      <w:jc w:val="left"/>
    </w:pPr>
    <w:rPr>
      <w:rFonts w:asciiTheme="minorHAnsi" w:hAnsiTheme="minorHAnsi" w:cstheme="minorHAnsi"/>
      <w:b/>
      <w:bCs/>
      <w:sz w:val="22"/>
    </w:rPr>
  </w:style>
  <w:style w:type="paragraph" w:styleId="Inhopg3">
    <w:name w:val="toc 3"/>
    <w:basedOn w:val="Standaard"/>
    <w:next w:val="Standaard"/>
    <w:autoRedefine/>
    <w:uiPriority w:val="39"/>
    <w:unhideWhenUsed/>
    <w:rsid w:val="00B810A9"/>
    <w:pPr>
      <w:ind w:left="400"/>
      <w:jc w:val="left"/>
    </w:pPr>
    <w:rPr>
      <w:rFonts w:asciiTheme="minorHAnsi" w:hAnsiTheme="minorHAnsi" w:cstheme="minorHAnsi"/>
      <w:szCs w:val="20"/>
    </w:rPr>
  </w:style>
  <w:style w:type="paragraph" w:styleId="Inhopg4">
    <w:name w:val="toc 4"/>
    <w:basedOn w:val="Standaard"/>
    <w:next w:val="Standaard"/>
    <w:autoRedefine/>
    <w:uiPriority w:val="39"/>
    <w:unhideWhenUsed/>
    <w:rsid w:val="00B810A9"/>
    <w:pPr>
      <w:ind w:left="600"/>
      <w:jc w:val="left"/>
    </w:pPr>
    <w:rPr>
      <w:rFonts w:asciiTheme="minorHAnsi" w:hAnsiTheme="minorHAnsi" w:cstheme="minorHAnsi"/>
      <w:szCs w:val="20"/>
    </w:rPr>
  </w:style>
  <w:style w:type="paragraph" w:styleId="Inhopg5">
    <w:name w:val="toc 5"/>
    <w:basedOn w:val="Standaard"/>
    <w:next w:val="Standaard"/>
    <w:autoRedefine/>
    <w:uiPriority w:val="39"/>
    <w:unhideWhenUsed/>
    <w:rsid w:val="00B810A9"/>
    <w:pPr>
      <w:ind w:left="800"/>
      <w:jc w:val="left"/>
    </w:pPr>
    <w:rPr>
      <w:rFonts w:asciiTheme="minorHAnsi" w:hAnsiTheme="minorHAnsi" w:cstheme="minorHAnsi"/>
      <w:szCs w:val="20"/>
    </w:rPr>
  </w:style>
  <w:style w:type="paragraph" w:styleId="Inhopg6">
    <w:name w:val="toc 6"/>
    <w:basedOn w:val="Standaard"/>
    <w:next w:val="Standaard"/>
    <w:autoRedefine/>
    <w:uiPriority w:val="39"/>
    <w:unhideWhenUsed/>
    <w:rsid w:val="00B810A9"/>
    <w:pPr>
      <w:ind w:left="1000"/>
      <w:jc w:val="left"/>
    </w:pPr>
    <w:rPr>
      <w:rFonts w:asciiTheme="minorHAnsi" w:hAnsiTheme="minorHAnsi" w:cstheme="minorHAnsi"/>
      <w:szCs w:val="20"/>
    </w:rPr>
  </w:style>
  <w:style w:type="paragraph" w:styleId="Inhopg7">
    <w:name w:val="toc 7"/>
    <w:basedOn w:val="Standaard"/>
    <w:next w:val="Standaard"/>
    <w:autoRedefine/>
    <w:uiPriority w:val="39"/>
    <w:unhideWhenUsed/>
    <w:rsid w:val="00B810A9"/>
    <w:pPr>
      <w:ind w:left="1200"/>
      <w:jc w:val="left"/>
    </w:pPr>
    <w:rPr>
      <w:rFonts w:asciiTheme="minorHAnsi" w:hAnsiTheme="minorHAnsi" w:cstheme="minorHAnsi"/>
      <w:szCs w:val="20"/>
    </w:rPr>
  </w:style>
  <w:style w:type="paragraph" w:styleId="Inhopg8">
    <w:name w:val="toc 8"/>
    <w:basedOn w:val="Standaard"/>
    <w:next w:val="Standaard"/>
    <w:autoRedefine/>
    <w:uiPriority w:val="39"/>
    <w:unhideWhenUsed/>
    <w:rsid w:val="00B810A9"/>
    <w:pPr>
      <w:ind w:left="1400"/>
      <w:jc w:val="left"/>
    </w:pPr>
    <w:rPr>
      <w:rFonts w:asciiTheme="minorHAnsi" w:hAnsiTheme="minorHAnsi" w:cstheme="minorHAnsi"/>
      <w:szCs w:val="20"/>
    </w:rPr>
  </w:style>
  <w:style w:type="paragraph" w:styleId="Inhopg9">
    <w:name w:val="toc 9"/>
    <w:basedOn w:val="Standaard"/>
    <w:next w:val="Standaard"/>
    <w:autoRedefine/>
    <w:uiPriority w:val="39"/>
    <w:unhideWhenUsed/>
    <w:rsid w:val="00B810A9"/>
    <w:pPr>
      <w:ind w:left="1600"/>
      <w:jc w:val="left"/>
    </w:pPr>
    <w:rPr>
      <w:rFonts w:asciiTheme="minorHAnsi" w:hAnsiTheme="minorHAnsi" w:cstheme="minorHAnsi"/>
      <w:szCs w:val="20"/>
    </w:rPr>
  </w:style>
  <w:style w:type="character" w:styleId="Hyperlink">
    <w:name w:val="Hyperlink"/>
    <w:basedOn w:val="Standaardalinea-lettertype"/>
    <w:uiPriority w:val="99"/>
    <w:unhideWhenUsed/>
    <w:rsid w:val="00B810A9"/>
    <w:rPr>
      <w:color w:val="0000FF" w:themeColor="hyperlink"/>
      <w:u w:val="single"/>
    </w:rPr>
  </w:style>
  <w:style w:type="paragraph" w:styleId="Kopvaninhoudsopgave">
    <w:name w:val="TOC Heading"/>
    <w:basedOn w:val="Kop1"/>
    <w:next w:val="Standaard"/>
    <w:uiPriority w:val="39"/>
    <w:semiHidden/>
    <w:unhideWhenUsed/>
    <w:qFormat/>
    <w:rsid w:val="00B810A9"/>
    <w:pPr>
      <w:numPr>
        <w:numId w:val="0"/>
      </w:numPr>
      <w:shd w:val="clear" w:color="auto" w:fill="auto"/>
      <w:spacing w:after="0" w:line="276" w:lineRule="auto"/>
      <w:jc w:val="left"/>
      <w:outlineLvl w:val="9"/>
    </w:pPr>
    <w:rPr>
      <w:rFonts w:asciiTheme="majorHAnsi" w:hAnsiTheme="majorHAnsi" w:cstheme="majorBidi"/>
      <w:color w:val="365F91" w:themeColor="accent1" w:themeShade="BF"/>
      <w:sz w:val="28"/>
      <w:szCs w:val="28"/>
      <w:lang w:eastAsia="nl-BE"/>
    </w:rPr>
  </w:style>
  <w:style w:type="paragraph" w:styleId="Onderwerpvanopmerking">
    <w:name w:val="annotation subject"/>
    <w:basedOn w:val="Tekstopmerking"/>
    <w:next w:val="Tekstopmerking"/>
    <w:link w:val="OnderwerpvanopmerkingChar"/>
    <w:uiPriority w:val="99"/>
    <w:semiHidden/>
    <w:unhideWhenUsed/>
    <w:rsid w:val="00A3674D"/>
    <w:pPr>
      <w:autoSpaceDE/>
      <w:autoSpaceDN/>
      <w:adjustRightInd/>
      <w:jc w:val="both"/>
    </w:pPr>
    <w:rPr>
      <w:rFonts w:eastAsiaTheme="minorHAnsi" w:cstheme="minorBidi"/>
      <w:b/>
      <w:bCs/>
    </w:rPr>
  </w:style>
  <w:style w:type="character" w:customStyle="1" w:styleId="OnderwerpvanopmerkingChar">
    <w:name w:val="Onderwerp van opmerking Char"/>
    <w:basedOn w:val="TekstopmerkingChar"/>
    <w:link w:val="Onderwerpvanopmerking"/>
    <w:uiPriority w:val="99"/>
    <w:semiHidden/>
    <w:rsid w:val="00A3674D"/>
    <w:rPr>
      <w:rFonts w:ascii="Arial" w:eastAsia="Times New Roman" w:hAnsi="Arial" w:cs="Times New Roman"/>
      <w:b/>
      <w:bCs/>
      <w:sz w:val="20"/>
      <w:szCs w:val="20"/>
    </w:rPr>
  </w:style>
  <w:style w:type="paragraph" w:styleId="Revisie">
    <w:name w:val="Revision"/>
    <w:hidden/>
    <w:uiPriority w:val="99"/>
    <w:semiHidden/>
    <w:rsid w:val="00C163AE"/>
    <w:pPr>
      <w:spacing w:after="0" w:line="240" w:lineRule="auto"/>
    </w:pPr>
    <w:rPr>
      <w:rFonts w:ascii="Arial" w:hAnsi="Arial"/>
      <w:sz w:val="20"/>
    </w:rPr>
  </w:style>
  <w:style w:type="paragraph" w:styleId="Normaalweb">
    <w:name w:val="Normal (Web)"/>
    <w:basedOn w:val="Standaard"/>
    <w:uiPriority w:val="99"/>
    <w:semiHidden/>
    <w:unhideWhenUsed/>
    <w:rsid w:val="002C6EC2"/>
    <w:pPr>
      <w:spacing w:before="100" w:beforeAutospacing="1" w:after="100" w:afterAutospacing="1"/>
      <w:jc w:val="left"/>
    </w:pPr>
    <w:rPr>
      <w:rFonts w:ascii="Times New Roman" w:hAnsi="Times New Roman" w:cs="Times New Roman"/>
      <w:sz w:val="24"/>
      <w:szCs w:val="24"/>
      <w:lang w:eastAsia="nl-BE"/>
    </w:rPr>
  </w:style>
  <w:style w:type="paragraph" w:styleId="Voettekst">
    <w:name w:val="footer"/>
    <w:basedOn w:val="Standaard"/>
    <w:link w:val="VoettekstChar"/>
    <w:uiPriority w:val="99"/>
    <w:unhideWhenUsed/>
    <w:rsid w:val="001503AB"/>
    <w:pPr>
      <w:tabs>
        <w:tab w:val="center" w:pos="4513"/>
        <w:tab w:val="right" w:pos="9026"/>
      </w:tabs>
    </w:pPr>
  </w:style>
  <w:style w:type="character" w:customStyle="1" w:styleId="VoettekstChar">
    <w:name w:val="Voettekst Char"/>
    <w:basedOn w:val="Standaardalinea-lettertype"/>
    <w:link w:val="Voettekst"/>
    <w:uiPriority w:val="99"/>
    <w:rsid w:val="001503AB"/>
    <w:rPr>
      <w:rFonts w:ascii="Arial" w:hAnsi="Arial"/>
      <w:sz w:val="20"/>
    </w:rPr>
  </w:style>
  <w:style w:type="character" w:styleId="Regelnummer">
    <w:name w:val="line number"/>
    <w:basedOn w:val="Standaardalinea-lettertype"/>
    <w:uiPriority w:val="99"/>
    <w:semiHidden/>
    <w:unhideWhenUsed/>
    <w:rsid w:val="00CB4538"/>
  </w:style>
  <w:style w:type="paragraph" w:customStyle="1" w:styleId="TableText">
    <w:name w:val="Table Text"/>
    <w:basedOn w:val="Standaard"/>
    <w:rsid w:val="006775ED"/>
    <w:pPr>
      <w:autoSpaceDE w:val="0"/>
      <w:autoSpaceDN w:val="0"/>
      <w:adjustRightInd w:val="0"/>
      <w:jc w:val="left"/>
    </w:pPr>
    <w:rPr>
      <w:rFonts w:eastAsia="Times New Roman" w:cs="Times New Roman"/>
      <w:szCs w:val="20"/>
    </w:rPr>
  </w:style>
  <w:style w:type="paragraph" w:customStyle="1" w:styleId="TOCStem">
    <w:name w:val="TOCStem"/>
    <w:basedOn w:val="Standaard"/>
    <w:rsid w:val="006775ED"/>
    <w:pPr>
      <w:autoSpaceDE w:val="0"/>
      <w:autoSpaceDN w:val="0"/>
      <w:adjustRightInd w:val="0"/>
      <w:jc w:val="left"/>
    </w:pPr>
    <w:rPr>
      <w:rFonts w:eastAsia="Times New Roman" w:cs="Times New Roman"/>
      <w:szCs w:val="20"/>
    </w:rPr>
  </w:style>
  <w:style w:type="character" w:customStyle="1" w:styleId="LijstalineaChar">
    <w:name w:val="Lijstalinea Char"/>
    <w:aliases w:val="Bullets 1 niveau Char,Conclusion de partie Char,Dot pt Char,No Spacing1 Char,List Paragraph Char Char Char Char,Indicator Text Char,Numbered Para 1 Char,List Paragraph1 Char,Bullet Points Char,MAIN CONTENT Char,List Paragraph12 Char"/>
    <w:link w:val="Lijstalinea"/>
    <w:uiPriority w:val="34"/>
    <w:qFormat/>
    <w:locked/>
    <w:rsid w:val="006775ED"/>
    <w:rPr>
      <w:rFonts w:ascii="Arial" w:eastAsia="Times New Roman" w:hAnsi="Arial" w:cs="Arial"/>
      <w:sz w:val="20"/>
      <w:szCs w:val="20"/>
    </w:rPr>
  </w:style>
  <w:style w:type="table" w:styleId="Tabelraster">
    <w:name w:val="Table Grid"/>
    <w:basedOn w:val="Standaardtabel"/>
    <w:uiPriority w:val="59"/>
    <w:rsid w:val="004C0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Standaard"/>
    <w:rsid w:val="00FA3FF7"/>
    <w:pPr>
      <w:jc w:val="left"/>
    </w:pPr>
    <w:rPr>
      <w:rFonts w:eastAsia="Arial Unicode MS" w:cs="Arial"/>
      <w:color w:val="336699"/>
      <w:sz w:val="18"/>
      <w:szCs w:val="18"/>
      <w:lang w:val="fr-FR" w:eastAsia="fr-FR"/>
    </w:rPr>
  </w:style>
  <w:style w:type="paragraph" w:customStyle="1" w:styleId="ListBullet21">
    <w:name w:val="List Bullet 21"/>
    <w:basedOn w:val="Standaard"/>
    <w:rsid w:val="00FA3FF7"/>
    <w:pPr>
      <w:numPr>
        <w:numId w:val="9"/>
      </w:numPr>
      <w:spacing w:before="60" w:after="60"/>
    </w:pPr>
    <w:rPr>
      <w:rFonts w:eastAsia="Times New Roman" w:cs="Times New Roman"/>
      <w:szCs w:val="24"/>
      <w:lang w:val="fr-FR" w:eastAsia="fr-FR"/>
    </w:rPr>
  </w:style>
  <w:style w:type="paragraph" w:customStyle="1" w:styleId="ListBullet31">
    <w:name w:val="List Bullet 31"/>
    <w:basedOn w:val="Standaard"/>
    <w:rsid w:val="00085828"/>
    <w:pPr>
      <w:numPr>
        <w:numId w:val="12"/>
      </w:numPr>
    </w:pPr>
    <w:rPr>
      <w:rFonts w:eastAsia="Times New Roman" w:cs="Times New Roman"/>
      <w:szCs w:val="24"/>
      <w:lang w:val="fr-FR" w:eastAsia="fr-FR"/>
    </w:rPr>
  </w:style>
  <w:style w:type="paragraph" w:customStyle="1" w:styleId="Tekst1T1">
    <w:name w:val="Tekst1    T1"/>
    <w:basedOn w:val="Standaard"/>
    <w:rsid w:val="00567D97"/>
    <w:pPr>
      <w:jc w:val="left"/>
    </w:pPr>
    <w:rPr>
      <w:rFonts w:ascii="Times New Roman" w:eastAsia="Times New Roman" w:hAnsi="Times New Roman" w:cs="Times New Roman"/>
      <w:szCs w:val="20"/>
      <w:lang w:val="nl-NL"/>
    </w:rPr>
  </w:style>
  <w:style w:type="paragraph" w:styleId="Voetnoottekst">
    <w:name w:val="footnote text"/>
    <w:basedOn w:val="Standaard"/>
    <w:link w:val="VoetnoottekstChar"/>
    <w:uiPriority w:val="99"/>
    <w:semiHidden/>
    <w:unhideWhenUsed/>
    <w:rsid w:val="009502A8"/>
    <w:rPr>
      <w:szCs w:val="20"/>
    </w:rPr>
  </w:style>
  <w:style w:type="character" w:customStyle="1" w:styleId="VoetnoottekstChar">
    <w:name w:val="Voetnoottekst Char"/>
    <w:basedOn w:val="Standaardalinea-lettertype"/>
    <w:link w:val="Voetnoottekst"/>
    <w:uiPriority w:val="99"/>
    <w:semiHidden/>
    <w:rsid w:val="009502A8"/>
    <w:rPr>
      <w:rFonts w:ascii="Arial" w:hAnsi="Arial"/>
      <w:sz w:val="20"/>
      <w:szCs w:val="20"/>
    </w:rPr>
  </w:style>
  <w:style w:type="character" w:styleId="Voetnootmarkering">
    <w:name w:val="footnote reference"/>
    <w:basedOn w:val="Standaardalinea-lettertype"/>
    <w:uiPriority w:val="99"/>
    <w:semiHidden/>
    <w:unhideWhenUsed/>
    <w:rsid w:val="009502A8"/>
    <w:rPr>
      <w:vertAlign w:val="superscript"/>
    </w:rPr>
  </w:style>
  <w:style w:type="character" w:customStyle="1" w:styleId="UnresolvedMention">
    <w:name w:val="Unresolved Mention"/>
    <w:basedOn w:val="Standaardalinea-lettertype"/>
    <w:uiPriority w:val="99"/>
    <w:semiHidden/>
    <w:unhideWhenUsed/>
    <w:rsid w:val="002B3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6287">
      <w:bodyDiv w:val="1"/>
      <w:marLeft w:val="0"/>
      <w:marRight w:val="0"/>
      <w:marTop w:val="0"/>
      <w:marBottom w:val="0"/>
      <w:divBdr>
        <w:top w:val="none" w:sz="0" w:space="0" w:color="auto"/>
        <w:left w:val="none" w:sz="0" w:space="0" w:color="auto"/>
        <w:bottom w:val="none" w:sz="0" w:space="0" w:color="auto"/>
        <w:right w:val="none" w:sz="0" w:space="0" w:color="auto"/>
      </w:divBdr>
    </w:div>
    <w:div w:id="164905560">
      <w:bodyDiv w:val="1"/>
      <w:marLeft w:val="0"/>
      <w:marRight w:val="0"/>
      <w:marTop w:val="0"/>
      <w:marBottom w:val="0"/>
      <w:divBdr>
        <w:top w:val="none" w:sz="0" w:space="0" w:color="auto"/>
        <w:left w:val="none" w:sz="0" w:space="0" w:color="auto"/>
        <w:bottom w:val="none" w:sz="0" w:space="0" w:color="auto"/>
        <w:right w:val="none" w:sz="0" w:space="0" w:color="auto"/>
      </w:divBdr>
    </w:div>
    <w:div w:id="210383713">
      <w:bodyDiv w:val="1"/>
      <w:marLeft w:val="0"/>
      <w:marRight w:val="0"/>
      <w:marTop w:val="0"/>
      <w:marBottom w:val="0"/>
      <w:divBdr>
        <w:top w:val="none" w:sz="0" w:space="0" w:color="auto"/>
        <w:left w:val="none" w:sz="0" w:space="0" w:color="auto"/>
        <w:bottom w:val="none" w:sz="0" w:space="0" w:color="auto"/>
        <w:right w:val="none" w:sz="0" w:space="0" w:color="auto"/>
      </w:divBdr>
    </w:div>
    <w:div w:id="212280034">
      <w:bodyDiv w:val="1"/>
      <w:marLeft w:val="0"/>
      <w:marRight w:val="0"/>
      <w:marTop w:val="0"/>
      <w:marBottom w:val="0"/>
      <w:divBdr>
        <w:top w:val="none" w:sz="0" w:space="0" w:color="auto"/>
        <w:left w:val="none" w:sz="0" w:space="0" w:color="auto"/>
        <w:bottom w:val="none" w:sz="0" w:space="0" w:color="auto"/>
        <w:right w:val="none" w:sz="0" w:space="0" w:color="auto"/>
      </w:divBdr>
    </w:div>
    <w:div w:id="847207682">
      <w:bodyDiv w:val="1"/>
      <w:marLeft w:val="0"/>
      <w:marRight w:val="0"/>
      <w:marTop w:val="0"/>
      <w:marBottom w:val="0"/>
      <w:divBdr>
        <w:top w:val="none" w:sz="0" w:space="0" w:color="auto"/>
        <w:left w:val="none" w:sz="0" w:space="0" w:color="auto"/>
        <w:bottom w:val="none" w:sz="0" w:space="0" w:color="auto"/>
        <w:right w:val="none" w:sz="0" w:space="0" w:color="auto"/>
      </w:divBdr>
    </w:div>
    <w:div w:id="1271205278">
      <w:bodyDiv w:val="1"/>
      <w:marLeft w:val="0"/>
      <w:marRight w:val="0"/>
      <w:marTop w:val="0"/>
      <w:marBottom w:val="0"/>
      <w:divBdr>
        <w:top w:val="none" w:sz="0" w:space="0" w:color="auto"/>
        <w:left w:val="none" w:sz="0" w:space="0" w:color="auto"/>
        <w:bottom w:val="none" w:sz="0" w:space="0" w:color="auto"/>
        <w:right w:val="none" w:sz="0" w:space="0" w:color="auto"/>
      </w:divBdr>
    </w:div>
    <w:div w:id="1357584674">
      <w:bodyDiv w:val="1"/>
      <w:marLeft w:val="0"/>
      <w:marRight w:val="0"/>
      <w:marTop w:val="0"/>
      <w:marBottom w:val="0"/>
      <w:divBdr>
        <w:top w:val="none" w:sz="0" w:space="0" w:color="auto"/>
        <w:left w:val="none" w:sz="0" w:space="0" w:color="auto"/>
        <w:bottom w:val="none" w:sz="0" w:space="0" w:color="auto"/>
        <w:right w:val="none" w:sz="0" w:space="0" w:color="auto"/>
      </w:divBdr>
    </w:div>
    <w:div w:id="1427849097">
      <w:bodyDiv w:val="1"/>
      <w:marLeft w:val="0"/>
      <w:marRight w:val="0"/>
      <w:marTop w:val="0"/>
      <w:marBottom w:val="0"/>
      <w:divBdr>
        <w:top w:val="none" w:sz="0" w:space="0" w:color="auto"/>
        <w:left w:val="none" w:sz="0" w:space="0" w:color="auto"/>
        <w:bottom w:val="none" w:sz="0" w:space="0" w:color="auto"/>
        <w:right w:val="none" w:sz="0" w:space="0" w:color="auto"/>
      </w:divBdr>
    </w:div>
    <w:div w:id="1839728014">
      <w:bodyDiv w:val="1"/>
      <w:marLeft w:val="0"/>
      <w:marRight w:val="0"/>
      <w:marTop w:val="0"/>
      <w:marBottom w:val="0"/>
      <w:divBdr>
        <w:top w:val="none" w:sz="0" w:space="0" w:color="auto"/>
        <w:left w:val="none" w:sz="0" w:space="0" w:color="auto"/>
        <w:bottom w:val="none" w:sz="0" w:space="0" w:color="auto"/>
        <w:right w:val="none" w:sz="0" w:space="0" w:color="auto"/>
      </w:divBdr>
    </w:div>
    <w:div w:id="201352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lia.be" TargetMode="External"/><Relationship Id="rId18" Type="http://schemas.openxmlformats.org/officeDocument/2006/relationships/hyperlink" Target="http://www.elia.be"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elia.be" TargetMode="External"/><Relationship Id="rId17" Type="http://schemas.openxmlformats.org/officeDocument/2006/relationships/hyperlink" Target="https://www.elia.be/-/media/project/elia/elia-site/public-consultations/2020/20200828_document-final_crm_functioning-rules_nl.pdf" TargetMode="External"/><Relationship Id="rId2" Type="http://schemas.openxmlformats.org/officeDocument/2006/relationships/customXml" Target="../customXml/item2.xml"/><Relationship Id="rId16" Type="http://schemas.openxmlformats.org/officeDocument/2006/relationships/hyperlink" Target="http://www.elia.be" TargetMode="External"/><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lia.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ia.be" TargetMode="External"/><Relationship Id="rId22" Type="http://schemas.openxmlformats.org/officeDocument/2006/relationships/package" Target="embeddings/Microsoft_Excel_Worksheet1.xlsx"/></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44776AECF8B4D99D024C19F06696A" ma:contentTypeVersion="15" ma:contentTypeDescription="Een nieuw document maken." ma:contentTypeScope="" ma:versionID="ebc0dea54042cb1e19cc22b0b9e0bbe0">
  <xsd:schema xmlns:xsd="http://www.w3.org/2001/XMLSchema" xmlns:xs="http://www.w3.org/2001/XMLSchema" xmlns:p="http://schemas.microsoft.com/office/2006/metadata/properties" xmlns:ns2="dc27eef4-d356-41e1-bcf3-2711032fb096" xmlns:ns3="8eca3aca-d50a-4682-a4b5-acb37184d985" targetNamespace="http://schemas.microsoft.com/office/2006/metadata/properties" ma:root="true" ma:fieldsID="cf37f98d956a20ebf0e2fd31ea3097f9" ns2:_="" ns3:_="">
    <xsd:import namespace="dc27eef4-d356-41e1-bcf3-2711032fb096"/>
    <xsd:import namespace="8eca3aca-d50a-4682-a4b5-acb37184d985"/>
    <xsd:element name="properties">
      <xsd:complexType>
        <xsd:sequence>
          <xsd:element name="documentManagement">
            <xsd:complexType>
              <xsd:all>
                <xsd:element ref="ns2:DocumentCategorie" minOccurs="0"/>
                <xsd:element ref="ns2:VREGPost" minOccurs="0"/>
                <xsd:element ref="ns2:DocumentumID" minOccurs="0"/>
                <xsd:element ref="ns2:OrigineelGemaaktDoor" minOccurs="0"/>
                <xsd:element ref="ns2:OrigineelGewijzigdDoor"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7eef4-d356-41e1-bcf3-2711032fb096" elementFormDefault="qualified">
    <xsd:import namespace="http://schemas.microsoft.com/office/2006/documentManagement/types"/>
    <xsd:import namespace="http://schemas.microsoft.com/office/infopath/2007/PartnerControls"/>
    <xsd:element name="DocumentCategorie" ma:index="8" nillable="true" ma:displayName="Document categorie" ma:internalName="DocumentCategorie">
      <xsd:simpleType>
        <xsd:restriction base="dms:Choice">
          <xsd:enumeration value="Notulen DR"/>
          <xsd:enumeration value="Communicatie (brief, mail, fax)"/>
          <xsd:enumeration value="Advies"/>
          <xsd:enumeration value="Beslissing"/>
          <xsd:enumeration value="Contract"/>
          <xsd:enumeration value="Factuur"/>
          <xsd:enumeration value="Mededeling"/>
          <xsd:enumeration value="Nota"/>
          <xsd:enumeration value="Persbericht"/>
          <xsd:enumeration value="Presentatie"/>
          <xsd:enumeration value="Procedure"/>
          <xsd:enumeration value="Rapport"/>
          <xsd:enumeration value="Sjabloon"/>
          <xsd:enumeration value="Verslag"/>
          <xsd:enumeration value="Niet van toepassing"/>
          <xsd:enumeration value="Archief"/>
        </xsd:restriction>
      </xsd:simpleType>
    </xsd:element>
    <xsd:element name="VREGPost" ma:index="9" nillable="true" ma:displayName="Post" ma:internalName="VREGPost">
      <xsd:simpleType>
        <xsd:restriction base="dms:Choice">
          <xsd:enumeration value="Inkomende"/>
          <xsd:enumeration value="Uitgaande"/>
        </xsd:restriction>
      </xsd:simpleType>
    </xsd:element>
    <xsd:element name="DocumentumID" ma:index="10" nillable="true" ma:displayName="Documentum ID" ma:internalName="DocumentumID">
      <xsd:simpleType>
        <xsd:restriction base="dms:Text"/>
      </xsd:simpleType>
    </xsd:element>
    <xsd:element name="OrigineelGemaaktDoor" ma:index="11" nillable="true" ma:displayName="Origineel gemaakt door" ma:internalName="OrigineelGemaaktDoor">
      <xsd:simpleType>
        <xsd:restriction base="dms:Text"/>
      </xsd:simpleType>
    </xsd:element>
    <xsd:element name="OrigineelGewijzigdDoor" ma:index="12" nillable="true" ma:displayName="Origineel gewijzigd door" ma:internalName="OrigineelGewijzigdDoor">
      <xsd:simpleType>
        <xsd:restriction base="dms:Text"/>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ca3aca-d50a-4682-a4b5-acb37184d985"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REGPost xmlns="dc27eef4-d356-41e1-bcf3-2711032fb096" xsi:nil="true"/>
    <DocumentumID xmlns="dc27eef4-d356-41e1-bcf3-2711032fb096" xsi:nil="true"/>
    <OrigineelGemaaktDoor xmlns="dc27eef4-d356-41e1-bcf3-2711032fb096" xsi:nil="true"/>
    <OrigineelGewijzigdDoor xmlns="dc27eef4-d356-41e1-bcf3-2711032fb096" xsi:nil="true"/>
    <DocumentCategorie xmlns="dc27eef4-d356-41e1-bcf3-2711032fb096" xsi:nil="true"/>
    <SharedWithUsers xmlns="dc27eef4-d356-41e1-bcf3-2711032fb096">
      <UserInfo>
        <DisplayName>Pauline Ottoy</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601CF-6222-4E8F-B5C5-0C98176F8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7eef4-d356-41e1-bcf3-2711032fb096"/>
    <ds:schemaRef ds:uri="8eca3aca-d50a-4682-a4b5-acb37184d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1EECB-E757-4D0E-9D3C-84313BF1B84A}">
  <ds:schemaRefs>
    <ds:schemaRef ds:uri="http://schemas.microsoft.com/sharepoint/v3/contenttype/forms"/>
  </ds:schemaRefs>
</ds:datastoreItem>
</file>

<file path=customXml/itemProps3.xml><?xml version="1.0" encoding="utf-8"?>
<ds:datastoreItem xmlns:ds="http://schemas.openxmlformats.org/officeDocument/2006/customXml" ds:itemID="{C617D26A-638F-4299-AF85-3093331A85AC}">
  <ds:schemaRefs>
    <ds:schemaRef ds:uri="http://schemas.microsoft.com/office/2006/documentManagement/types"/>
    <ds:schemaRef ds:uri="dc27eef4-d356-41e1-bcf3-2711032fb09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8eca3aca-d50a-4682-a4b5-acb37184d985"/>
    <ds:schemaRef ds:uri="http://www.w3.org/XML/1998/namespace"/>
    <ds:schemaRef ds:uri="http://purl.org/dc/dcmitype/"/>
  </ds:schemaRefs>
</ds:datastoreItem>
</file>

<file path=customXml/itemProps4.xml><?xml version="1.0" encoding="utf-8"?>
<ds:datastoreItem xmlns:ds="http://schemas.openxmlformats.org/officeDocument/2006/customXml" ds:itemID="{96F74B9A-6126-4FE3-AC4A-B6B8EF0C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5846</Words>
  <Characters>32153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Eandis</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Modelovereenkomst_FSP_DNB_20201001_CRM_ToE_DAID_draft na consultatie</dc:title>
  <dc:creator>Soens Joris</dc:creator>
  <cp:lastModifiedBy>Shirley Pauwels</cp:lastModifiedBy>
  <cp:revision>14</cp:revision>
  <cp:lastPrinted>2020-08-17T14:30:00Z</cp:lastPrinted>
  <dcterms:created xsi:type="dcterms:W3CDTF">2020-10-01T11:33:00Z</dcterms:created>
  <dcterms:modified xsi:type="dcterms:W3CDTF">2021-02-12T09:52:00Z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0x010100E4744776AECF8B4D99D024C19F06696A</vt:lpwstr>
  </property>
  <property fmtid="{D5CDD505-2E9C-101B-9397-08002B2CF9AE}" pid="3" name="Order">
    <vt:r8>2478800</vt:r8>
  </property>
</Properties>
</file>