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40ECB8" w14:textId="77777777" w:rsidR="00DF0678" w:rsidRDefault="00DF0678" w:rsidP="00DF0678">
      <w:bookmarkStart w:id="0" w:name="_GoBack"/>
      <w:bookmarkEnd w:id="0"/>
    </w:p>
    <w:p w14:paraId="2FC607A4" w14:textId="77777777" w:rsidR="002477B9" w:rsidRDefault="002477B9" w:rsidP="00DF0678"/>
    <w:p w14:paraId="5B1FEC47" w14:textId="556CE8D8" w:rsidR="00844889" w:rsidRPr="00043B8D" w:rsidRDefault="00AD3751" w:rsidP="00DB4DD1">
      <w:pPr>
        <w:pBdr>
          <w:top w:val="single" w:sz="4" w:space="1" w:color="auto"/>
          <w:left w:val="single" w:sz="4" w:space="4" w:color="auto"/>
          <w:bottom w:val="single" w:sz="4" w:space="1" w:color="auto"/>
          <w:right w:val="single" w:sz="4" w:space="4" w:color="auto"/>
        </w:pBdr>
        <w:rPr>
          <w:b/>
          <w:sz w:val="32"/>
          <w:szCs w:val="32"/>
        </w:rPr>
      </w:pPr>
      <w:r w:rsidRPr="00043B8D">
        <w:rPr>
          <w:b/>
          <w:sz w:val="32"/>
          <w:szCs w:val="32"/>
        </w:rPr>
        <w:t>M</w:t>
      </w:r>
      <w:r w:rsidR="00844889" w:rsidRPr="00043B8D">
        <w:rPr>
          <w:b/>
          <w:sz w:val="32"/>
          <w:szCs w:val="32"/>
        </w:rPr>
        <w:t>ethode t</w:t>
      </w:r>
      <w:r w:rsidR="00DB4DD1" w:rsidRPr="00043B8D">
        <w:rPr>
          <w:b/>
          <w:sz w:val="32"/>
          <w:szCs w:val="32"/>
        </w:rPr>
        <w:t>er</w:t>
      </w:r>
      <w:r w:rsidR="00844889" w:rsidRPr="00043B8D">
        <w:rPr>
          <w:b/>
          <w:sz w:val="32"/>
          <w:szCs w:val="32"/>
        </w:rPr>
        <w:t xml:space="preserve"> vaststelling van de distributienettarieven</w:t>
      </w:r>
      <w:r w:rsidR="00540E04" w:rsidRPr="00043B8D">
        <w:rPr>
          <w:b/>
          <w:sz w:val="32"/>
          <w:szCs w:val="32"/>
        </w:rPr>
        <w:t xml:space="preserve"> voor elektriciteit en aardgas</w:t>
      </w:r>
      <w:r w:rsidRPr="00043B8D">
        <w:rPr>
          <w:b/>
          <w:sz w:val="32"/>
          <w:szCs w:val="32"/>
        </w:rPr>
        <w:t xml:space="preserve"> </w:t>
      </w:r>
      <w:r w:rsidR="008451F0" w:rsidRPr="00043B8D">
        <w:rPr>
          <w:b/>
          <w:sz w:val="32"/>
          <w:szCs w:val="32"/>
        </w:rPr>
        <w:t xml:space="preserve">voor de eerste reguleringsperiode </w:t>
      </w:r>
      <w:r w:rsidRPr="00043B8D">
        <w:rPr>
          <w:b/>
          <w:sz w:val="32"/>
          <w:szCs w:val="32"/>
        </w:rPr>
        <w:t>2015-2016.</w:t>
      </w:r>
    </w:p>
    <w:p w14:paraId="72B8477E" w14:textId="77777777" w:rsidR="00844889" w:rsidRPr="00043B8D" w:rsidRDefault="00844889" w:rsidP="00DF0678">
      <w:pPr>
        <w:rPr>
          <w:b/>
        </w:rPr>
      </w:pPr>
    </w:p>
    <w:p w14:paraId="229B959A" w14:textId="77777777" w:rsidR="00DF0678" w:rsidRPr="00043B8D" w:rsidRDefault="00DF0678" w:rsidP="00DF0678"/>
    <w:p w14:paraId="00E51981" w14:textId="77777777" w:rsidR="0069199B" w:rsidRDefault="00FD6E69">
      <w:pPr>
        <w:pStyle w:val="Inhopg1"/>
        <w:rPr>
          <w:rFonts w:asciiTheme="minorHAnsi" w:eastAsiaTheme="minorEastAsia" w:hAnsiTheme="minorHAnsi" w:cstheme="minorBidi"/>
          <w:b w:val="0"/>
          <w:caps w:val="0"/>
          <w:noProof/>
          <w:sz w:val="22"/>
          <w:lang w:val="nl-BE" w:eastAsia="nl-BE"/>
        </w:rPr>
      </w:pPr>
      <w:r w:rsidRPr="00043B8D">
        <w:fldChar w:fldCharType="begin"/>
      </w:r>
      <w:r w:rsidRPr="00043B8D">
        <w:instrText xml:space="preserve"> TOC \o "1-5" \h \z \u </w:instrText>
      </w:r>
      <w:r w:rsidRPr="00043B8D">
        <w:fldChar w:fldCharType="separate"/>
      </w:r>
      <w:hyperlink w:anchor="_Toc454186643" w:history="1">
        <w:r w:rsidR="0069199B" w:rsidRPr="00E41199">
          <w:rPr>
            <w:rStyle w:val="Hyperlink"/>
            <w:noProof/>
          </w:rPr>
          <w:t>1</w:t>
        </w:r>
        <w:r w:rsidR="0069199B">
          <w:rPr>
            <w:rFonts w:asciiTheme="minorHAnsi" w:eastAsiaTheme="minorEastAsia" w:hAnsiTheme="minorHAnsi" w:cstheme="minorBidi"/>
            <w:b w:val="0"/>
            <w:caps w:val="0"/>
            <w:noProof/>
            <w:sz w:val="22"/>
            <w:lang w:val="nl-BE" w:eastAsia="nl-BE"/>
          </w:rPr>
          <w:tab/>
        </w:r>
        <w:r w:rsidR="0069199B" w:rsidRPr="00E41199">
          <w:rPr>
            <w:rStyle w:val="Hyperlink"/>
            <w:noProof/>
          </w:rPr>
          <w:t>Begrippenlijst</w:t>
        </w:r>
        <w:r w:rsidR="0069199B">
          <w:rPr>
            <w:noProof/>
            <w:webHidden/>
          </w:rPr>
          <w:tab/>
        </w:r>
        <w:r w:rsidR="0069199B">
          <w:rPr>
            <w:noProof/>
            <w:webHidden/>
          </w:rPr>
          <w:fldChar w:fldCharType="begin"/>
        </w:r>
        <w:r w:rsidR="0069199B">
          <w:rPr>
            <w:noProof/>
            <w:webHidden/>
          </w:rPr>
          <w:instrText xml:space="preserve"> PAGEREF _Toc454186643 \h </w:instrText>
        </w:r>
        <w:r w:rsidR="0069199B">
          <w:rPr>
            <w:noProof/>
            <w:webHidden/>
          </w:rPr>
        </w:r>
        <w:r w:rsidR="0069199B">
          <w:rPr>
            <w:noProof/>
            <w:webHidden/>
          </w:rPr>
          <w:fldChar w:fldCharType="separate"/>
        </w:r>
        <w:r w:rsidR="0069199B">
          <w:rPr>
            <w:noProof/>
            <w:webHidden/>
          </w:rPr>
          <w:t>4</w:t>
        </w:r>
        <w:r w:rsidR="0069199B">
          <w:rPr>
            <w:noProof/>
            <w:webHidden/>
          </w:rPr>
          <w:fldChar w:fldCharType="end"/>
        </w:r>
      </w:hyperlink>
    </w:p>
    <w:p w14:paraId="70101155" w14:textId="77777777" w:rsidR="0069199B" w:rsidRDefault="000937A6">
      <w:pPr>
        <w:pStyle w:val="Inhopg1"/>
        <w:rPr>
          <w:rFonts w:asciiTheme="minorHAnsi" w:eastAsiaTheme="minorEastAsia" w:hAnsiTheme="minorHAnsi" w:cstheme="minorBidi"/>
          <w:b w:val="0"/>
          <w:caps w:val="0"/>
          <w:noProof/>
          <w:sz w:val="22"/>
          <w:lang w:val="nl-BE" w:eastAsia="nl-BE"/>
        </w:rPr>
      </w:pPr>
      <w:hyperlink w:anchor="_Toc454186644" w:history="1">
        <w:r w:rsidR="0069199B" w:rsidRPr="00E41199">
          <w:rPr>
            <w:rStyle w:val="Hyperlink"/>
            <w:noProof/>
          </w:rPr>
          <w:t>2</w:t>
        </w:r>
        <w:r w:rsidR="0069199B">
          <w:rPr>
            <w:rFonts w:asciiTheme="minorHAnsi" w:eastAsiaTheme="minorEastAsia" w:hAnsiTheme="minorHAnsi" w:cstheme="minorBidi"/>
            <w:b w:val="0"/>
            <w:caps w:val="0"/>
            <w:noProof/>
            <w:sz w:val="22"/>
            <w:lang w:val="nl-BE" w:eastAsia="nl-BE"/>
          </w:rPr>
          <w:tab/>
        </w:r>
        <w:r w:rsidR="0069199B" w:rsidRPr="00E41199">
          <w:rPr>
            <w:rStyle w:val="Hyperlink"/>
            <w:noProof/>
          </w:rPr>
          <w:t>Inleiding</w:t>
        </w:r>
        <w:r w:rsidR="0069199B">
          <w:rPr>
            <w:noProof/>
            <w:webHidden/>
          </w:rPr>
          <w:tab/>
        </w:r>
        <w:r w:rsidR="0069199B">
          <w:rPr>
            <w:noProof/>
            <w:webHidden/>
          </w:rPr>
          <w:fldChar w:fldCharType="begin"/>
        </w:r>
        <w:r w:rsidR="0069199B">
          <w:rPr>
            <w:noProof/>
            <w:webHidden/>
          </w:rPr>
          <w:instrText xml:space="preserve"> PAGEREF _Toc454186644 \h </w:instrText>
        </w:r>
        <w:r w:rsidR="0069199B">
          <w:rPr>
            <w:noProof/>
            <w:webHidden/>
          </w:rPr>
        </w:r>
        <w:r w:rsidR="0069199B">
          <w:rPr>
            <w:noProof/>
            <w:webHidden/>
          </w:rPr>
          <w:fldChar w:fldCharType="separate"/>
        </w:r>
        <w:r w:rsidR="0069199B">
          <w:rPr>
            <w:noProof/>
            <w:webHidden/>
          </w:rPr>
          <w:t>9</w:t>
        </w:r>
        <w:r w:rsidR="0069199B">
          <w:rPr>
            <w:noProof/>
            <w:webHidden/>
          </w:rPr>
          <w:fldChar w:fldCharType="end"/>
        </w:r>
      </w:hyperlink>
    </w:p>
    <w:p w14:paraId="3375EEFF" w14:textId="77777777" w:rsidR="0069199B" w:rsidRDefault="000937A6">
      <w:pPr>
        <w:pStyle w:val="Inhopg1"/>
        <w:rPr>
          <w:rFonts w:asciiTheme="minorHAnsi" w:eastAsiaTheme="minorEastAsia" w:hAnsiTheme="minorHAnsi" w:cstheme="minorBidi"/>
          <w:b w:val="0"/>
          <w:caps w:val="0"/>
          <w:noProof/>
          <w:sz w:val="22"/>
          <w:lang w:val="nl-BE" w:eastAsia="nl-BE"/>
        </w:rPr>
      </w:pPr>
      <w:hyperlink w:anchor="_Toc454186645" w:history="1">
        <w:r w:rsidR="0069199B" w:rsidRPr="00E41199">
          <w:rPr>
            <w:rStyle w:val="Hyperlink"/>
            <w:noProof/>
          </w:rPr>
          <w:t>3</w:t>
        </w:r>
        <w:r w:rsidR="0069199B">
          <w:rPr>
            <w:rFonts w:asciiTheme="minorHAnsi" w:eastAsiaTheme="minorEastAsia" w:hAnsiTheme="minorHAnsi" w:cstheme="minorBidi"/>
            <w:b w:val="0"/>
            <w:caps w:val="0"/>
            <w:noProof/>
            <w:sz w:val="22"/>
            <w:lang w:val="nl-BE" w:eastAsia="nl-BE"/>
          </w:rPr>
          <w:tab/>
        </w:r>
        <w:r w:rsidR="0069199B" w:rsidRPr="00E41199">
          <w:rPr>
            <w:rStyle w:val="Hyperlink"/>
            <w:noProof/>
          </w:rPr>
          <w:t>Toepassingsgebied</w:t>
        </w:r>
        <w:r w:rsidR="0069199B">
          <w:rPr>
            <w:noProof/>
            <w:webHidden/>
          </w:rPr>
          <w:tab/>
        </w:r>
        <w:r w:rsidR="0069199B">
          <w:rPr>
            <w:noProof/>
            <w:webHidden/>
          </w:rPr>
          <w:fldChar w:fldCharType="begin"/>
        </w:r>
        <w:r w:rsidR="0069199B">
          <w:rPr>
            <w:noProof/>
            <w:webHidden/>
          </w:rPr>
          <w:instrText xml:space="preserve"> PAGEREF _Toc454186645 \h </w:instrText>
        </w:r>
        <w:r w:rsidR="0069199B">
          <w:rPr>
            <w:noProof/>
            <w:webHidden/>
          </w:rPr>
        </w:r>
        <w:r w:rsidR="0069199B">
          <w:rPr>
            <w:noProof/>
            <w:webHidden/>
          </w:rPr>
          <w:fldChar w:fldCharType="separate"/>
        </w:r>
        <w:r w:rsidR="0069199B">
          <w:rPr>
            <w:noProof/>
            <w:webHidden/>
          </w:rPr>
          <w:t>10</w:t>
        </w:r>
        <w:r w:rsidR="0069199B">
          <w:rPr>
            <w:noProof/>
            <w:webHidden/>
          </w:rPr>
          <w:fldChar w:fldCharType="end"/>
        </w:r>
      </w:hyperlink>
    </w:p>
    <w:p w14:paraId="4E5E7A56" w14:textId="77777777" w:rsidR="0069199B" w:rsidRDefault="000937A6">
      <w:pPr>
        <w:pStyle w:val="Inhopg2"/>
        <w:rPr>
          <w:rFonts w:asciiTheme="minorHAnsi" w:eastAsiaTheme="minorEastAsia" w:hAnsiTheme="minorHAnsi" w:cstheme="minorBidi"/>
          <w:smallCaps w:val="0"/>
          <w:sz w:val="22"/>
          <w:szCs w:val="22"/>
          <w:lang w:val="nl-BE" w:eastAsia="nl-BE"/>
        </w:rPr>
      </w:pPr>
      <w:hyperlink w:anchor="_Toc454186646" w:history="1">
        <w:r w:rsidR="0069199B" w:rsidRPr="00E41199">
          <w:rPr>
            <w:rStyle w:val="Hyperlink"/>
          </w:rPr>
          <w:t>3.1</w:t>
        </w:r>
        <w:r w:rsidR="0069199B">
          <w:rPr>
            <w:rFonts w:asciiTheme="minorHAnsi" w:eastAsiaTheme="minorEastAsia" w:hAnsiTheme="minorHAnsi" w:cstheme="minorBidi"/>
            <w:smallCaps w:val="0"/>
            <w:sz w:val="22"/>
            <w:szCs w:val="22"/>
            <w:lang w:val="nl-BE" w:eastAsia="nl-BE"/>
          </w:rPr>
          <w:tab/>
        </w:r>
        <w:r w:rsidR="0069199B" w:rsidRPr="00E41199">
          <w:rPr>
            <w:rStyle w:val="Hyperlink"/>
          </w:rPr>
          <w:t>Distributienetbeheerders</w:t>
        </w:r>
        <w:r w:rsidR="0069199B">
          <w:rPr>
            <w:webHidden/>
          </w:rPr>
          <w:tab/>
        </w:r>
        <w:r w:rsidR="0069199B">
          <w:rPr>
            <w:webHidden/>
          </w:rPr>
          <w:fldChar w:fldCharType="begin"/>
        </w:r>
        <w:r w:rsidR="0069199B">
          <w:rPr>
            <w:webHidden/>
          </w:rPr>
          <w:instrText xml:space="preserve"> PAGEREF _Toc454186646 \h </w:instrText>
        </w:r>
        <w:r w:rsidR="0069199B">
          <w:rPr>
            <w:webHidden/>
          </w:rPr>
        </w:r>
        <w:r w:rsidR="0069199B">
          <w:rPr>
            <w:webHidden/>
          </w:rPr>
          <w:fldChar w:fldCharType="separate"/>
        </w:r>
        <w:r w:rsidR="0069199B">
          <w:rPr>
            <w:webHidden/>
          </w:rPr>
          <w:t>10</w:t>
        </w:r>
        <w:r w:rsidR="0069199B">
          <w:rPr>
            <w:webHidden/>
          </w:rPr>
          <w:fldChar w:fldCharType="end"/>
        </w:r>
      </w:hyperlink>
    </w:p>
    <w:p w14:paraId="19881CF2" w14:textId="77777777" w:rsidR="0069199B" w:rsidRDefault="000937A6">
      <w:pPr>
        <w:pStyle w:val="Inhopg2"/>
        <w:rPr>
          <w:rFonts w:asciiTheme="minorHAnsi" w:eastAsiaTheme="minorEastAsia" w:hAnsiTheme="minorHAnsi" w:cstheme="minorBidi"/>
          <w:smallCaps w:val="0"/>
          <w:sz w:val="22"/>
          <w:szCs w:val="22"/>
          <w:lang w:val="nl-BE" w:eastAsia="nl-BE"/>
        </w:rPr>
      </w:pPr>
      <w:hyperlink w:anchor="_Toc454186647" w:history="1">
        <w:r w:rsidR="0069199B" w:rsidRPr="00E41199">
          <w:rPr>
            <w:rStyle w:val="Hyperlink"/>
          </w:rPr>
          <w:t>3.2</w:t>
        </w:r>
        <w:r w:rsidR="0069199B">
          <w:rPr>
            <w:rFonts w:asciiTheme="minorHAnsi" w:eastAsiaTheme="minorEastAsia" w:hAnsiTheme="minorHAnsi" w:cstheme="minorBidi"/>
            <w:smallCaps w:val="0"/>
            <w:sz w:val="22"/>
            <w:szCs w:val="22"/>
            <w:lang w:val="nl-BE" w:eastAsia="nl-BE"/>
          </w:rPr>
          <w:tab/>
        </w:r>
        <w:r w:rsidR="0069199B" w:rsidRPr="00E41199">
          <w:rPr>
            <w:rStyle w:val="Hyperlink"/>
          </w:rPr>
          <w:t>Gewestgrensoverschrijdende distributienetbeheerders</w:t>
        </w:r>
        <w:r w:rsidR="0069199B">
          <w:rPr>
            <w:webHidden/>
          </w:rPr>
          <w:tab/>
        </w:r>
        <w:r w:rsidR="0069199B">
          <w:rPr>
            <w:webHidden/>
          </w:rPr>
          <w:fldChar w:fldCharType="begin"/>
        </w:r>
        <w:r w:rsidR="0069199B">
          <w:rPr>
            <w:webHidden/>
          </w:rPr>
          <w:instrText xml:space="preserve"> PAGEREF _Toc454186647 \h </w:instrText>
        </w:r>
        <w:r w:rsidR="0069199B">
          <w:rPr>
            <w:webHidden/>
          </w:rPr>
        </w:r>
        <w:r w:rsidR="0069199B">
          <w:rPr>
            <w:webHidden/>
          </w:rPr>
          <w:fldChar w:fldCharType="separate"/>
        </w:r>
        <w:r w:rsidR="0069199B">
          <w:rPr>
            <w:webHidden/>
          </w:rPr>
          <w:t>10</w:t>
        </w:r>
        <w:r w:rsidR="0069199B">
          <w:rPr>
            <w:webHidden/>
          </w:rPr>
          <w:fldChar w:fldCharType="end"/>
        </w:r>
      </w:hyperlink>
    </w:p>
    <w:p w14:paraId="15CB3261" w14:textId="77777777" w:rsidR="0069199B" w:rsidRDefault="000937A6">
      <w:pPr>
        <w:pStyle w:val="Inhopg1"/>
        <w:rPr>
          <w:rFonts w:asciiTheme="minorHAnsi" w:eastAsiaTheme="minorEastAsia" w:hAnsiTheme="minorHAnsi" w:cstheme="minorBidi"/>
          <w:b w:val="0"/>
          <w:caps w:val="0"/>
          <w:noProof/>
          <w:sz w:val="22"/>
          <w:lang w:val="nl-BE" w:eastAsia="nl-BE"/>
        </w:rPr>
      </w:pPr>
      <w:hyperlink w:anchor="_Toc454186648" w:history="1">
        <w:r w:rsidR="0069199B" w:rsidRPr="00E41199">
          <w:rPr>
            <w:rStyle w:val="Hyperlink"/>
            <w:noProof/>
          </w:rPr>
          <w:t>4</w:t>
        </w:r>
        <w:r w:rsidR="0069199B">
          <w:rPr>
            <w:rFonts w:asciiTheme="minorHAnsi" w:eastAsiaTheme="minorEastAsia" w:hAnsiTheme="minorHAnsi" w:cstheme="minorBidi"/>
            <w:b w:val="0"/>
            <w:caps w:val="0"/>
            <w:noProof/>
            <w:sz w:val="22"/>
            <w:lang w:val="nl-BE" w:eastAsia="nl-BE"/>
          </w:rPr>
          <w:tab/>
        </w:r>
        <w:r w:rsidR="0069199B" w:rsidRPr="00E41199">
          <w:rPr>
            <w:rStyle w:val="Hyperlink"/>
            <w:noProof/>
          </w:rPr>
          <w:t>Economische regulering van distributienetbeheerders</w:t>
        </w:r>
        <w:r w:rsidR="0069199B">
          <w:rPr>
            <w:noProof/>
            <w:webHidden/>
          </w:rPr>
          <w:tab/>
        </w:r>
        <w:r w:rsidR="0069199B">
          <w:rPr>
            <w:noProof/>
            <w:webHidden/>
          </w:rPr>
          <w:fldChar w:fldCharType="begin"/>
        </w:r>
        <w:r w:rsidR="0069199B">
          <w:rPr>
            <w:noProof/>
            <w:webHidden/>
          </w:rPr>
          <w:instrText xml:space="preserve"> PAGEREF _Toc454186648 \h </w:instrText>
        </w:r>
        <w:r w:rsidR="0069199B">
          <w:rPr>
            <w:noProof/>
            <w:webHidden/>
          </w:rPr>
        </w:r>
        <w:r w:rsidR="0069199B">
          <w:rPr>
            <w:noProof/>
            <w:webHidden/>
          </w:rPr>
          <w:fldChar w:fldCharType="separate"/>
        </w:r>
        <w:r w:rsidR="0069199B">
          <w:rPr>
            <w:noProof/>
            <w:webHidden/>
          </w:rPr>
          <w:t>11</w:t>
        </w:r>
        <w:r w:rsidR="0069199B">
          <w:rPr>
            <w:noProof/>
            <w:webHidden/>
          </w:rPr>
          <w:fldChar w:fldCharType="end"/>
        </w:r>
      </w:hyperlink>
    </w:p>
    <w:p w14:paraId="2F586B23" w14:textId="77777777" w:rsidR="0069199B" w:rsidRDefault="000937A6">
      <w:pPr>
        <w:pStyle w:val="Inhopg2"/>
        <w:rPr>
          <w:rFonts w:asciiTheme="minorHAnsi" w:eastAsiaTheme="minorEastAsia" w:hAnsiTheme="minorHAnsi" w:cstheme="minorBidi"/>
          <w:smallCaps w:val="0"/>
          <w:sz w:val="22"/>
          <w:szCs w:val="22"/>
          <w:lang w:val="nl-BE" w:eastAsia="nl-BE"/>
        </w:rPr>
      </w:pPr>
      <w:hyperlink w:anchor="_Toc454186649" w:history="1">
        <w:r w:rsidR="0069199B" w:rsidRPr="00E41199">
          <w:rPr>
            <w:rStyle w:val="Hyperlink"/>
          </w:rPr>
          <w:t>4.1.</w:t>
        </w:r>
        <w:r w:rsidR="0069199B">
          <w:rPr>
            <w:rFonts w:asciiTheme="minorHAnsi" w:eastAsiaTheme="minorEastAsia" w:hAnsiTheme="minorHAnsi" w:cstheme="minorBidi"/>
            <w:smallCaps w:val="0"/>
            <w:sz w:val="22"/>
            <w:szCs w:val="22"/>
            <w:lang w:val="nl-BE" w:eastAsia="nl-BE"/>
          </w:rPr>
          <w:tab/>
        </w:r>
        <w:r w:rsidR="0069199B" w:rsidRPr="00E41199">
          <w:rPr>
            <w:rStyle w:val="Hyperlink"/>
          </w:rPr>
          <w:t>Natuurlijk monopolie</w:t>
        </w:r>
        <w:r w:rsidR="0069199B">
          <w:rPr>
            <w:webHidden/>
          </w:rPr>
          <w:tab/>
        </w:r>
        <w:r w:rsidR="0069199B">
          <w:rPr>
            <w:webHidden/>
          </w:rPr>
          <w:fldChar w:fldCharType="begin"/>
        </w:r>
        <w:r w:rsidR="0069199B">
          <w:rPr>
            <w:webHidden/>
          </w:rPr>
          <w:instrText xml:space="preserve"> PAGEREF _Toc454186649 \h </w:instrText>
        </w:r>
        <w:r w:rsidR="0069199B">
          <w:rPr>
            <w:webHidden/>
          </w:rPr>
        </w:r>
        <w:r w:rsidR="0069199B">
          <w:rPr>
            <w:webHidden/>
          </w:rPr>
          <w:fldChar w:fldCharType="separate"/>
        </w:r>
        <w:r w:rsidR="0069199B">
          <w:rPr>
            <w:webHidden/>
          </w:rPr>
          <w:t>11</w:t>
        </w:r>
        <w:r w:rsidR="0069199B">
          <w:rPr>
            <w:webHidden/>
          </w:rPr>
          <w:fldChar w:fldCharType="end"/>
        </w:r>
      </w:hyperlink>
    </w:p>
    <w:p w14:paraId="6E12E485" w14:textId="77777777" w:rsidR="0069199B" w:rsidRDefault="000937A6">
      <w:pPr>
        <w:pStyle w:val="Inhopg2"/>
        <w:rPr>
          <w:rFonts w:asciiTheme="minorHAnsi" w:eastAsiaTheme="minorEastAsia" w:hAnsiTheme="minorHAnsi" w:cstheme="minorBidi"/>
          <w:smallCaps w:val="0"/>
          <w:sz w:val="22"/>
          <w:szCs w:val="22"/>
          <w:lang w:val="nl-BE" w:eastAsia="nl-BE"/>
        </w:rPr>
      </w:pPr>
      <w:hyperlink w:anchor="_Toc454186650" w:history="1">
        <w:r w:rsidR="0069199B" w:rsidRPr="00E41199">
          <w:rPr>
            <w:rStyle w:val="Hyperlink"/>
          </w:rPr>
          <w:t>4.2.</w:t>
        </w:r>
        <w:r w:rsidR="0069199B">
          <w:rPr>
            <w:rFonts w:asciiTheme="minorHAnsi" w:eastAsiaTheme="minorEastAsia" w:hAnsiTheme="minorHAnsi" w:cstheme="minorBidi"/>
            <w:smallCaps w:val="0"/>
            <w:sz w:val="22"/>
            <w:szCs w:val="22"/>
            <w:lang w:val="nl-BE" w:eastAsia="nl-BE"/>
          </w:rPr>
          <w:tab/>
        </w:r>
        <w:r w:rsidR="0069199B" w:rsidRPr="00E41199">
          <w:rPr>
            <w:rStyle w:val="Hyperlink"/>
          </w:rPr>
          <w:t>Modellen voor economische regulering</w:t>
        </w:r>
        <w:r w:rsidR="0069199B">
          <w:rPr>
            <w:webHidden/>
          </w:rPr>
          <w:tab/>
        </w:r>
        <w:r w:rsidR="0069199B">
          <w:rPr>
            <w:webHidden/>
          </w:rPr>
          <w:fldChar w:fldCharType="begin"/>
        </w:r>
        <w:r w:rsidR="0069199B">
          <w:rPr>
            <w:webHidden/>
          </w:rPr>
          <w:instrText xml:space="preserve"> PAGEREF _Toc454186650 \h </w:instrText>
        </w:r>
        <w:r w:rsidR="0069199B">
          <w:rPr>
            <w:webHidden/>
          </w:rPr>
        </w:r>
        <w:r w:rsidR="0069199B">
          <w:rPr>
            <w:webHidden/>
          </w:rPr>
          <w:fldChar w:fldCharType="separate"/>
        </w:r>
        <w:r w:rsidR="0069199B">
          <w:rPr>
            <w:webHidden/>
          </w:rPr>
          <w:t>11</w:t>
        </w:r>
        <w:r w:rsidR="0069199B">
          <w:rPr>
            <w:webHidden/>
          </w:rPr>
          <w:fldChar w:fldCharType="end"/>
        </w:r>
      </w:hyperlink>
    </w:p>
    <w:p w14:paraId="65D5B51B" w14:textId="77777777" w:rsidR="0069199B" w:rsidRDefault="000937A6">
      <w:pPr>
        <w:pStyle w:val="Inhopg2"/>
        <w:tabs>
          <w:tab w:val="left" w:pos="998"/>
        </w:tabs>
        <w:rPr>
          <w:rFonts w:asciiTheme="minorHAnsi" w:eastAsiaTheme="minorEastAsia" w:hAnsiTheme="minorHAnsi" w:cstheme="minorBidi"/>
          <w:smallCaps w:val="0"/>
          <w:sz w:val="22"/>
          <w:szCs w:val="22"/>
          <w:lang w:val="nl-BE" w:eastAsia="nl-BE"/>
        </w:rPr>
      </w:pPr>
      <w:hyperlink w:anchor="_Toc454186651" w:history="1">
        <w:r w:rsidR="0069199B" w:rsidRPr="00E41199">
          <w:rPr>
            <w:rStyle w:val="Hyperlink"/>
            <w:i/>
          </w:rPr>
          <w:t>4.2.1.</w:t>
        </w:r>
        <w:r w:rsidR="0069199B">
          <w:rPr>
            <w:rFonts w:asciiTheme="minorHAnsi" w:eastAsiaTheme="minorEastAsia" w:hAnsiTheme="minorHAnsi" w:cstheme="minorBidi"/>
            <w:smallCaps w:val="0"/>
            <w:sz w:val="22"/>
            <w:szCs w:val="22"/>
            <w:lang w:val="nl-BE" w:eastAsia="nl-BE"/>
          </w:rPr>
          <w:tab/>
        </w:r>
        <w:r w:rsidR="0069199B" w:rsidRPr="00E41199">
          <w:rPr>
            <w:rStyle w:val="Hyperlink"/>
            <w:i/>
          </w:rPr>
          <w:t>Rendementsregulering</w:t>
        </w:r>
        <w:r w:rsidR="0069199B">
          <w:rPr>
            <w:webHidden/>
          </w:rPr>
          <w:tab/>
        </w:r>
        <w:r w:rsidR="0069199B">
          <w:rPr>
            <w:webHidden/>
          </w:rPr>
          <w:fldChar w:fldCharType="begin"/>
        </w:r>
        <w:r w:rsidR="0069199B">
          <w:rPr>
            <w:webHidden/>
          </w:rPr>
          <w:instrText xml:space="preserve"> PAGEREF _Toc454186651 \h </w:instrText>
        </w:r>
        <w:r w:rsidR="0069199B">
          <w:rPr>
            <w:webHidden/>
          </w:rPr>
        </w:r>
        <w:r w:rsidR="0069199B">
          <w:rPr>
            <w:webHidden/>
          </w:rPr>
          <w:fldChar w:fldCharType="separate"/>
        </w:r>
        <w:r w:rsidR="0069199B">
          <w:rPr>
            <w:webHidden/>
          </w:rPr>
          <w:t>11</w:t>
        </w:r>
        <w:r w:rsidR="0069199B">
          <w:rPr>
            <w:webHidden/>
          </w:rPr>
          <w:fldChar w:fldCharType="end"/>
        </w:r>
      </w:hyperlink>
    </w:p>
    <w:p w14:paraId="5291B123" w14:textId="77777777" w:rsidR="0069199B" w:rsidRDefault="000937A6">
      <w:pPr>
        <w:pStyle w:val="Inhopg2"/>
        <w:tabs>
          <w:tab w:val="left" w:pos="998"/>
        </w:tabs>
        <w:rPr>
          <w:rFonts w:asciiTheme="minorHAnsi" w:eastAsiaTheme="minorEastAsia" w:hAnsiTheme="minorHAnsi" w:cstheme="minorBidi"/>
          <w:smallCaps w:val="0"/>
          <w:sz w:val="22"/>
          <w:szCs w:val="22"/>
          <w:lang w:val="nl-BE" w:eastAsia="nl-BE"/>
        </w:rPr>
      </w:pPr>
      <w:hyperlink w:anchor="_Toc454186652" w:history="1">
        <w:r w:rsidR="0069199B" w:rsidRPr="00E41199">
          <w:rPr>
            <w:rStyle w:val="Hyperlink"/>
            <w:i/>
          </w:rPr>
          <w:t>4.2.2.</w:t>
        </w:r>
        <w:r w:rsidR="0069199B">
          <w:rPr>
            <w:rFonts w:asciiTheme="minorHAnsi" w:eastAsiaTheme="minorEastAsia" w:hAnsiTheme="minorHAnsi" w:cstheme="minorBidi"/>
            <w:smallCaps w:val="0"/>
            <w:sz w:val="22"/>
            <w:szCs w:val="22"/>
            <w:lang w:val="nl-BE" w:eastAsia="nl-BE"/>
          </w:rPr>
          <w:tab/>
        </w:r>
        <w:r w:rsidR="0069199B" w:rsidRPr="00E41199">
          <w:rPr>
            <w:rStyle w:val="Hyperlink"/>
            <w:i/>
          </w:rPr>
          <w:t>Inkomstenregulering</w:t>
        </w:r>
        <w:r w:rsidR="0069199B">
          <w:rPr>
            <w:webHidden/>
          </w:rPr>
          <w:tab/>
        </w:r>
        <w:r w:rsidR="0069199B">
          <w:rPr>
            <w:webHidden/>
          </w:rPr>
          <w:fldChar w:fldCharType="begin"/>
        </w:r>
        <w:r w:rsidR="0069199B">
          <w:rPr>
            <w:webHidden/>
          </w:rPr>
          <w:instrText xml:space="preserve"> PAGEREF _Toc454186652 \h </w:instrText>
        </w:r>
        <w:r w:rsidR="0069199B">
          <w:rPr>
            <w:webHidden/>
          </w:rPr>
        </w:r>
        <w:r w:rsidR="0069199B">
          <w:rPr>
            <w:webHidden/>
          </w:rPr>
          <w:fldChar w:fldCharType="separate"/>
        </w:r>
        <w:r w:rsidR="0069199B">
          <w:rPr>
            <w:webHidden/>
          </w:rPr>
          <w:t>12</w:t>
        </w:r>
        <w:r w:rsidR="0069199B">
          <w:rPr>
            <w:webHidden/>
          </w:rPr>
          <w:fldChar w:fldCharType="end"/>
        </w:r>
      </w:hyperlink>
    </w:p>
    <w:p w14:paraId="3A456DDF" w14:textId="77777777" w:rsidR="0069199B" w:rsidRDefault="000937A6">
      <w:pPr>
        <w:pStyle w:val="Inhopg2"/>
        <w:tabs>
          <w:tab w:val="left" w:pos="998"/>
        </w:tabs>
        <w:rPr>
          <w:rFonts w:asciiTheme="minorHAnsi" w:eastAsiaTheme="minorEastAsia" w:hAnsiTheme="minorHAnsi" w:cstheme="minorBidi"/>
          <w:smallCaps w:val="0"/>
          <w:sz w:val="22"/>
          <w:szCs w:val="22"/>
          <w:lang w:val="nl-BE" w:eastAsia="nl-BE"/>
        </w:rPr>
      </w:pPr>
      <w:hyperlink w:anchor="_Toc454186653" w:history="1">
        <w:r w:rsidR="0069199B" w:rsidRPr="00E41199">
          <w:rPr>
            <w:rStyle w:val="Hyperlink"/>
            <w:i/>
          </w:rPr>
          <w:t>4.2.3.</w:t>
        </w:r>
        <w:r w:rsidR="0069199B">
          <w:rPr>
            <w:rFonts w:asciiTheme="minorHAnsi" w:eastAsiaTheme="minorEastAsia" w:hAnsiTheme="minorHAnsi" w:cstheme="minorBidi"/>
            <w:smallCaps w:val="0"/>
            <w:sz w:val="22"/>
            <w:szCs w:val="22"/>
            <w:lang w:val="nl-BE" w:eastAsia="nl-BE"/>
          </w:rPr>
          <w:tab/>
        </w:r>
        <w:r w:rsidR="0069199B" w:rsidRPr="00E41199">
          <w:rPr>
            <w:rStyle w:val="Hyperlink"/>
            <w:i/>
          </w:rPr>
          <w:t>Hybride model volgens tarieven-KB’s 2008</w:t>
        </w:r>
        <w:r w:rsidR="0069199B">
          <w:rPr>
            <w:webHidden/>
          </w:rPr>
          <w:tab/>
        </w:r>
        <w:r w:rsidR="0069199B">
          <w:rPr>
            <w:webHidden/>
          </w:rPr>
          <w:fldChar w:fldCharType="begin"/>
        </w:r>
        <w:r w:rsidR="0069199B">
          <w:rPr>
            <w:webHidden/>
          </w:rPr>
          <w:instrText xml:space="preserve"> PAGEREF _Toc454186653 \h </w:instrText>
        </w:r>
        <w:r w:rsidR="0069199B">
          <w:rPr>
            <w:webHidden/>
          </w:rPr>
        </w:r>
        <w:r w:rsidR="0069199B">
          <w:rPr>
            <w:webHidden/>
          </w:rPr>
          <w:fldChar w:fldCharType="separate"/>
        </w:r>
        <w:r w:rsidR="0069199B">
          <w:rPr>
            <w:webHidden/>
          </w:rPr>
          <w:t>13</w:t>
        </w:r>
        <w:r w:rsidR="0069199B">
          <w:rPr>
            <w:webHidden/>
          </w:rPr>
          <w:fldChar w:fldCharType="end"/>
        </w:r>
      </w:hyperlink>
    </w:p>
    <w:p w14:paraId="1494DBE8" w14:textId="77777777" w:rsidR="0069199B" w:rsidRDefault="000937A6">
      <w:pPr>
        <w:pStyle w:val="Inhopg1"/>
        <w:rPr>
          <w:rFonts w:asciiTheme="minorHAnsi" w:eastAsiaTheme="minorEastAsia" w:hAnsiTheme="minorHAnsi" w:cstheme="minorBidi"/>
          <w:b w:val="0"/>
          <w:caps w:val="0"/>
          <w:noProof/>
          <w:sz w:val="22"/>
          <w:lang w:val="nl-BE" w:eastAsia="nl-BE"/>
        </w:rPr>
      </w:pPr>
      <w:hyperlink w:anchor="_Toc454186654" w:history="1">
        <w:r w:rsidR="0069199B" w:rsidRPr="00E41199">
          <w:rPr>
            <w:rStyle w:val="Hyperlink"/>
            <w:noProof/>
          </w:rPr>
          <w:t>5</w:t>
        </w:r>
        <w:r w:rsidR="0069199B">
          <w:rPr>
            <w:rFonts w:asciiTheme="minorHAnsi" w:eastAsiaTheme="minorEastAsia" w:hAnsiTheme="minorHAnsi" w:cstheme="minorBidi"/>
            <w:b w:val="0"/>
            <w:caps w:val="0"/>
            <w:noProof/>
            <w:sz w:val="22"/>
            <w:lang w:val="nl-BE" w:eastAsia="nl-BE"/>
          </w:rPr>
          <w:tab/>
        </w:r>
        <w:r w:rsidR="0069199B" w:rsidRPr="00E41199">
          <w:rPr>
            <w:rStyle w:val="Hyperlink"/>
            <w:noProof/>
          </w:rPr>
          <w:t>Economische regulering door VREG</w:t>
        </w:r>
        <w:r w:rsidR="0069199B">
          <w:rPr>
            <w:noProof/>
            <w:webHidden/>
          </w:rPr>
          <w:tab/>
        </w:r>
        <w:r w:rsidR="0069199B">
          <w:rPr>
            <w:noProof/>
            <w:webHidden/>
          </w:rPr>
          <w:fldChar w:fldCharType="begin"/>
        </w:r>
        <w:r w:rsidR="0069199B">
          <w:rPr>
            <w:noProof/>
            <w:webHidden/>
          </w:rPr>
          <w:instrText xml:space="preserve"> PAGEREF _Toc454186654 \h </w:instrText>
        </w:r>
        <w:r w:rsidR="0069199B">
          <w:rPr>
            <w:noProof/>
            <w:webHidden/>
          </w:rPr>
        </w:r>
        <w:r w:rsidR="0069199B">
          <w:rPr>
            <w:noProof/>
            <w:webHidden/>
          </w:rPr>
          <w:fldChar w:fldCharType="separate"/>
        </w:r>
        <w:r w:rsidR="0069199B">
          <w:rPr>
            <w:noProof/>
            <w:webHidden/>
          </w:rPr>
          <w:t>15</w:t>
        </w:r>
        <w:r w:rsidR="0069199B">
          <w:rPr>
            <w:noProof/>
            <w:webHidden/>
          </w:rPr>
          <w:fldChar w:fldCharType="end"/>
        </w:r>
      </w:hyperlink>
    </w:p>
    <w:p w14:paraId="2DC5093B" w14:textId="77777777" w:rsidR="0069199B" w:rsidRDefault="000937A6">
      <w:pPr>
        <w:pStyle w:val="Inhopg2"/>
        <w:rPr>
          <w:rFonts w:asciiTheme="minorHAnsi" w:eastAsiaTheme="minorEastAsia" w:hAnsiTheme="minorHAnsi" w:cstheme="minorBidi"/>
          <w:smallCaps w:val="0"/>
          <w:sz w:val="22"/>
          <w:szCs w:val="22"/>
          <w:lang w:val="nl-BE" w:eastAsia="nl-BE"/>
        </w:rPr>
      </w:pPr>
      <w:hyperlink w:anchor="_Toc454186656" w:history="1">
        <w:r w:rsidR="0069199B" w:rsidRPr="00E41199">
          <w:rPr>
            <w:rStyle w:val="Hyperlink"/>
          </w:rPr>
          <w:t>5.1.</w:t>
        </w:r>
        <w:r w:rsidR="0069199B">
          <w:rPr>
            <w:rFonts w:asciiTheme="minorHAnsi" w:eastAsiaTheme="minorEastAsia" w:hAnsiTheme="minorHAnsi" w:cstheme="minorBidi"/>
            <w:smallCaps w:val="0"/>
            <w:sz w:val="22"/>
            <w:szCs w:val="22"/>
            <w:lang w:val="nl-BE" w:eastAsia="nl-BE"/>
          </w:rPr>
          <w:tab/>
        </w:r>
        <w:r w:rsidR="0069199B" w:rsidRPr="00E41199">
          <w:rPr>
            <w:rStyle w:val="Hyperlink"/>
          </w:rPr>
          <w:t>Algemene uitgangspunten</w:t>
        </w:r>
        <w:r w:rsidR="0069199B">
          <w:rPr>
            <w:webHidden/>
          </w:rPr>
          <w:tab/>
        </w:r>
        <w:r w:rsidR="0069199B">
          <w:rPr>
            <w:webHidden/>
          </w:rPr>
          <w:fldChar w:fldCharType="begin"/>
        </w:r>
        <w:r w:rsidR="0069199B">
          <w:rPr>
            <w:webHidden/>
          </w:rPr>
          <w:instrText xml:space="preserve"> PAGEREF _Toc454186656 \h </w:instrText>
        </w:r>
        <w:r w:rsidR="0069199B">
          <w:rPr>
            <w:webHidden/>
          </w:rPr>
        </w:r>
        <w:r w:rsidR="0069199B">
          <w:rPr>
            <w:webHidden/>
          </w:rPr>
          <w:fldChar w:fldCharType="separate"/>
        </w:r>
        <w:r w:rsidR="0069199B">
          <w:rPr>
            <w:webHidden/>
          </w:rPr>
          <w:t>15</w:t>
        </w:r>
        <w:r w:rsidR="0069199B">
          <w:rPr>
            <w:webHidden/>
          </w:rPr>
          <w:fldChar w:fldCharType="end"/>
        </w:r>
      </w:hyperlink>
    </w:p>
    <w:p w14:paraId="7AFFEDE1" w14:textId="77777777" w:rsidR="0069199B" w:rsidRDefault="000937A6">
      <w:pPr>
        <w:pStyle w:val="Inhopg2"/>
        <w:tabs>
          <w:tab w:val="left" w:pos="998"/>
        </w:tabs>
        <w:rPr>
          <w:rFonts w:asciiTheme="minorHAnsi" w:eastAsiaTheme="minorEastAsia" w:hAnsiTheme="minorHAnsi" w:cstheme="minorBidi"/>
          <w:smallCaps w:val="0"/>
          <w:sz w:val="22"/>
          <w:szCs w:val="22"/>
          <w:lang w:val="nl-BE" w:eastAsia="nl-BE"/>
        </w:rPr>
      </w:pPr>
      <w:hyperlink w:anchor="_Toc454186657" w:history="1">
        <w:r w:rsidR="0069199B" w:rsidRPr="00E41199">
          <w:rPr>
            <w:rStyle w:val="Hyperlink"/>
            <w:i/>
          </w:rPr>
          <w:t>5.1.1.</w:t>
        </w:r>
        <w:r w:rsidR="0069199B">
          <w:rPr>
            <w:rFonts w:asciiTheme="minorHAnsi" w:eastAsiaTheme="minorEastAsia" w:hAnsiTheme="minorHAnsi" w:cstheme="minorBidi"/>
            <w:smallCaps w:val="0"/>
            <w:sz w:val="22"/>
            <w:szCs w:val="22"/>
            <w:lang w:val="nl-BE" w:eastAsia="nl-BE"/>
          </w:rPr>
          <w:tab/>
        </w:r>
        <w:r w:rsidR="0069199B" w:rsidRPr="00E41199">
          <w:rPr>
            <w:rStyle w:val="Hyperlink"/>
            <w:i/>
          </w:rPr>
          <w:t>Stimuleren van efficiënte bedrijfsvoering</w:t>
        </w:r>
        <w:r w:rsidR="0069199B">
          <w:rPr>
            <w:webHidden/>
          </w:rPr>
          <w:tab/>
        </w:r>
        <w:r w:rsidR="0069199B">
          <w:rPr>
            <w:webHidden/>
          </w:rPr>
          <w:fldChar w:fldCharType="begin"/>
        </w:r>
        <w:r w:rsidR="0069199B">
          <w:rPr>
            <w:webHidden/>
          </w:rPr>
          <w:instrText xml:space="preserve"> PAGEREF _Toc454186657 \h </w:instrText>
        </w:r>
        <w:r w:rsidR="0069199B">
          <w:rPr>
            <w:webHidden/>
          </w:rPr>
        </w:r>
        <w:r w:rsidR="0069199B">
          <w:rPr>
            <w:webHidden/>
          </w:rPr>
          <w:fldChar w:fldCharType="separate"/>
        </w:r>
        <w:r w:rsidR="0069199B">
          <w:rPr>
            <w:webHidden/>
          </w:rPr>
          <w:t>15</w:t>
        </w:r>
        <w:r w:rsidR="0069199B">
          <w:rPr>
            <w:webHidden/>
          </w:rPr>
          <w:fldChar w:fldCharType="end"/>
        </w:r>
      </w:hyperlink>
    </w:p>
    <w:p w14:paraId="4755BB96" w14:textId="77777777" w:rsidR="0069199B" w:rsidRDefault="000937A6">
      <w:pPr>
        <w:pStyle w:val="Inhopg2"/>
        <w:tabs>
          <w:tab w:val="left" w:pos="998"/>
        </w:tabs>
        <w:rPr>
          <w:rFonts w:asciiTheme="minorHAnsi" w:eastAsiaTheme="minorEastAsia" w:hAnsiTheme="minorHAnsi" w:cstheme="minorBidi"/>
          <w:smallCaps w:val="0"/>
          <w:sz w:val="22"/>
          <w:szCs w:val="22"/>
          <w:lang w:val="nl-BE" w:eastAsia="nl-BE"/>
        </w:rPr>
      </w:pPr>
      <w:hyperlink w:anchor="_Toc454186658" w:history="1">
        <w:r w:rsidR="0069199B" w:rsidRPr="00E41199">
          <w:rPr>
            <w:rStyle w:val="Hyperlink"/>
            <w:i/>
          </w:rPr>
          <w:t>5.1.2.</w:t>
        </w:r>
        <w:r w:rsidR="0069199B">
          <w:rPr>
            <w:rFonts w:asciiTheme="minorHAnsi" w:eastAsiaTheme="minorEastAsia" w:hAnsiTheme="minorHAnsi" w:cstheme="minorBidi"/>
            <w:smallCaps w:val="0"/>
            <w:sz w:val="22"/>
            <w:szCs w:val="22"/>
            <w:lang w:val="nl-BE" w:eastAsia="nl-BE"/>
          </w:rPr>
          <w:tab/>
        </w:r>
        <w:r w:rsidR="0069199B" w:rsidRPr="00E41199">
          <w:rPr>
            <w:rStyle w:val="Hyperlink"/>
            <w:i/>
          </w:rPr>
          <w:t>Erkenning van principe van informatieasymmetrie</w:t>
        </w:r>
        <w:r w:rsidR="0069199B">
          <w:rPr>
            <w:webHidden/>
          </w:rPr>
          <w:tab/>
        </w:r>
        <w:r w:rsidR="0069199B">
          <w:rPr>
            <w:webHidden/>
          </w:rPr>
          <w:fldChar w:fldCharType="begin"/>
        </w:r>
        <w:r w:rsidR="0069199B">
          <w:rPr>
            <w:webHidden/>
          </w:rPr>
          <w:instrText xml:space="preserve"> PAGEREF _Toc454186658 \h </w:instrText>
        </w:r>
        <w:r w:rsidR="0069199B">
          <w:rPr>
            <w:webHidden/>
          </w:rPr>
        </w:r>
        <w:r w:rsidR="0069199B">
          <w:rPr>
            <w:webHidden/>
          </w:rPr>
          <w:fldChar w:fldCharType="separate"/>
        </w:r>
        <w:r w:rsidR="0069199B">
          <w:rPr>
            <w:webHidden/>
          </w:rPr>
          <w:t>15</w:t>
        </w:r>
        <w:r w:rsidR="0069199B">
          <w:rPr>
            <w:webHidden/>
          </w:rPr>
          <w:fldChar w:fldCharType="end"/>
        </w:r>
      </w:hyperlink>
    </w:p>
    <w:p w14:paraId="3F0A443B" w14:textId="77777777" w:rsidR="0069199B" w:rsidRDefault="000937A6">
      <w:pPr>
        <w:pStyle w:val="Inhopg2"/>
        <w:tabs>
          <w:tab w:val="left" w:pos="998"/>
        </w:tabs>
        <w:rPr>
          <w:rFonts w:asciiTheme="minorHAnsi" w:eastAsiaTheme="minorEastAsia" w:hAnsiTheme="minorHAnsi" w:cstheme="minorBidi"/>
          <w:smallCaps w:val="0"/>
          <w:sz w:val="22"/>
          <w:szCs w:val="22"/>
          <w:lang w:val="nl-BE" w:eastAsia="nl-BE"/>
        </w:rPr>
      </w:pPr>
      <w:hyperlink w:anchor="_Toc454186659" w:history="1">
        <w:r w:rsidR="0069199B" w:rsidRPr="00E41199">
          <w:rPr>
            <w:rStyle w:val="Hyperlink"/>
            <w:i/>
          </w:rPr>
          <w:t>5.1.3.</w:t>
        </w:r>
        <w:r w:rsidR="0069199B">
          <w:rPr>
            <w:rFonts w:asciiTheme="minorHAnsi" w:eastAsiaTheme="minorEastAsia" w:hAnsiTheme="minorHAnsi" w:cstheme="minorBidi"/>
            <w:smallCaps w:val="0"/>
            <w:sz w:val="22"/>
            <w:szCs w:val="22"/>
            <w:lang w:val="nl-BE" w:eastAsia="nl-BE"/>
          </w:rPr>
          <w:tab/>
        </w:r>
        <w:r w:rsidR="0069199B" w:rsidRPr="00E41199">
          <w:rPr>
            <w:rStyle w:val="Hyperlink"/>
            <w:i/>
          </w:rPr>
          <w:t>Stabiel regulatoir kader</w:t>
        </w:r>
        <w:r w:rsidR="0069199B">
          <w:rPr>
            <w:webHidden/>
          </w:rPr>
          <w:tab/>
        </w:r>
        <w:r w:rsidR="0069199B">
          <w:rPr>
            <w:webHidden/>
          </w:rPr>
          <w:fldChar w:fldCharType="begin"/>
        </w:r>
        <w:r w:rsidR="0069199B">
          <w:rPr>
            <w:webHidden/>
          </w:rPr>
          <w:instrText xml:space="preserve"> PAGEREF _Toc454186659 \h </w:instrText>
        </w:r>
        <w:r w:rsidR="0069199B">
          <w:rPr>
            <w:webHidden/>
          </w:rPr>
        </w:r>
        <w:r w:rsidR="0069199B">
          <w:rPr>
            <w:webHidden/>
          </w:rPr>
          <w:fldChar w:fldCharType="separate"/>
        </w:r>
        <w:r w:rsidR="0069199B">
          <w:rPr>
            <w:webHidden/>
          </w:rPr>
          <w:t>16</w:t>
        </w:r>
        <w:r w:rsidR="0069199B">
          <w:rPr>
            <w:webHidden/>
          </w:rPr>
          <w:fldChar w:fldCharType="end"/>
        </w:r>
      </w:hyperlink>
    </w:p>
    <w:p w14:paraId="07E86401" w14:textId="77777777" w:rsidR="0069199B" w:rsidRDefault="000937A6">
      <w:pPr>
        <w:pStyle w:val="Inhopg2"/>
        <w:tabs>
          <w:tab w:val="left" w:pos="998"/>
        </w:tabs>
        <w:rPr>
          <w:rFonts w:asciiTheme="minorHAnsi" w:eastAsiaTheme="minorEastAsia" w:hAnsiTheme="minorHAnsi" w:cstheme="minorBidi"/>
          <w:smallCaps w:val="0"/>
          <w:sz w:val="22"/>
          <w:szCs w:val="22"/>
          <w:lang w:val="nl-BE" w:eastAsia="nl-BE"/>
        </w:rPr>
      </w:pPr>
      <w:hyperlink w:anchor="_Toc454186660" w:history="1">
        <w:r w:rsidR="0069199B" w:rsidRPr="00E41199">
          <w:rPr>
            <w:rStyle w:val="Hyperlink"/>
            <w:i/>
          </w:rPr>
          <w:t>5.1.4.</w:t>
        </w:r>
        <w:r w:rsidR="0069199B">
          <w:rPr>
            <w:rFonts w:asciiTheme="minorHAnsi" w:eastAsiaTheme="minorEastAsia" w:hAnsiTheme="minorHAnsi" w:cstheme="minorBidi"/>
            <w:smallCaps w:val="0"/>
            <w:sz w:val="22"/>
            <w:szCs w:val="22"/>
            <w:lang w:val="nl-BE" w:eastAsia="nl-BE"/>
          </w:rPr>
          <w:tab/>
        </w:r>
        <w:r w:rsidR="0069199B" w:rsidRPr="00E41199">
          <w:rPr>
            <w:rStyle w:val="Hyperlink"/>
            <w:i/>
          </w:rPr>
          <w:t>Transparantie</w:t>
        </w:r>
        <w:r w:rsidR="0069199B">
          <w:rPr>
            <w:webHidden/>
          </w:rPr>
          <w:tab/>
        </w:r>
        <w:r w:rsidR="0069199B">
          <w:rPr>
            <w:webHidden/>
          </w:rPr>
          <w:fldChar w:fldCharType="begin"/>
        </w:r>
        <w:r w:rsidR="0069199B">
          <w:rPr>
            <w:webHidden/>
          </w:rPr>
          <w:instrText xml:space="preserve"> PAGEREF _Toc454186660 \h </w:instrText>
        </w:r>
        <w:r w:rsidR="0069199B">
          <w:rPr>
            <w:webHidden/>
          </w:rPr>
        </w:r>
        <w:r w:rsidR="0069199B">
          <w:rPr>
            <w:webHidden/>
          </w:rPr>
          <w:fldChar w:fldCharType="separate"/>
        </w:r>
        <w:r w:rsidR="0069199B">
          <w:rPr>
            <w:webHidden/>
          </w:rPr>
          <w:t>16</w:t>
        </w:r>
        <w:r w:rsidR="0069199B">
          <w:rPr>
            <w:webHidden/>
          </w:rPr>
          <w:fldChar w:fldCharType="end"/>
        </w:r>
      </w:hyperlink>
    </w:p>
    <w:p w14:paraId="7951224C" w14:textId="77777777" w:rsidR="0069199B" w:rsidRDefault="000937A6">
      <w:pPr>
        <w:pStyle w:val="Inhopg2"/>
        <w:tabs>
          <w:tab w:val="left" w:pos="998"/>
        </w:tabs>
        <w:rPr>
          <w:rFonts w:asciiTheme="minorHAnsi" w:eastAsiaTheme="minorEastAsia" w:hAnsiTheme="minorHAnsi" w:cstheme="minorBidi"/>
          <w:smallCaps w:val="0"/>
          <w:sz w:val="22"/>
          <w:szCs w:val="22"/>
          <w:lang w:val="nl-BE" w:eastAsia="nl-BE"/>
        </w:rPr>
      </w:pPr>
      <w:hyperlink w:anchor="_Toc454186661" w:history="1">
        <w:r w:rsidR="0069199B" w:rsidRPr="00E41199">
          <w:rPr>
            <w:rStyle w:val="Hyperlink"/>
            <w:i/>
          </w:rPr>
          <w:t>5.1.5.</w:t>
        </w:r>
        <w:r w:rsidR="0069199B">
          <w:rPr>
            <w:rFonts w:asciiTheme="minorHAnsi" w:eastAsiaTheme="minorEastAsia" w:hAnsiTheme="minorHAnsi" w:cstheme="minorBidi"/>
            <w:smallCaps w:val="0"/>
            <w:sz w:val="22"/>
            <w:szCs w:val="22"/>
            <w:lang w:val="nl-BE" w:eastAsia="nl-BE"/>
          </w:rPr>
          <w:tab/>
        </w:r>
        <w:r w:rsidR="0069199B" w:rsidRPr="00E41199">
          <w:rPr>
            <w:rStyle w:val="Hyperlink"/>
            <w:i/>
          </w:rPr>
          <w:t>Administratieve efficiëntie</w:t>
        </w:r>
        <w:r w:rsidR="0069199B">
          <w:rPr>
            <w:webHidden/>
          </w:rPr>
          <w:tab/>
        </w:r>
        <w:r w:rsidR="0069199B">
          <w:rPr>
            <w:webHidden/>
          </w:rPr>
          <w:fldChar w:fldCharType="begin"/>
        </w:r>
        <w:r w:rsidR="0069199B">
          <w:rPr>
            <w:webHidden/>
          </w:rPr>
          <w:instrText xml:space="preserve"> PAGEREF _Toc454186661 \h </w:instrText>
        </w:r>
        <w:r w:rsidR="0069199B">
          <w:rPr>
            <w:webHidden/>
          </w:rPr>
        </w:r>
        <w:r w:rsidR="0069199B">
          <w:rPr>
            <w:webHidden/>
          </w:rPr>
          <w:fldChar w:fldCharType="separate"/>
        </w:r>
        <w:r w:rsidR="0069199B">
          <w:rPr>
            <w:webHidden/>
          </w:rPr>
          <w:t>16</w:t>
        </w:r>
        <w:r w:rsidR="0069199B">
          <w:rPr>
            <w:webHidden/>
          </w:rPr>
          <w:fldChar w:fldCharType="end"/>
        </w:r>
      </w:hyperlink>
    </w:p>
    <w:p w14:paraId="389DB6B2" w14:textId="77777777" w:rsidR="0069199B" w:rsidRDefault="000937A6">
      <w:pPr>
        <w:pStyle w:val="Inhopg2"/>
        <w:tabs>
          <w:tab w:val="left" w:pos="998"/>
        </w:tabs>
        <w:rPr>
          <w:rFonts w:asciiTheme="minorHAnsi" w:eastAsiaTheme="minorEastAsia" w:hAnsiTheme="minorHAnsi" w:cstheme="minorBidi"/>
          <w:smallCaps w:val="0"/>
          <w:sz w:val="22"/>
          <w:szCs w:val="22"/>
          <w:lang w:val="nl-BE" w:eastAsia="nl-BE"/>
        </w:rPr>
      </w:pPr>
      <w:hyperlink w:anchor="_Toc454186662" w:history="1">
        <w:r w:rsidR="0069199B" w:rsidRPr="00E41199">
          <w:rPr>
            <w:rStyle w:val="Hyperlink"/>
            <w:i/>
          </w:rPr>
          <w:t>5.1.6.</w:t>
        </w:r>
        <w:r w:rsidR="0069199B">
          <w:rPr>
            <w:rFonts w:asciiTheme="minorHAnsi" w:eastAsiaTheme="minorEastAsia" w:hAnsiTheme="minorHAnsi" w:cstheme="minorBidi"/>
            <w:smallCaps w:val="0"/>
            <w:sz w:val="22"/>
            <w:szCs w:val="22"/>
            <w:lang w:val="nl-BE" w:eastAsia="nl-BE"/>
          </w:rPr>
          <w:tab/>
        </w:r>
        <w:r w:rsidR="0069199B" w:rsidRPr="00E41199">
          <w:rPr>
            <w:rStyle w:val="Hyperlink"/>
            <w:i/>
          </w:rPr>
          <w:t>Vermijden van tariefschokken</w:t>
        </w:r>
        <w:r w:rsidR="0069199B">
          <w:rPr>
            <w:webHidden/>
          </w:rPr>
          <w:tab/>
        </w:r>
        <w:r w:rsidR="0069199B">
          <w:rPr>
            <w:webHidden/>
          </w:rPr>
          <w:fldChar w:fldCharType="begin"/>
        </w:r>
        <w:r w:rsidR="0069199B">
          <w:rPr>
            <w:webHidden/>
          </w:rPr>
          <w:instrText xml:space="preserve"> PAGEREF _Toc454186662 \h </w:instrText>
        </w:r>
        <w:r w:rsidR="0069199B">
          <w:rPr>
            <w:webHidden/>
          </w:rPr>
        </w:r>
        <w:r w:rsidR="0069199B">
          <w:rPr>
            <w:webHidden/>
          </w:rPr>
          <w:fldChar w:fldCharType="separate"/>
        </w:r>
        <w:r w:rsidR="0069199B">
          <w:rPr>
            <w:webHidden/>
          </w:rPr>
          <w:t>16</w:t>
        </w:r>
        <w:r w:rsidR="0069199B">
          <w:rPr>
            <w:webHidden/>
          </w:rPr>
          <w:fldChar w:fldCharType="end"/>
        </w:r>
      </w:hyperlink>
    </w:p>
    <w:p w14:paraId="15769286" w14:textId="77777777" w:rsidR="0069199B" w:rsidRDefault="000937A6">
      <w:pPr>
        <w:pStyle w:val="Inhopg2"/>
        <w:rPr>
          <w:rFonts w:asciiTheme="minorHAnsi" w:eastAsiaTheme="minorEastAsia" w:hAnsiTheme="minorHAnsi" w:cstheme="minorBidi"/>
          <w:smallCaps w:val="0"/>
          <w:sz w:val="22"/>
          <w:szCs w:val="22"/>
          <w:lang w:val="nl-BE" w:eastAsia="nl-BE"/>
        </w:rPr>
      </w:pPr>
      <w:hyperlink w:anchor="_Toc454186663" w:history="1">
        <w:r w:rsidR="0069199B" w:rsidRPr="00E41199">
          <w:rPr>
            <w:rStyle w:val="Hyperlink"/>
          </w:rPr>
          <w:t>5.2.</w:t>
        </w:r>
        <w:r w:rsidR="0069199B">
          <w:rPr>
            <w:rFonts w:asciiTheme="minorHAnsi" w:eastAsiaTheme="minorEastAsia" w:hAnsiTheme="minorHAnsi" w:cstheme="minorBidi"/>
            <w:smallCaps w:val="0"/>
            <w:sz w:val="22"/>
            <w:szCs w:val="22"/>
            <w:lang w:val="nl-BE" w:eastAsia="nl-BE"/>
          </w:rPr>
          <w:tab/>
        </w:r>
        <w:r w:rsidR="0069199B" w:rsidRPr="00E41199">
          <w:rPr>
            <w:rStyle w:val="Hyperlink"/>
          </w:rPr>
          <w:t>Keuze voor inkomstenregulering met uitzondering voor exogene kosten</w:t>
        </w:r>
        <w:r w:rsidR="0069199B">
          <w:rPr>
            <w:webHidden/>
          </w:rPr>
          <w:tab/>
        </w:r>
        <w:r w:rsidR="0069199B">
          <w:rPr>
            <w:webHidden/>
          </w:rPr>
          <w:fldChar w:fldCharType="begin"/>
        </w:r>
        <w:r w:rsidR="0069199B">
          <w:rPr>
            <w:webHidden/>
          </w:rPr>
          <w:instrText xml:space="preserve"> PAGEREF _Toc454186663 \h </w:instrText>
        </w:r>
        <w:r w:rsidR="0069199B">
          <w:rPr>
            <w:webHidden/>
          </w:rPr>
        </w:r>
        <w:r w:rsidR="0069199B">
          <w:rPr>
            <w:webHidden/>
          </w:rPr>
          <w:fldChar w:fldCharType="separate"/>
        </w:r>
        <w:r w:rsidR="0069199B">
          <w:rPr>
            <w:webHidden/>
          </w:rPr>
          <w:t>16</w:t>
        </w:r>
        <w:r w:rsidR="0069199B">
          <w:rPr>
            <w:webHidden/>
          </w:rPr>
          <w:fldChar w:fldCharType="end"/>
        </w:r>
      </w:hyperlink>
    </w:p>
    <w:p w14:paraId="00DFD994" w14:textId="77777777" w:rsidR="0069199B" w:rsidRDefault="000937A6">
      <w:pPr>
        <w:pStyle w:val="Inhopg2"/>
        <w:rPr>
          <w:rFonts w:asciiTheme="minorHAnsi" w:eastAsiaTheme="minorEastAsia" w:hAnsiTheme="minorHAnsi" w:cstheme="minorBidi"/>
          <w:smallCaps w:val="0"/>
          <w:sz w:val="22"/>
          <w:szCs w:val="22"/>
          <w:lang w:val="nl-BE" w:eastAsia="nl-BE"/>
        </w:rPr>
      </w:pPr>
      <w:hyperlink w:anchor="_Toc454186664" w:history="1">
        <w:r w:rsidR="0069199B" w:rsidRPr="00E41199">
          <w:rPr>
            <w:rStyle w:val="Hyperlink"/>
          </w:rPr>
          <w:t>5.3.</w:t>
        </w:r>
        <w:r w:rsidR="0069199B">
          <w:rPr>
            <w:rFonts w:asciiTheme="minorHAnsi" w:eastAsiaTheme="minorEastAsia" w:hAnsiTheme="minorHAnsi" w:cstheme="minorBidi"/>
            <w:smallCaps w:val="0"/>
            <w:sz w:val="22"/>
            <w:szCs w:val="22"/>
            <w:lang w:val="nl-BE" w:eastAsia="nl-BE"/>
          </w:rPr>
          <w:tab/>
        </w:r>
        <w:r w:rsidR="0069199B" w:rsidRPr="00E41199">
          <w:rPr>
            <w:rStyle w:val="Hyperlink"/>
          </w:rPr>
          <w:t>Niet-exogene kosten</w:t>
        </w:r>
        <w:r w:rsidR="0069199B">
          <w:rPr>
            <w:webHidden/>
          </w:rPr>
          <w:tab/>
        </w:r>
        <w:r w:rsidR="0069199B">
          <w:rPr>
            <w:webHidden/>
          </w:rPr>
          <w:fldChar w:fldCharType="begin"/>
        </w:r>
        <w:r w:rsidR="0069199B">
          <w:rPr>
            <w:webHidden/>
          </w:rPr>
          <w:instrText xml:space="preserve"> PAGEREF _Toc454186664 \h </w:instrText>
        </w:r>
        <w:r w:rsidR="0069199B">
          <w:rPr>
            <w:webHidden/>
          </w:rPr>
        </w:r>
        <w:r w:rsidR="0069199B">
          <w:rPr>
            <w:webHidden/>
          </w:rPr>
          <w:fldChar w:fldCharType="separate"/>
        </w:r>
        <w:r w:rsidR="0069199B">
          <w:rPr>
            <w:webHidden/>
          </w:rPr>
          <w:t>19</w:t>
        </w:r>
        <w:r w:rsidR="0069199B">
          <w:rPr>
            <w:webHidden/>
          </w:rPr>
          <w:fldChar w:fldCharType="end"/>
        </w:r>
      </w:hyperlink>
    </w:p>
    <w:p w14:paraId="26AAAD67" w14:textId="77777777" w:rsidR="0069199B" w:rsidRDefault="000937A6">
      <w:pPr>
        <w:pStyle w:val="Inhopg2"/>
        <w:tabs>
          <w:tab w:val="left" w:pos="998"/>
        </w:tabs>
        <w:rPr>
          <w:rFonts w:asciiTheme="minorHAnsi" w:eastAsiaTheme="minorEastAsia" w:hAnsiTheme="minorHAnsi" w:cstheme="minorBidi"/>
          <w:smallCaps w:val="0"/>
          <w:sz w:val="22"/>
          <w:szCs w:val="22"/>
          <w:lang w:val="nl-BE" w:eastAsia="nl-BE"/>
        </w:rPr>
      </w:pPr>
      <w:hyperlink w:anchor="_Toc454186665" w:history="1">
        <w:r w:rsidR="0069199B" w:rsidRPr="00E41199">
          <w:rPr>
            <w:rStyle w:val="Hyperlink"/>
            <w:i/>
          </w:rPr>
          <w:t>5.3.1.</w:t>
        </w:r>
        <w:r w:rsidR="0069199B">
          <w:rPr>
            <w:rFonts w:asciiTheme="minorHAnsi" w:eastAsiaTheme="minorEastAsia" w:hAnsiTheme="minorHAnsi" w:cstheme="minorBidi"/>
            <w:smallCaps w:val="0"/>
            <w:sz w:val="22"/>
            <w:szCs w:val="22"/>
            <w:lang w:val="nl-BE" w:eastAsia="nl-BE"/>
          </w:rPr>
          <w:tab/>
        </w:r>
        <w:r w:rsidR="0069199B" w:rsidRPr="00E41199">
          <w:rPr>
            <w:rStyle w:val="Hyperlink"/>
            <w:i/>
          </w:rPr>
          <w:t>Afschrijvingen</w:t>
        </w:r>
        <w:r w:rsidR="0069199B">
          <w:rPr>
            <w:webHidden/>
          </w:rPr>
          <w:tab/>
        </w:r>
        <w:r w:rsidR="0069199B">
          <w:rPr>
            <w:webHidden/>
          </w:rPr>
          <w:fldChar w:fldCharType="begin"/>
        </w:r>
        <w:r w:rsidR="0069199B">
          <w:rPr>
            <w:webHidden/>
          </w:rPr>
          <w:instrText xml:space="preserve"> PAGEREF _Toc454186665 \h </w:instrText>
        </w:r>
        <w:r w:rsidR="0069199B">
          <w:rPr>
            <w:webHidden/>
          </w:rPr>
        </w:r>
        <w:r w:rsidR="0069199B">
          <w:rPr>
            <w:webHidden/>
          </w:rPr>
          <w:fldChar w:fldCharType="separate"/>
        </w:r>
        <w:r w:rsidR="0069199B">
          <w:rPr>
            <w:webHidden/>
          </w:rPr>
          <w:t>20</w:t>
        </w:r>
        <w:r w:rsidR="0069199B">
          <w:rPr>
            <w:webHidden/>
          </w:rPr>
          <w:fldChar w:fldCharType="end"/>
        </w:r>
      </w:hyperlink>
    </w:p>
    <w:p w14:paraId="7CCB0974" w14:textId="77777777" w:rsidR="0069199B" w:rsidRDefault="000937A6">
      <w:pPr>
        <w:pStyle w:val="Inhopg2"/>
        <w:tabs>
          <w:tab w:val="left" w:pos="998"/>
        </w:tabs>
        <w:rPr>
          <w:rFonts w:asciiTheme="minorHAnsi" w:eastAsiaTheme="minorEastAsia" w:hAnsiTheme="minorHAnsi" w:cstheme="minorBidi"/>
          <w:smallCaps w:val="0"/>
          <w:sz w:val="22"/>
          <w:szCs w:val="22"/>
          <w:lang w:val="nl-BE" w:eastAsia="nl-BE"/>
        </w:rPr>
      </w:pPr>
      <w:hyperlink w:anchor="_Toc454186666" w:history="1">
        <w:r w:rsidR="0069199B" w:rsidRPr="00E41199">
          <w:rPr>
            <w:rStyle w:val="Hyperlink"/>
            <w:i/>
          </w:rPr>
          <w:t>5.3.2.</w:t>
        </w:r>
        <w:r w:rsidR="0069199B">
          <w:rPr>
            <w:rFonts w:asciiTheme="minorHAnsi" w:eastAsiaTheme="minorEastAsia" w:hAnsiTheme="minorHAnsi" w:cstheme="minorBidi"/>
            <w:smallCaps w:val="0"/>
            <w:sz w:val="22"/>
            <w:szCs w:val="22"/>
            <w:lang w:val="nl-BE" w:eastAsia="nl-BE"/>
          </w:rPr>
          <w:tab/>
        </w:r>
        <w:r w:rsidR="0069199B" w:rsidRPr="00E41199">
          <w:rPr>
            <w:rStyle w:val="Hyperlink"/>
            <w:i/>
          </w:rPr>
          <w:t>Operationele nettokosten</w:t>
        </w:r>
        <w:r w:rsidR="0069199B">
          <w:rPr>
            <w:webHidden/>
          </w:rPr>
          <w:tab/>
        </w:r>
        <w:r w:rsidR="0069199B">
          <w:rPr>
            <w:webHidden/>
          </w:rPr>
          <w:fldChar w:fldCharType="begin"/>
        </w:r>
        <w:r w:rsidR="0069199B">
          <w:rPr>
            <w:webHidden/>
          </w:rPr>
          <w:instrText xml:space="preserve"> PAGEREF _Toc454186666 \h </w:instrText>
        </w:r>
        <w:r w:rsidR="0069199B">
          <w:rPr>
            <w:webHidden/>
          </w:rPr>
        </w:r>
        <w:r w:rsidR="0069199B">
          <w:rPr>
            <w:webHidden/>
          </w:rPr>
          <w:fldChar w:fldCharType="separate"/>
        </w:r>
        <w:r w:rsidR="0069199B">
          <w:rPr>
            <w:webHidden/>
          </w:rPr>
          <w:t>21</w:t>
        </w:r>
        <w:r w:rsidR="0069199B">
          <w:rPr>
            <w:webHidden/>
          </w:rPr>
          <w:fldChar w:fldCharType="end"/>
        </w:r>
      </w:hyperlink>
    </w:p>
    <w:p w14:paraId="1436A5F6" w14:textId="77777777" w:rsidR="0069199B" w:rsidRDefault="000937A6">
      <w:pPr>
        <w:pStyle w:val="Inhopg2"/>
        <w:tabs>
          <w:tab w:val="left" w:pos="998"/>
        </w:tabs>
        <w:rPr>
          <w:rFonts w:asciiTheme="minorHAnsi" w:eastAsiaTheme="minorEastAsia" w:hAnsiTheme="minorHAnsi" w:cstheme="minorBidi"/>
          <w:smallCaps w:val="0"/>
          <w:sz w:val="22"/>
          <w:szCs w:val="22"/>
          <w:lang w:val="nl-BE" w:eastAsia="nl-BE"/>
        </w:rPr>
      </w:pPr>
      <w:hyperlink w:anchor="_Toc454186667" w:history="1">
        <w:r w:rsidR="0069199B" w:rsidRPr="00E41199">
          <w:rPr>
            <w:rStyle w:val="Hyperlink"/>
            <w:i/>
          </w:rPr>
          <w:t>5.3.3.</w:t>
        </w:r>
        <w:r w:rsidR="0069199B">
          <w:rPr>
            <w:rFonts w:asciiTheme="minorHAnsi" w:eastAsiaTheme="minorEastAsia" w:hAnsiTheme="minorHAnsi" w:cstheme="minorBidi"/>
            <w:smallCaps w:val="0"/>
            <w:sz w:val="22"/>
            <w:szCs w:val="22"/>
            <w:lang w:val="nl-BE" w:eastAsia="nl-BE"/>
          </w:rPr>
          <w:tab/>
        </w:r>
        <w:r w:rsidR="0069199B" w:rsidRPr="00E41199">
          <w:rPr>
            <w:rStyle w:val="Hyperlink"/>
            <w:i/>
          </w:rPr>
          <w:t>Kapitaalkostenvergoeding</w:t>
        </w:r>
        <w:r w:rsidR="0069199B">
          <w:rPr>
            <w:webHidden/>
          </w:rPr>
          <w:tab/>
        </w:r>
        <w:r w:rsidR="0069199B">
          <w:rPr>
            <w:webHidden/>
          </w:rPr>
          <w:fldChar w:fldCharType="begin"/>
        </w:r>
        <w:r w:rsidR="0069199B">
          <w:rPr>
            <w:webHidden/>
          </w:rPr>
          <w:instrText xml:space="preserve"> PAGEREF _Toc454186667 \h </w:instrText>
        </w:r>
        <w:r w:rsidR="0069199B">
          <w:rPr>
            <w:webHidden/>
          </w:rPr>
        </w:r>
        <w:r w:rsidR="0069199B">
          <w:rPr>
            <w:webHidden/>
          </w:rPr>
          <w:fldChar w:fldCharType="separate"/>
        </w:r>
        <w:r w:rsidR="0069199B">
          <w:rPr>
            <w:webHidden/>
          </w:rPr>
          <w:t>25</w:t>
        </w:r>
        <w:r w:rsidR="0069199B">
          <w:rPr>
            <w:webHidden/>
          </w:rPr>
          <w:fldChar w:fldCharType="end"/>
        </w:r>
      </w:hyperlink>
    </w:p>
    <w:p w14:paraId="0F897F26" w14:textId="77777777" w:rsidR="0069199B" w:rsidRDefault="000937A6">
      <w:pPr>
        <w:pStyle w:val="Inhopg2"/>
        <w:rPr>
          <w:rFonts w:asciiTheme="minorHAnsi" w:eastAsiaTheme="minorEastAsia" w:hAnsiTheme="minorHAnsi" w:cstheme="minorBidi"/>
          <w:smallCaps w:val="0"/>
          <w:sz w:val="22"/>
          <w:szCs w:val="22"/>
          <w:lang w:val="nl-BE" w:eastAsia="nl-BE"/>
        </w:rPr>
      </w:pPr>
      <w:hyperlink w:anchor="_Toc454186668" w:history="1">
        <w:r w:rsidR="0069199B" w:rsidRPr="00E41199">
          <w:rPr>
            <w:rStyle w:val="Hyperlink"/>
          </w:rPr>
          <w:t>5.4.</w:t>
        </w:r>
        <w:r w:rsidR="0069199B">
          <w:rPr>
            <w:rFonts w:asciiTheme="minorHAnsi" w:eastAsiaTheme="minorEastAsia" w:hAnsiTheme="minorHAnsi" w:cstheme="minorBidi"/>
            <w:smallCaps w:val="0"/>
            <w:sz w:val="22"/>
            <w:szCs w:val="22"/>
            <w:lang w:val="nl-BE" w:eastAsia="nl-BE"/>
          </w:rPr>
          <w:tab/>
        </w:r>
        <w:r w:rsidR="0069199B" w:rsidRPr="00E41199">
          <w:rPr>
            <w:rStyle w:val="Hyperlink"/>
          </w:rPr>
          <w:t>Exogene kosten</w:t>
        </w:r>
        <w:r w:rsidR="0069199B">
          <w:rPr>
            <w:webHidden/>
          </w:rPr>
          <w:tab/>
        </w:r>
        <w:r w:rsidR="0069199B">
          <w:rPr>
            <w:webHidden/>
          </w:rPr>
          <w:fldChar w:fldCharType="begin"/>
        </w:r>
        <w:r w:rsidR="0069199B">
          <w:rPr>
            <w:webHidden/>
          </w:rPr>
          <w:instrText xml:space="preserve"> PAGEREF _Toc454186668 \h </w:instrText>
        </w:r>
        <w:r w:rsidR="0069199B">
          <w:rPr>
            <w:webHidden/>
          </w:rPr>
        </w:r>
        <w:r w:rsidR="0069199B">
          <w:rPr>
            <w:webHidden/>
          </w:rPr>
          <w:fldChar w:fldCharType="separate"/>
        </w:r>
        <w:r w:rsidR="0069199B">
          <w:rPr>
            <w:webHidden/>
          </w:rPr>
          <w:t>26</w:t>
        </w:r>
        <w:r w:rsidR="0069199B">
          <w:rPr>
            <w:webHidden/>
          </w:rPr>
          <w:fldChar w:fldCharType="end"/>
        </w:r>
      </w:hyperlink>
    </w:p>
    <w:p w14:paraId="28DF91CC" w14:textId="77777777" w:rsidR="0069199B" w:rsidRDefault="000937A6">
      <w:pPr>
        <w:pStyle w:val="Inhopg2"/>
        <w:rPr>
          <w:rFonts w:asciiTheme="minorHAnsi" w:eastAsiaTheme="minorEastAsia" w:hAnsiTheme="minorHAnsi" w:cstheme="minorBidi"/>
          <w:smallCaps w:val="0"/>
          <w:sz w:val="22"/>
          <w:szCs w:val="22"/>
          <w:lang w:val="nl-BE" w:eastAsia="nl-BE"/>
        </w:rPr>
      </w:pPr>
      <w:hyperlink w:anchor="_Toc454186669" w:history="1">
        <w:r w:rsidR="0069199B" w:rsidRPr="00E41199">
          <w:rPr>
            <w:rStyle w:val="Hyperlink"/>
          </w:rPr>
          <w:t>5.5.</w:t>
        </w:r>
        <w:r w:rsidR="0069199B">
          <w:rPr>
            <w:rFonts w:asciiTheme="minorHAnsi" w:eastAsiaTheme="minorEastAsia" w:hAnsiTheme="minorHAnsi" w:cstheme="minorBidi"/>
            <w:smallCaps w:val="0"/>
            <w:sz w:val="22"/>
            <w:szCs w:val="22"/>
            <w:lang w:val="nl-BE" w:eastAsia="nl-BE"/>
          </w:rPr>
          <w:tab/>
        </w:r>
        <w:r w:rsidR="0069199B" w:rsidRPr="00E41199">
          <w:rPr>
            <w:rStyle w:val="Hyperlink"/>
          </w:rPr>
          <w:t>Regulatoire rekeningen</w:t>
        </w:r>
        <w:r w:rsidR="0069199B">
          <w:rPr>
            <w:webHidden/>
          </w:rPr>
          <w:tab/>
        </w:r>
        <w:r w:rsidR="0069199B">
          <w:rPr>
            <w:webHidden/>
          </w:rPr>
          <w:fldChar w:fldCharType="begin"/>
        </w:r>
        <w:r w:rsidR="0069199B">
          <w:rPr>
            <w:webHidden/>
          </w:rPr>
          <w:instrText xml:space="preserve"> PAGEREF _Toc454186669 \h </w:instrText>
        </w:r>
        <w:r w:rsidR="0069199B">
          <w:rPr>
            <w:webHidden/>
          </w:rPr>
        </w:r>
        <w:r w:rsidR="0069199B">
          <w:rPr>
            <w:webHidden/>
          </w:rPr>
          <w:fldChar w:fldCharType="separate"/>
        </w:r>
        <w:r w:rsidR="0069199B">
          <w:rPr>
            <w:webHidden/>
          </w:rPr>
          <w:t>28</w:t>
        </w:r>
        <w:r w:rsidR="0069199B">
          <w:rPr>
            <w:webHidden/>
          </w:rPr>
          <w:fldChar w:fldCharType="end"/>
        </w:r>
      </w:hyperlink>
    </w:p>
    <w:p w14:paraId="23E91368" w14:textId="77777777" w:rsidR="0069199B" w:rsidRDefault="000937A6">
      <w:pPr>
        <w:pStyle w:val="Inhopg2"/>
        <w:tabs>
          <w:tab w:val="left" w:pos="998"/>
        </w:tabs>
        <w:rPr>
          <w:rFonts w:asciiTheme="minorHAnsi" w:eastAsiaTheme="minorEastAsia" w:hAnsiTheme="minorHAnsi" w:cstheme="minorBidi"/>
          <w:smallCaps w:val="0"/>
          <w:sz w:val="22"/>
          <w:szCs w:val="22"/>
          <w:lang w:val="nl-BE" w:eastAsia="nl-BE"/>
        </w:rPr>
      </w:pPr>
      <w:hyperlink w:anchor="_Toc454186670" w:history="1">
        <w:r w:rsidR="0069199B" w:rsidRPr="00E41199">
          <w:rPr>
            <w:rStyle w:val="Hyperlink"/>
            <w:i/>
          </w:rPr>
          <w:t>5.5.1.</w:t>
        </w:r>
        <w:r w:rsidR="0069199B">
          <w:rPr>
            <w:rFonts w:asciiTheme="minorHAnsi" w:eastAsiaTheme="minorEastAsia" w:hAnsiTheme="minorHAnsi" w:cstheme="minorBidi"/>
            <w:smallCaps w:val="0"/>
            <w:sz w:val="22"/>
            <w:szCs w:val="22"/>
            <w:lang w:val="nl-BE" w:eastAsia="nl-BE"/>
          </w:rPr>
          <w:tab/>
        </w:r>
        <w:r w:rsidR="0069199B" w:rsidRPr="00E41199">
          <w:rPr>
            <w:rStyle w:val="Hyperlink"/>
            <w:i/>
          </w:rPr>
          <w:t>Regulatoir saldo voor exogene kosten</w:t>
        </w:r>
        <w:r w:rsidR="0069199B">
          <w:rPr>
            <w:webHidden/>
          </w:rPr>
          <w:tab/>
        </w:r>
        <w:r w:rsidR="0069199B">
          <w:rPr>
            <w:webHidden/>
          </w:rPr>
          <w:fldChar w:fldCharType="begin"/>
        </w:r>
        <w:r w:rsidR="0069199B">
          <w:rPr>
            <w:webHidden/>
          </w:rPr>
          <w:instrText xml:space="preserve"> PAGEREF _Toc454186670 \h </w:instrText>
        </w:r>
        <w:r w:rsidR="0069199B">
          <w:rPr>
            <w:webHidden/>
          </w:rPr>
        </w:r>
        <w:r w:rsidR="0069199B">
          <w:rPr>
            <w:webHidden/>
          </w:rPr>
          <w:fldChar w:fldCharType="separate"/>
        </w:r>
        <w:r w:rsidR="0069199B">
          <w:rPr>
            <w:webHidden/>
          </w:rPr>
          <w:t>29</w:t>
        </w:r>
        <w:r w:rsidR="0069199B">
          <w:rPr>
            <w:webHidden/>
          </w:rPr>
          <w:fldChar w:fldCharType="end"/>
        </w:r>
      </w:hyperlink>
    </w:p>
    <w:p w14:paraId="3F9A3D85" w14:textId="77777777" w:rsidR="0069199B" w:rsidRDefault="000937A6">
      <w:pPr>
        <w:pStyle w:val="Inhopg2"/>
        <w:tabs>
          <w:tab w:val="left" w:pos="998"/>
        </w:tabs>
        <w:rPr>
          <w:rFonts w:asciiTheme="minorHAnsi" w:eastAsiaTheme="minorEastAsia" w:hAnsiTheme="minorHAnsi" w:cstheme="minorBidi"/>
          <w:smallCaps w:val="0"/>
          <w:sz w:val="22"/>
          <w:szCs w:val="22"/>
          <w:lang w:val="nl-BE" w:eastAsia="nl-BE"/>
        </w:rPr>
      </w:pPr>
      <w:hyperlink w:anchor="_Toc454186671" w:history="1">
        <w:r w:rsidR="0069199B" w:rsidRPr="00E41199">
          <w:rPr>
            <w:rStyle w:val="Hyperlink"/>
            <w:i/>
          </w:rPr>
          <w:t>5.5.2.</w:t>
        </w:r>
        <w:r w:rsidR="0069199B">
          <w:rPr>
            <w:rFonts w:asciiTheme="minorHAnsi" w:eastAsiaTheme="minorEastAsia" w:hAnsiTheme="minorHAnsi" w:cstheme="minorBidi"/>
            <w:smallCaps w:val="0"/>
            <w:sz w:val="22"/>
            <w:szCs w:val="22"/>
            <w:lang w:val="nl-BE" w:eastAsia="nl-BE"/>
          </w:rPr>
          <w:tab/>
        </w:r>
        <w:r w:rsidR="0069199B" w:rsidRPr="00E41199">
          <w:rPr>
            <w:rStyle w:val="Hyperlink"/>
            <w:i/>
          </w:rPr>
          <w:t>Regulatoir saldo voor niet-exogene kosten: volumerisico m.b.t. verbruiksgerelateerde tariefdragers</w:t>
        </w:r>
        <w:r w:rsidR="0069199B">
          <w:rPr>
            <w:webHidden/>
          </w:rPr>
          <w:tab/>
        </w:r>
        <w:r w:rsidR="0069199B">
          <w:rPr>
            <w:webHidden/>
          </w:rPr>
          <w:fldChar w:fldCharType="begin"/>
        </w:r>
        <w:r w:rsidR="0069199B">
          <w:rPr>
            <w:webHidden/>
          </w:rPr>
          <w:instrText xml:space="preserve"> PAGEREF _Toc454186671 \h </w:instrText>
        </w:r>
        <w:r w:rsidR="0069199B">
          <w:rPr>
            <w:webHidden/>
          </w:rPr>
        </w:r>
        <w:r w:rsidR="0069199B">
          <w:rPr>
            <w:webHidden/>
          </w:rPr>
          <w:fldChar w:fldCharType="separate"/>
        </w:r>
        <w:r w:rsidR="0069199B">
          <w:rPr>
            <w:webHidden/>
          </w:rPr>
          <w:t>29</w:t>
        </w:r>
        <w:r w:rsidR="0069199B">
          <w:rPr>
            <w:webHidden/>
          </w:rPr>
          <w:fldChar w:fldCharType="end"/>
        </w:r>
      </w:hyperlink>
    </w:p>
    <w:p w14:paraId="1B36EEC3" w14:textId="77777777" w:rsidR="0069199B" w:rsidRDefault="000937A6">
      <w:pPr>
        <w:pStyle w:val="Inhopg2"/>
        <w:tabs>
          <w:tab w:val="left" w:pos="998"/>
        </w:tabs>
        <w:rPr>
          <w:rFonts w:asciiTheme="minorHAnsi" w:eastAsiaTheme="minorEastAsia" w:hAnsiTheme="minorHAnsi" w:cstheme="minorBidi"/>
          <w:smallCaps w:val="0"/>
          <w:sz w:val="22"/>
          <w:szCs w:val="22"/>
          <w:lang w:val="nl-BE" w:eastAsia="nl-BE"/>
        </w:rPr>
      </w:pPr>
      <w:hyperlink w:anchor="_Toc454186672" w:history="1">
        <w:r w:rsidR="0069199B" w:rsidRPr="00E41199">
          <w:rPr>
            <w:rStyle w:val="Hyperlink"/>
            <w:i/>
          </w:rPr>
          <w:t>5.5.3.</w:t>
        </w:r>
        <w:r w:rsidR="0069199B">
          <w:rPr>
            <w:rFonts w:asciiTheme="minorHAnsi" w:eastAsiaTheme="minorEastAsia" w:hAnsiTheme="minorHAnsi" w:cstheme="minorBidi"/>
            <w:smallCaps w:val="0"/>
            <w:sz w:val="22"/>
            <w:szCs w:val="22"/>
            <w:lang w:val="nl-BE" w:eastAsia="nl-BE"/>
          </w:rPr>
          <w:tab/>
        </w:r>
        <w:r w:rsidR="0069199B" w:rsidRPr="00E41199">
          <w:rPr>
            <w:rStyle w:val="Hyperlink"/>
            <w:i/>
          </w:rPr>
          <w:t>Regulatoire saldi bij gewijzigde distributienettarieven gedurende het jaar</w:t>
        </w:r>
        <w:r w:rsidR="0069199B">
          <w:rPr>
            <w:webHidden/>
          </w:rPr>
          <w:tab/>
        </w:r>
        <w:r w:rsidR="0069199B">
          <w:rPr>
            <w:webHidden/>
          </w:rPr>
          <w:fldChar w:fldCharType="begin"/>
        </w:r>
        <w:r w:rsidR="0069199B">
          <w:rPr>
            <w:webHidden/>
          </w:rPr>
          <w:instrText xml:space="preserve"> PAGEREF _Toc454186672 \h </w:instrText>
        </w:r>
        <w:r w:rsidR="0069199B">
          <w:rPr>
            <w:webHidden/>
          </w:rPr>
        </w:r>
        <w:r w:rsidR="0069199B">
          <w:rPr>
            <w:webHidden/>
          </w:rPr>
          <w:fldChar w:fldCharType="separate"/>
        </w:r>
        <w:r w:rsidR="0069199B">
          <w:rPr>
            <w:webHidden/>
          </w:rPr>
          <w:t>30</w:t>
        </w:r>
        <w:r w:rsidR="0069199B">
          <w:rPr>
            <w:webHidden/>
          </w:rPr>
          <w:fldChar w:fldCharType="end"/>
        </w:r>
      </w:hyperlink>
    </w:p>
    <w:p w14:paraId="25726158" w14:textId="77777777" w:rsidR="0069199B" w:rsidRDefault="000937A6">
      <w:pPr>
        <w:pStyle w:val="Inhopg2"/>
        <w:tabs>
          <w:tab w:val="left" w:pos="998"/>
        </w:tabs>
        <w:rPr>
          <w:rFonts w:asciiTheme="minorHAnsi" w:eastAsiaTheme="minorEastAsia" w:hAnsiTheme="minorHAnsi" w:cstheme="minorBidi"/>
          <w:smallCaps w:val="0"/>
          <w:sz w:val="22"/>
          <w:szCs w:val="22"/>
          <w:lang w:val="nl-BE" w:eastAsia="nl-BE"/>
        </w:rPr>
      </w:pPr>
      <w:hyperlink w:anchor="_Toc454186673" w:history="1">
        <w:r w:rsidR="0069199B" w:rsidRPr="00E41199">
          <w:rPr>
            <w:rStyle w:val="Hyperlink"/>
            <w:i/>
          </w:rPr>
          <w:t>5.5.4.</w:t>
        </w:r>
        <w:r w:rsidR="0069199B">
          <w:rPr>
            <w:rFonts w:asciiTheme="minorHAnsi" w:eastAsiaTheme="minorEastAsia" w:hAnsiTheme="minorHAnsi" w:cstheme="minorBidi"/>
            <w:smallCaps w:val="0"/>
            <w:sz w:val="22"/>
            <w:szCs w:val="22"/>
            <w:lang w:val="nl-BE" w:eastAsia="nl-BE"/>
          </w:rPr>
          <w:tab/>
        </w:r>
        <w:r w:rsidR="0069199B" w:rsidRPr="00E41199">
          <w:rPr>
            <w:rStyle w:val="Hyperlink"/>
            <w:i/>
          </w:rPr>
          <w:t>Overzicht regulatoire saldi</w:t>
        </w:r>
        <w:r w:rsidR="0069199B">
          <w:rPr>
            <w:webHidden/>
          </w:rPr>
          <w:tab/>
        </w:r>
        <w:r w:rsidR="0069199B">
          <w:rPr>
            <w:webHidden/>
          </w:rPr>
          <w:fldChar w:fldCharType="begin"/>
        </w:r>
        <w:r w:rsidR="0069199B">
          <w:rPr>
            <w:webHidden/>
          </w:rPr>
          <w:instrText xml:space="preserve"> PAGEREF _Toc454186673 \h </w:instrText>
        </w:r>
        <w:r w:rsidR="0069199B">
          <w:rPr>
            <w:webHidden/>
          </w:rPr>
        </w:r>
        <w:r w:rsidR="0069199B">
          <w:rPr>
            <w:webHidden/>
          </w:rPr>
          <w:fldChar w:fldCharType="separate"/>
        </w:r>
        <w:r w:rsidR="0069199B">
          <w:rPr>
            <w:webHidden/>
          </w:rPr>
          <w:t>31</w:t>
        </w:r>
        <w:r w:rsidR="0069199B">
          <w:rPr>
            <w:webHidden/>
          </w:rPr>
          <w:fldChar w:fldCharType="end"/>
        </w:r>
      </w:hyperlink>
    </w:p>
    <w:p w14:paraId="300D30C8" w14:textId="77777777" w:rsidR="0069199B" w:rsidRDefault="000937A6">
      <w:pPr>
        <w:pStyle w:val="Inhopg2"/>
        <w:tabs>
          <w:tab w:val="left" w:pos="998"/>
        </w:tabs>
        <w:rPr>
          <w:rFonts w:asciiTheme="minorHAnsi" w:eastAsiaTheme="minorEastAsia" w:hAnsiTheme="minorHAnsi" w:cstheme="minorBidi"/>
          <w:smallCaps w:val="0"/>
          <w:sz w:val="22"/>
          <w:szCs w:val="22"/>
          <w:lang w:val="nl-BE" w:eastAsia="nl-BE"/>
        </w:rPr>
      </w:pPr>
      <w:hyperlink w:anchor="_Toc454186674" w:history="1">
        <w:r w:rsidR="0069199B" w:rsidRPr="00E41199">
          <w:rPr>
            <w:rStyle w:val="Hyperlink"/>
            <w:i/>
          </w:rPr>
          <w:t>5.5.5.</w:t>
        </w:r>
        <w:r w:rsidR="0069199B">
          <w:rPr>
            <w:rFonts w:asciiTheme="minorHAnsi" w:eastAsiaTheme="minorEastAsia" w:hAnsiTheme="minorHAnsi" w:cstheme="minorBidi"/>
            <w:smallCaps w:val="0"/>
            <w:sz w:val="22"/>
            <w:szCs w:val="22"/>
            <w:lang w:val="nl-BE" w:eastAsia="nl-BE"/>
          </w:rPr>
          <w:tab/>
        </w:r>
        <w:r w:rsidR="0069199B" w:rsidRPr="00E41199">
          <w:rPr>
            <w:rStyle w:val="Hyperlink"/>
            <w:i/>
          </w:rPr>
          <w:t>Regulatoir actief/passief</w:t>
        </w:r>
        <w:r w:rsidR="0069199B">
          <w:rPr>
            <w:webHidden/>
          </w:rPr>
          <w:tab/>
        </w:r>
        <w:r w:rsidR="0069199B">
          <w:rPr>
            <w:webHidden/>
          </w:rPr>
          <w:fldChar w:fldCharType="begin"/>
        </w:r>
        <w:r w:rsidR="0069199B">
          <w:rPr>
            <w:webHidden/>
          </w:rPr>
          <w:instrText xml:space="preserve"> PAGEREF _Toc454186674 \h </w:instrText>
        </w:r>
        <w:r w:rsidR="0069199B">
          <w:rPr>
            <w:webHidden/>
          </w:rPr>
        </w:r>
        <w:r w:rsidR="0069199B">
          <w:rPr>
            <w:webHidden/>
          </w:rPr>
          <w:fldChar w:fldCharType="separate"/>
        </w:r>
        <w:r w:rsidR="0069199B">
          <w:rPr>
            <w:webHidden/>
          </w:rPr>
          <w:t>32</w:t>
        </w:r>
        <w:r w:rsidR="0069199B">
          <w:rPr>
            <w:webHidden/>
          </w:rPr>
          <w:fldChar w:fldCharType="end"/>
        </w:r>
      </w:hyperlink>
    </w:p>
    <w:p w14:paraId="05152AE6" w14:textId="77777777" w:rsidR="0069199B" w:rsidRDefault="000937A6">
      <w:pPr>
        <w:pStyle w:val="Inhopg2"/>
        <w:rPr>
          <w:rFonts w:asciiTheme="minorHAnsi" w:eastAsiaTheme="minorEastAsia" w:hAnsiTheme="minorHAnsi" w:cstheme="minorBidi"/>
          <w:smallCaps w:val="0"/>
          <w:sz w:val="22"/>
          <w:szCs w:val="22"/>
          <w:lang w:val="nl-BE" w:eastAsia="nl-BE"/>
        </w:rPr>
      </w:pPr>
      <w:hyperlink w:anchor="_Toc454186675" w:history="1">
        <w:r w:rsidR="0069199B" w:rsidRPr="00E41199">
          <w:rPr>
            <w:rStyle w:val="Hyperlink"/>
          </w:rPr>
          <w:t>5.6.</w:t>
        </w:r>
        <w:r w:rsidR="0069199B">
          <w:rPr>
            <w:rFonts w:asciiTheme="minorHAnsi" w:eastAsiaTheme="minorEastAsia" w:hAnsiTheme="minorHAnsi" w:cstheme="minorBidi"/>
            <w:smallCaps w:val="0"/>
            <w:sz w:val="22"/>
            <w:szCs w:val="22"/>
            <w:lang w:val="nl-BE" w:eastAsia="nl-BE"/>
          </w:rPr>
          <w:tab/>
        </w:r>
        <w:r w:rsidR="0069199B" w:rsidRPr="00E41199">
          <w:rPr>
            <w:rStyle w:val="Hyperlink"/>
          </w:rPr>
          <w:t>Bepaling van het toegelaten inkomen</w:t>
        </w:r>
        <w:r w:rsidR="0069199B">
          <w:rPr>
            <w:webHidden/>
          </w:rPr>
          <w:tab/>
        </w:r>
        <w:r w:rsidR="0069199B">
          <w:rPr>
            <w:webHidden/>
          </w:rPr>
          <w:fldChar w:fldCharType="begin"/>
        </w:r>
        <w:r w:rsidR="0069199B">
          <w:rPr>
            <w:webHidden/>
          </w:rPr>
          <w:instrText xml:space="preserve"> PAGEREF _Toc454186675 \h </w:instrText>
        </w:r>
        <w:r w:rsidR="0069199B">
          <w:rPr>
            <w:webHidden/>
          </w:rPr>
        </w:r>
        <w:r w:rsidR="0069199B">
          <w:rPr>
            <w:webHidden/>
          </w:rPr>
          <w:fldChar w:fldCharType="separate"/>
        </w:r>
        <w:r w:rsidR="0069199B">
          <w:rPr>
            <w:webHidden/>
          </w:rPr>
          <w:t>33</w:t>
        </w:r>
        <w:r w:rsidR="0069199B">
          <w:rPr>
            <w:webHidden/>
          </w:rPr>
          <w:fldChar w:fldCharType="end"/>
        </w:r>
      </w:hyperlink>
    </w:p>
    <w:p w14:paraId="181B5C8D" w14:textId="77777777" w:rsidR="0069199B" w:rsidRDefault="000937A6">
      <w:pPr>
        <w:pStyle w:val="Inhopg2"/>
        <w:tabs>
          <w:tab w:val="left" w:pos="998"/>
        </w:tabs>
        <w:rPr>
          <w:rFonts w:asciiTheme="minorHAnsi" w:eastAsiaTheme="minorEastAsia" w:hAnsiTheme="minorHAnsi" w:cstheme="minorBidi"/>
          <w:smallCaps w:val="0"/>
          <w:sz w:val="22"/>
          <w:szCs w:val="22"/>
          <w:lang w:val="nl-BE" w:eastAsia="nl-BE"/>
        </w:rPr>
      </w:pPr>
      <w:hyperlink w:anchor="_Toc454186676" w:history="1">
        <w:r w:rsidR="0069199B" w:rsidRPr="00E41199">
          <w:rPr>
            <w:rStyle w:val="Hyperlink"/>
            <w:i/>
          </w:rPr>
          <w:t>5.6.1.</w:t>
        </w:r>
        <w:r w:rsidR="0069199B">
          <w:rPr>
            <w:rFonts w:asciiTheme="minorHAnsi" w:eastAsiaTheme="minorEastAsia" w:hAnsiTheme="minorHAnsi" w:cstheme="minorBidi"/>
            <w:smallCaps w:val="0"/>
            <w:sz w:val="22"/>
            <w:szCs w:val="22"/>
            <w:lang w:val="nl-BE" w:eastAsia="nl-BE"/>
          </w:rPr>
          <w:tab/>
        </w:r>
        <w:r w:rsidR="0069199B" w:rsidRPr="00E41199">
          <w:rPr>
            <w:rStyle w:val="Hyperlink"/>
            <w:i/>
          </w:rPr>
          <w:t>Budget exogene kosten</w:t>
        </w:r>
        <w:r w:rsidR="0069199B">
          <w:rPr>
            <w:webHidden/>
          </w:rPr>
          <w:tab/>
        </w:r>
        <w:r w:rsidR="0069199B">
          <w:rPr>
            <w:webHidden/>
          </w:rPr>
          <w:fldChar w:fldCharType="begin"/>
        </w:r>
        <w:r w:rsidR="0069199B">
          <w:rPr>
            <w:webHidden/>
          </w:rPr>
          <w:instrText xml:space="preserve"> PAGEREF _Toc454186676 \h </w:instrText>
        </w:r>
        <w:r w:rsidR="0069199B">
          <w:rPr>
            <w:webHidden/>
          </w:rPr>
        </w:r>
        <w:r w:rsidR="0069199B">
          <w:rPr>
            <w:webHidden/>
          </w:rPr>
          <w:fldChar w:fldCharType="separate"/>
        </w:r>
        <w:r w:rsidR="0069199B">
          <w:rPr>
            <w:webHidden/>
          </w:rPr>
          <w:t>33</w:t>
        </w:r>
        <w:r w:rsidR="0069199B">
          <w:rPr>
            <w:webHidden/>
          </w:rPr>
          <w:fldChar w:fldCharType="end"/>
        </w:r>
      </w:hyperlink>
    </w:p>
    <w:p w14:paraId="6CBA3A07" w14:textId="77777777" w:rsidR="0069199B" w:rsidRDefault="000937A6">
      <w:pPr>
        <w:pStyle w:val="Inhopg2"/>
        <w:tabs>
          <w:tab w:val="left" w:pos="998"/>
        </w:tabs>
        <w:rPr>
          <w:rFonts w:asciiTheme="minorHAnsi" w:eastAsiaTheme="minorEastAsia" w:hAnsiTheme="minorHAnsi" w:cstheme="minorBidi"/>
          <w:smallCaps w:val="0"/>
          <w:sz w:val="22"/>
          <w:szCs w:val="22"/>
          <w:lang w:val="nl-BE" w:eastAsia="nl-BE"/>
        </w:rPr>
      </w:pPr>
      <w:hyperlink w:anchor="_Toc454186677" w:history="1">
        <w:r w:rsidR="0069199B" w:rsidRPr="00E41199">
          <w:rPr>
            <w:rStyle w:val="Hyperlink"/>
            <w:i/>
          </w:rPr>
          <w:t>5.6.2.</w:t>
        </w:r>
        <w:r w:rsidR="0069199B">
          <w:rPr>
            <w:rFonts w:asciiTheme="minorHAnsi" w:eastAsiaTheme="minorEastAsia" w:hAnsiTheme="minorHAnsi" w:cstheme="minorBidi"/>
            <w:smallCaps w:val="0"/>
            <w:sz w:val="22"/>
            <w:szCs w:val="22"/>
            <w:lang w:val="nl-BE" w:eastAsia="nl-BE"/>
          </w:rPr>
          <w:tab/>
        </w:r>
        <w:r w:rsidR="0069199B" w:rsidRPr="00E41199">
          <w:rPr>
            <w:rStyle w:val="Hyperlink"/>
            <w:i/>
          </w:rPr>
          <w:t>Methode voor niet-exogene kosten</w:t>
        </w:r>
        <w:r w:rsidR="0069199B">
          <w:rPr>
            <w:webHidden/>
          </w:rPr>
          <w:tab/>
        </w:r>
        <w:r w:rsidR="0069199B">
          <w:rPr>
            <w:webHidden/>
          </w:rPr>
          <w:fldChar w:fldCharType="begin"/>
        </w:r>
        <w:r w:rsidR="0069199B">
          <w:rPr>
            <w:webHidden/>
          </w:rPr>
          <w:instrText xml:space="preserve"> PAGEREF _Toc454186677 \h </w:instrText>
        </w:r>
        <w:r w:rsidR="0069199B">
          <w:rPr>
            <w:webHidden/>
          </w:rPr>
        </w:r>
        <w:r w:rsidR="0069199B">
          <w:rPr>
            <w:webHidden/>
          </w:rPr>
          <w:fldChar w:fldCharType="separate"/>
        </w:r>
        <w:r w:rsidR="0069199B">
          <w:rPr>
            <w:webHidden/>
          </w:rPr>
          <w:t>34</w:t>
        </w:r>
        <w:r w:rsidR="0069199B">
          <w:rPr>
            <w:webHidden/>
          </w:rPr>
          <w:fldChar w:fldCharType="end"/>
        </w:r>
      </w:hyperlink>
    </w:p>
    <w:p w14:paraId="3F511036" w14:textId="77777777" w:rsidR="0069199B" w:rsidRDefault="000937A6">
      <w:pPr>
        <w:pStyle w:val="Inhopg2"/>
        <w:tabs>
          <w:tab w:val="left" w:pos="1400"/>
        </w:tabs>
        <w:rPr>
          <w:rFonts w:asciiTheme="minorHAnsi" w:eastAsiaTheme="minorEastAsia" w:hAnsiTheme="minorHAnsi" w:cstheme="minorBidi"/>
          <w:smallCaps w:val="0"/>
          <w:sz w:val="22"/>
          <w:szCs w:val="22"/>
          <w:lang w:val="nl-BE" w:eastAsia="nl-BE"/>
        </w:rPr>
      </w:pPr>
      <w:hyperlink w:anchor="_Toc454186678" w:history="1">
        <w:r w:rsidR="0069199B" w:rsidRPr="00E41199">
          <w:rPr>
            <w:rStyle w:val="Hyperlink"/>
            <w:i/>
          </w:rPr>
          <w:t>5.6.2.1.</w:t>
        </w:r>
        <w:r w:rsidR="0069199B">
          <w:rPr>
            <w:rFonts w:asciiTheme="minorHAnsi" w:eastAsiaTheme="minorEastAsia" w:hAnsiTheme="minorHAnsi" w:cstheme="minorBidi"/>
            <w:smallCaps w:val="0"/>
            <w:sz w:val="22"/>
            <w:szCs w:val="22"/>
            <w:lang w:val="nl-BE" w:eastAsia="nl-BE"/>
          </w:rPr>
          <w:tab/>
        </w:r>
        <w:r w:rsidR="0069199B" w:rsidRPr="00E41199">
          <w:rPr>
            <w:rStyle w:val="Hyperlink"/>
            <w:i/>
          </w:rPr>
          <w:t>Werkwijze: toekomstige inkomsten uit historische kosten</w:t>
        </w:r>
        <w:r w:rsidR="0069199B">
          <w:rPr>
            <w:webHidden/>
          </w:rPr>
          <w:tab/>
        </w:r>
        <w:r w:rsidR="0069199B">
          <w:rPr>
            <w:webHidden/>
          </w:rPr>
          <w:fldChar w:fldCharType="begin"/>
        </w:r>
        <w:r w:rsidR="0069199B">
          <w:rPr>
            <w:webHidden/>
          </w:rPr>
          <w:instrText xml:space="preserve"> PAGEREF _Toc454186678 \h </w:instrText>
        </w:r>
        <w:r w:rsidR="0069199B">
          <w:rPr>
            <w:webHidden/>
          </w:rPr>
        </w:r>
        <w:r w:rsidR="0069199B">
          <w:rPr>
            <w:webHidden/>
          </w:rPr>
          <w:fldChar w:fldCharType="separate"/>
        </w:r>
        <w:r w:rsidR="0069199B">
          <w:rPr>
            <w:webHidden/>
          </w:rPr>
          <w:t>34</w:t>
        </w:r>
        <w:r w:rsidR="0069199B">
          <w:rPr>
            <w:webHidden/>
          </w:rPr>
          <w:fldChar w:fldCharType="end"/>
        </w:r>
      </w:hyperlink>
    </w:p>
    <w:p w14:paraId="23E7B03A" w14:textId="77777777" w:rsidR="0069199B" w:rsidRDefault="000937A6">
      <w:pPr>
        <w:pStyle w:val="Inhopg2"/>
        <w:tabs>
          <w:tab w:val="left" w:pos="1400"/>
        </w:tabs>
        <w:rPr>
          <w:rFonts w:asciiTheme="minorHAnsi" w:eastAsiaTheme="minorEastAsia" w:hAnsiTheme="minorHAnsi" w:cstheme="minorBidi"/>
          <w:smallCaps w:val="0"/>
          <w:sz w:val="22"/>
          <w:szCs w:val="22"/>
          <w:lang w:val="nl-BE" w:eastAsia="nl-BE"/>
        </w:rPr>
      </w:pPr>
      <w:hyperlink w:anchor="_Toc454186679" w:history="1">
        <w:r w:rsidR="0069199B" w:rsidRPr="00E41199">
          <w:rPr>
            <w:rStyle w:val="Hyperlink"/>
            <w:i/>
          </w:rPr>
          <w:t>5.6.2.2.</w:t>
        </w:r>
        <w:r w:rsidR="0069199B">
          <w:rPr>
            <w:rFonts w:asciiTheme="minorHAnsi" w:eastAsiaTheme="minorEastAsia" w:hAnsiTheme="minorHAnsi" w:cstheme="minorBidi"/>
            <w:smallCaps w:val="0"/>
            <w:sz w:val="22"/>
            <w:szCs w:val="22"/>
            <w:lang w:val="nl-BE" w:eastAsia="nl-BE"/>
          </w:rPr>
          <w:tab/>
        </w:r>
        <w:r w:rsidR="0069199B" w:rsidRPr="00E41199">
          <w:rPr>
            <w:rStyle w:val="Hyperlink"/>
            <w:i/>
          </w:rPr>
          <w:t>Benadering: lineaire extrapolatie</w:t>
        </w:r>
        <w:r w:rsidR="0069199B">
          <w:rPr>
            <w:webHidden/>
          </w:rPr>
          <w:tab/>
        </w:r>
        <w:r w:rsidR="0069199B">
          <w:rPr>
            <w:webHidden/>
          </w:rPr>
          <w:fldChar w:fldCharType="begin"/>
        </w:r>
        <w:r w:rsidR="0069199B">
          <w:rPr>
            <w:webHidden/>
          </w:rPr>
          <w:instrText xml:space="preserve"> PAGEREF _Toc454186679 \h </w:instrText>
        </w:r>
        <w:r w:rsidR="0069199B">
          <w:rPr>
            <w:webHidden/>
          </w:rPr>
        </w:r>
        <w:r w:rsidR="0069199B">
          <w:rPr>
            <w:webHidden/>
          </w:rPr>
          <w:fldChar w:fldCharType="separate"/>
        </w:r>
        <w:r w:rsidR="0069199B">
          <w:rPr>
            <w:webHidden/>
          </w:rPr>
          <w:t>36</w:t>
        </w:r>
        <w:r w:rsidR="0069199B">
          <w:rPr>
            <w:webHidden/>
          </w:rPr>
          <w:fldChar w:fldCharType="end"/>
        </w:r>
      </w:hyperlink>
    </w:p>
    <w:p w14:paraId="0A6054ED" w14:textId="77777777" w:rsidR="0069199B" w:rsidRDefault="000937A6">
      <w:pPr>
        <w:pStyle w:val="Inhopg2"/>
        <w:tabs>
          <w:tab w:val="left" w:pos="1400"/>
        </w:tabs>
        <w:rPr>
          <w:rFonts w:asciiTheme="minorHAnsi" w:eastAsiaTheme="minorEastAsia" w:hAnsiTheme="minorHAnsi" w:cstheme="minorBidi"/>
          <w:smallCaps w:val="0"/>
          <w:sz w:val="22"/>
          <w:szCs w:val="22"/>
          <w:lang w:val="nl-BE" w:eastAsia="nl-BE"/>
        </w:rPr>
      </w:pPr>
      <w:hyperlink w:anchor="_Toc454186680" w:history="1">
        <w:r w:rsidR="0069199B" w:rsidRPr="00E41199">
          <w:rPr>
            <w:rStyle w:val="Hyperlink"/>
            <w:i/>
          </w:rPr>
          <w:t>5.6.2.3.</w:t>
        </w:r>
        <w:r w:rsidR="0069199B">
          <w:rPr>
            <w:rFonts w:asciiTheme="minorHAnsi" w:eastAsiaTheme="minorEastAsia" w:hAnsiTheme="minorHAnsi" w:cstheme="minorBidi"/>
            <w:smallCaps w:val="0"/>
            <w:sz w:val="22"/>
            <w:szCs w:val="22"/>
            <w:lang w:val="nl-BE" w:eastAsia="nl-BE"/>
          </w:rPr>
          <w:tab/>
        </w:r>
        <w:r w:rsidR="0069199B" w:rsidRPr="00E41199">
          <w:rPr>
            <w:rStyle w:val="Hyperlink"/>
            <w:i/>
          </w:rPr>
          <w:t>Beschouwde historische periode voor reguleringsperiode 2015-2016: 2010 t.e.m. 2013</w:t>
        </w:r>
        <w:r w:rsidR="0069199B">
          <w:rPr>
            <w:webHidden/>
          </w:rPr>
          <w:tab/>
        </w:r>
        <w:r w:rsidR="0069199B">
          <w:rPr>
            <w:webHidden/>
          </w:rPr>
          <w:fldChar w:fldCharType="begin"/>
        </w:r>
        <w:r w:rsidR="0069199B">
          <w:rPr>
            <w:webHidden/>
          </w:rPr>
          <w:instrText xml:space="preserve"> PAGEREF _Toc454186680 \h </w:instrText>
        </w:r>
        <w:r w:rsidR="0069199B">
          <w:rPr>
            <w:webHidden/>
          </w:rPr>
        </w:r>
        <w:r w:rsidR="0069199B">
          <w:rPr>
            <w:webHidden/>
          </w:rPr>
          <w:fldChar w:fldCharType="separate"/>
        </w:r>
        <w:r w:rsidR="0069199B">
          <w:rPr>
            <w:webHidden/>
          </w:rPr>
          <w:t>36</w:t>
        </w:r>
        <w:r w:rsidR="0069199B">
          <w:rPr>
            <w:webHidden/>
          </w:rPr>
          <w:fldChar w:fldCharType="end"/>
        </w:r>
      </w:hyperlink>
    </w:p>
    <w:p w14:paraId="2CA6AFE3" w14:textId="77777777" w:rsidR="0069199B" w:rsidRDefault="000937A6">
      <w:pPr>
        <w:pStyle w:val="Inhopg2"/>
        <w:tabs>
          <w:tab w:val="left" w:pos="1400"/>
        </w:tabs>
        <w:rPr>
          <w:rFonts w:asciiTheme="minorHAnsi" w:eastAsiaTheme="minorEastAsia" w:hAnsiTheme="minorHAnsi" w:cstheme="minorBidi"/>
          <w:smallCaps w:val="0"/>
          <w:sz w:val="22"/>
          <w:szCs w:val="22"/>
          <w:lang w:val="nl-BE" w:eastAsia="nl-BE"/>
        </w:rPr>
      </w:pPr>
      <w:hyperlink w:anchor="_Toc454186681" w:history="1">
        <w:r w:rsidR="0069199B" w:rsidRPr="00E41199">
          <w:rPr>
            <w:rStyle w:val="Hyperlink"/>
            <w:i/>
          </w:rPr>
          <w:t>5.6.2.4.</w:t>
        </w:r>
        <w:r w:rsidR="0069199B">
          <w:rPr>
            <w:rFonts w:asciiTheme="minorHAnsi" w:eastAsiaTheme="minorEastAsia" w:hAnsiTheme="minorHAnsi" w:cstheme="minorBidi"/>
            <w:smallCaps w:val="0"/>
            <w:sz w:val="22"/>
            <w:szCs w:val="22"/>
            <w:lang w:val="nl-BE" w:eastAsia="nl-BE"/>
          </w:rPr>
          <w:tab/>
        </w:r>
        <w:r w:rsidR="0069199B" w:rsidRPr="00E41199">
          <w:rPr>
            <w:rStyle w:val="Hyperlink"/>
            <w:i/>
          </w:rPr>
          <w:t>Invloed van inflatie</w:t>
        </w:r>
        <w:r w:rsidR="0069199B">
          <w:rPr>
            <w:webHidden/>
          </w:rPr>
          <w:tab/>
        </w:r>
        <w:r w:rsidR="0069199B">
          <w:rPr>
            <w:webHidden/>
          </w:rPr>
          <w:fldChar w:fldCharType="begin"/>
        </w:r>
        <w:r w:rsidR="0069199B">
          <w:rPr>
            <w:webHidden/>
          </w:rPr>
          <w:instrText xml:space="preserve"> PAGEREF _Toc454186681 \h </w:instrText>
        </w:r>
        <w:r w:rsidR="0069199B">
          <w:rPr>
            <w:webHidden/>
          </w:rPr>
        </w:r>
        <w:r w:rsidR="0069199B">
          <w:rPr>
            <w:webHidden/>
          </w:rPr>
          <w:fldChar w:fldCharType="separate"/>
        </w:r>
        <w:r w:rsidR="0069199B">
          <w:rPr>
            <w:webHidden/>
          </w:rPr>
          <w:t>37</w:t>
        </w:r>
        <w:r w:rsidR="0069199B">
          <w:rPr>
            <w:webHidden/>
          </w:rPr>
          <w:fldChar w:fldCharType="end"/>
        </w:r>
      </w:hyperlink>
    </w:p>
    <w:p w14:paraId="11B65C41" w14:textId="77777777" w:rsidR="0069199B" w:rsidRDefault="000937A6">
      <w:pPr>
        <w:pStyle w:val="Inhopg2"/>
        <w:tabs>
          <w:tab w:val="left" w:pos="1400"/>
        </w:tabs>
        <w:rPr>
          <w:rFonts w:asciiTheme="minorHAnsi" w:eastAsiaTheme="minorEastAsia" w:hAnsiTheme="minorHAnsi" w:cstheme="minorBidi"/>
          <w:smallCaps w:val="0"/>
          <w:sz w:val="22"/>
          <w:szCs w:val="22"/>
          <w:lang w:val="nl-BE" w:eastAsia="nl-BE"/>
        </w:rPr>
      </w:pPr>
      <w:hyperlink w:anchor="_Toc454186682" w:history="1">
        <w:r w:rsidR="0069199B" w:rsidRPr="00E41199">
          <w:rPr>
            <w:rStyle w:val="Hyperlink"/>
            <w:i/>
          </w:rPr>
          <w:t>5.6.2.5.</w:t>
        </w:r>
        <w:r w:rsidR="0069199B">
          <w:rPr>
            <w:rFonts w:asciiTheme="minorHAnsi" w:eastAsiaTheme="minorEastAsia" w:hAnsiTheme="minorHAnsi" w:cstheme="minorBidi"/>
            <w:smallCaps w:val="0"/>
            <w:sz w:val="22"/>
            <w:szCs w:val="22"/>
            <w:lang w:val="nl-BE" w:eastAsia="nl-BE"/>
          </w:rPr>
          <w:tab/>
        </w:r>
        <w:r w:rsidR="0069199B" w:rsidRPr="00E41199">
          <w:rPr>
            <w:rStyle w:val="Hyperlink"/>
            <w:i/>
          </w:rPr>
          <w:t>Toegelaten inkomen voor een distributienetbeheerder</w:t>
        </w:r>
        <w:r w:rsidR="0069199B">
          <w:rPr>
            <w:webHidden/>
          </w:rPr>
          <w:tab/>
        </w:r>
        <w:r w:rsidR="0069199B">
          <w:rPr>
            <w:webHidden/>
          </w:rPr>
          <w:fldChar w:fldCharType="begin"/>
        </w:r>
        <w:r w:rsidR="0069199B">
          <w:rPr>
            <w:webHidden/>
          </w:rPr>
          <w:instrText xml:space="preserve"> PAGEREF _Toc454186682 \h </w:instrText>
        </w:r>
        <w:r w:rsidR="0069199B">
          <w:rPr>
            <w:webHidden/>
          </w:rPr>
        </w:r>
        <w:r w:rsidR="0069199B">
          <w:rPr>
            <w:webHidden/>
          </w:rPr>
          <w:fldChar w:fldCharType="separate"/>
        </w:r>
        <w:r w:rsidR="0069199B">
          <w:rPr>
            <w:webHidden/>
          </w:rPr>
          <w:t>38</w:t>
        </w:r>
        <w:r w:rsidR="0069199B">
          <w:rPr>
            <w:webHidden/>
          </w:rPr>
          <w:fldChar w:fldCharType="end"/>
        </w:r>
      </w:hyperlink>
    </w:p>
    <w:p w14:paraId="1BFDD35A" w14:textId="77777777" w:rsidR="0069199B" w:rsidRDefault="000937A6">
      <w:pPr>
        <w:pStyle w:val="Inhopg2"/>
        <w:tabs>
          <w:tab w:val="left" w:pos="1400"/>
        </w:tabs>
        <w:rPr>
          <w:rFonts w:asciiTheme="minorHAnsi" w:eastAsiaTheme="minorEastAsia" w:hAnsiTheme="minorHAnsi" w:cstheme="minorBidi"/>
          <w:smallCaps w:val="0"/>
          <w:sz w:val="22"/>
          <w:szCs w:val="22"/>
          <w:lang w:val="nl-BE" w:eastAsia="nl-BE"/>
        </w:rPr>
      </w:pPr>
      <w:hyperlink w:anchor="_Toc454186683" w:history="1">
        <w:r w:rsidR="0069199B" w:rsidRPr="00E41199">
          <w:rPr>
            <w:rStyle w:val="Hyperlink"/>
            <w:i/>
          </w:rPr>
          <w:t>5.6.2.6.</w:t>
        </w:r>
        <w:r w:rsidR="0069199B">
          <w:rPr>
            <w:rFonts w:asciiTheme="minorHAnsi" w:eastAsiaTheme="minorEastAsia" w:hAnsiTheme="minorHAnsi" w:cstheme="minorBidi"/>
            <w:smallCaps w:val="0"/>
            <w:sz w:val="22"/>
            <w:szCs w:val="22"/>
            <w:lang w:val="nl-BE" w:eastAsia="nl-BE"/>
          </w:rPr>
          <w:tab/>
        </w:r>
        <w:r w:rsidR="0069199B" w:rsidRPr="00E41199">
          <w:rPr>
            <w:rStyle w:val="Hyperlink"/>
            <w:i/>
          </w:rPr>
          <w:t>X-waarde</w:t>
        </w:r>
        <w:r w:rsidR="0069199B">
          <w:rPr>
            <w:webHidden/>
          </w:rPr>
          <w:tab/>
        </w:r>
        <w:r w:rsidR="0069199B">
          <w:rPr>
            <w:webHidden/>
          </w:rPr>
          <w:fldChar w:fldCharType="begin"/>
        </w:r>
        <w:r w:rsidR="0069199B">
          <w:rPr>
            <w:webHidden/>
          </w:rPr>
          <w:instrText xml:space="preserve"> PAGEREF _Toc454186683 \h </w:instrText>
        </w:r>
        <w:r w:rsidR="0069199B">
          <w:rPr>
            <w:webHidden/>
          </w:rPr>
        </w:r>
        <w:r w:rsidR="0069199B">
          <w:rPr>
            <w:webHidden/>
          </w:rPr>
          <w:fldChar w:fldCharType="separate"/>
        </w:r>
        <w:r w:rsidR="0069199B">
          <w:rPr>
            <w:webHidden/>
          </w:rPr>
          <w:t>39</w:t>
        </w:r>
        <w:r w:rsidR="0069199B">
          <w:rPr>
            <w:webHidden/>
          </w:rPr>
          <w:fldChar w:fldCharType="end"/>
        </w:r>
      </w:hyperlink>
    </w:p>
    <w:p w14:paraId="73A1DDD6" w14:textId="77777777" w:rsidR="0069199B" w:rsidRDefault="000937A6">
      <w:pPr>
        <w:pStyle w:val="Inhopg2"/>
        <w:tabs>
          <w:tab w:val="left" w:pos="1400"/>
        </w:tabs>
        <w:rPr>
          <w:rFonts w:asciiTheme="minorHAnsi" w:eastAsiaTheme="minorEastAsia" w:hAnsiTheme="minorHAnsi" w:cstheme="minorBidi"/>
          <w:smallCaps w:val="0"/>
          <w:sz w:val="22"/>
          <w:szCs w:val="22"/>
          <w:lang w:val="nl-BE" w:eastAsia="nl-BE"/>
        </w:rPr>
      </w:pPr>
      <w:hyperlink w:anchor="_Toc454186684" w:history="1">
        <w:r w:rsidR="0069199B" w:rsidRPr="00E41199">
          <w:rPr>
            <w:rStyle w:val="Hyperlink"/>
            <w:i/>
          </w:rPr>
          <w:t>5.6.2.7.</w:t>
        </w:r>
        <w:r w:rsidR="0069199B">
          <w:rPr>
            <w:rFonts w:asciiTheme="minorHAnsi" w:eastAsiaTheme="minorEastAsia" w:hAnsiTheme="minorHAnsi" w:cstheme="minorBidi"/>
            <w:smallCaps w:val="0"/>
            <w:sz w:val="22"/>
            <w:szCs w:val="22"/>
            <w:lang w:val="nl-BE" w:eastAsia="nl-BE"/>
          </w:rPr>
          <w:tab/>
        </w:r>
        <w:r w:rsidR="0069199B" w:rsidRPr="00E41199">
          <w:rPr>
            <w:rStyle w:val="Hyperlink"/>
            <w:i/>
          </w:rPr>
          <w:t>Uitwerking in formules</w:t>
        </w:r>
        <w:r w:rsidR="0069199B">
          <w:rPr>
            <w:webHidden/>
          </w:rPr>
          <w:tab/>
        </w:r>
        <w:r w:rsidR="0069199B">
          <w:rPr>
            <w:webHidden/>
          </w:rPr>
          <w:fldChar w:fldCharType="begin"/>
        </w:r>
        <w:r w:rsidR="0069199B">
          <w:rPr>
            <w:webHidden/>
          </w:rPr>
          <w:instrText xml:space="preserve"> PAGEREF _Toc454186684 \h </w:instrText>
        </w:r>
        <w:r w:rsidR="0069199B">
          <w:rPr>
            <w:webHidden/>
          </w:rPr>
        </w:r>
        <w:r w:rsidR="0069199B">
          <w:rPr>
            <w:webHidden/>
          </w:rPr>
          <w:fldChar w:fldCharType="separate"/>
        </w:r>
        <w:r w:rsidR="0069199B">
          <w:rPr>
            <w:webHidden/>
          </w:rPr>
          <w:t>39</w:t>
        </w:r>
        <w:r w:rsidR="0069199B">
          <w:rPr>
            <w:webHidden/>
          </w:rPr>
          <w:fldChar w:fldCharType="end"/>
        </w:r>
      </w:hyperlink>
    </w:p>
    <w:p w14:paraId="23C85926" w14:textId="77777777" w:rsidR="0069199B" w:rsidRDefault="000937A6">
      <w:pPr>
        <w:pStyle w:val="Inhopg2"/>
        <w:tabs>
          <w:tab w:val="left" w:pos="1400"/>
        </w:tabs>
        <w:rPr>
          <w:rFonts w:asciiTheme="minorHAnsi" w:eastAsiaTheme="minorEastAsia" w:hAnsiTheme="minorHAnsi" w:cstheme="minorBidi"/>
          <w:smallCaps w:val="0"/>
          <w:sz w:val="22"/>
          <w:szCs w:val="22"/>
          <w:lang w:val="nl-BE" w:eastAsia="nl-BE"/>
        </w:rPr>
      </w:pPr>
      <w:hyperlink w:anchor="_Toc454186685" w:history="1">
        <w:r w:rsidR="0069199B" w:rsidRPr="00E41199">
          <w:rPr>
            <w:rStyle w:val="Hyperlink"/>
            <w:i/>
          </w:rPr>
          <w:t>5.6.2.8.</w:t>
        </w:r>
        <w:r w:rsidR="0069199B">
          <w:rPr>
            <w:rFonts w:asciiTheme="minorHAnsi" w:eastAsiaTheme="minorEastAsia" w:hAnsiTheme="minorHAnsi" w:cstheme="minorBidi"/>
            <w:smallCaps w:val="0"/>
            <w:sz w:val="22"/>
            <w:szCs w:val="22"/>
            <w:lang w:val="nl-BE" w:eastAsia="nl-BE"/>
          </w:rPr>
          <w:tab/>
        </w:r>
        <w:r w:rsidR="0069199B" w:rsidRPr="00E41199">
          <w:rPr>
            <w:rStyle w:val="Hyperlink"/>
            <w:i/>
          </w:rPr>
          <w:t>Saldo m.b.t. oplaadpunten voor elektrische voertuigen</w:t>
        </w:r>
        <w:r w:rsidR="0069199B">
          <w:rPr>
            <w:webHidden/>
          </w:rPr>
          <w:tab/>
        </w:r>
        <w:r w:rsidR="0069199B">
          <w:rPr>
            <w:webHidden/>
          </w:rPr>
          <w:fldChar w:fldCharType="begin"/>
        </w:r>
        <w:r w:rsidR="0069199B">
          <w:rPr>
            <w:webHidden/>
          </w:rPr>
          <w:instrText xml:space="preserve"> PAGEREF _Toc454186685 \h </w:instrText>
        </w:r>
        <w:r w:rsidR="0069199B">
          <w:rPr>
            <w:webHidden/>
          </w:rPr>
        </w:r>
        <w:r w:rsidR="0069199B">
          <w:rPr>
            <w:webHidden/>
          </w:rPr>
          <w:fldChar w:fldCharType="separate"/>
        </w:r>
        <w:r w:rsidR="0069199B">
          <w:rPr>
            <w:webHidden/>
          </w:rPr>
          <w:t>42</w:t>
        </w:r>
        <w:r w:rsidR="0069199B">
          <w:rPr>
            <w:webHidden/>
          </w:rPr>
          <w:fldChar w:fldCharType="end"/>
        </w:r>
      </w:hyperlink>
    </w:p>
    <w:p w14:paraId="5810CAC3" w14:textId="77777777" w:rsidR="0069199B" w:rsidRDefault="000937A6">
      <w:pPr>
        <w:pStyle w:val="Inhopg2"/>
        <w:rPr>
          <w:rFonts w:asciiTheme="minorHAnsi" w:eastAsiaTheme="minorEastAsia" w:hAnsiTheme="minorHAnsi" w:cstheme="minorBidi"/>
          <w:smallCaps w:val="0"/>
          <w:sz w:val="22"/>
          <w:szCs w:val="22"/>
          <w:lang w:val="nl-BE" w:eastAsia="nl-BE"/>
        </w:rPr>
      </w:pPr>
      <w:hyperlink w:anchor="_Toc454186686" w:history="1">
        <w:r w:rsidR="0069199B" w:rsidRPr="00E41199">
          <w:rPr>
            <w:rStyle w:val="Hyperlink"/>
          </w:rPr>
          <w:t>5.7.</w:t>
        </w:r>
        <w:r w:rsidR="0069199B">
          <w:rPr>
            <w:rFonts w:asciiTheme="minorHAnsi" w:eastAsiaTheme="minorEastAsia" w:hAnsiTheme="minorHAnsi" w:cstheme="minorBidi"/>
            <w:smallCaps w:val="0"/>
            <w:sz w:val="22"/>
            <w:szCs w:val="22"/>
            <w:lang w:val="nl-BE" w:eastAsia="nl-BE"/>
          </w:rPr>
          <w:tab/>
        </w:r>
        <w:r w:rsidR="0069199B" w:rsidRPr="00E41199">
          <w:rPr>
            <w:rStyle w:val="Hyperlink"/>
          </w:rPr>
          <w:t>Vaststelling van het rekenvolume</w:t>
        </w:r>
        <w:r w:rsidR="0069199B">
          <w:rPr>
            <w:webHidden/>
          </w:rPr>
          <w:tab/>
        </w:r>
        <w:r w:rsidR="0069199B">
          <w:rPr>
            <w:webHidden/>
          </w:rPr>
          <w:fldChar w:fldCharType="begin"/>
        </w:r>
        <w:r w:rsidR="0069199B">
          <w:rPr>
            <w:webHidden/>
          </w:rPr>
          <w:instrText xml:space="preserve"> PAGEREF _Toc454186686 \h </w:instrText>
        </w:r>
        <w:r w:rsidR="0069199B">
          <w:rPr>
            <w:webHidden/>
          </w:rPr>
        </w:r>
        <w:r w:rsidR="0069199B">
          <w:rPr>
            <w:webHidden/>
          </w:rPr>
          <w:fldChar w:fldCharType="separate"/>
        </w:r>
        <w:r w:rsidR="0069199B">
          <w:rPr>
            <w:webHidden/>
          </w:rPr>
          <w:t>47</w:t>
        </w:r>
        <w:r w:rsidR="0069199B">
          <w:rPr>
            <w:webHidden/>
          </w:rPr>
          <w:fldChar w:fldCharType="end"/>
        </w:r>
      </w:hyperlink>
    </w:p>
    <w:p w14:paraId="173F9161" w14:textId="77777777" w:rsidR="0069199B" w:rsidRDefault="000937A6">
      <w:pPr>
        <w:pStyle w:val="Inhopg2"/>
        <w:rPr>
          <w:rFonts w:asciiTheme="minorHAnsi" w:eastAsiaTheme="minorEastAsia" w:hAnsiTheme="minorHAnsi" w:cstheme="minorBidi"/>
          <w:smallCaps w:val="0"/>
          <w:sz w:val="22"/>
          <w:szCs w:val="22"/>
          <w:lang w:val="nl-BE" w:eastAsia="nl-BE"/>
        </w:rPr>
      </w:pPr>
      <w:hyperlink w:anchor="_Toc454186687" w:history="1">
        <w:r w:rsidR="0069199B" w:rsidRPr="00E41199">
          <w:rPr>
            <w:rStyle w:val="Hyperlink"/>
          </w:rPr>
          <w:t>5.8.</w:t>
        </w:r>
        <w:r w:rsidR="0069199B">
          <w:rPr>
            <w:rFonts w:asciiTheme="minorHAnsi" w:eastAsiaTheme="minorEastAsia" w:hAnsiTheme="minorHAnsi" w:cstheme="minorBidi"/>
            <w:smallCaps w:val="0"/>
            <w:sz w:val="22"/>
            <w:szCs w:val="22"/>
            <w:lang w:val="nl-BE" w:eastAsia="nl-BE"/>
          </w:rPr>
          <w:tab/>
        </w:r>
        <w:r w:rsidR="0069199B" w:rsidRPr="00E41199">
          <w:rPr>
            <w:rStyle w:val="Hyperlink"/>
          </w:rPr>
          <w:t>Prijsevoluties tussen opeenvolgende jaren in één reguleringsperiode</w:t>
        </w:r>
        <w:r w:rsidR="0069199B">
          <w:rPr>
            <w:webHidden/>
          </w:rPr>
          <w:tab/>
        </w:r>
        <w:r w:rsidR="0069199B">
          <w:rPr>
            <w:webHidden/>
          </w:rPr>
          <w:fldChar w:fldCharType="begin"/>
        </w:r>
        <w:r w:rsidR="0069199B">
          <w:rPr>
            <w:webHidden/>
          </w:rPr>
          <w:instrText xml:space="preserve"> PAGEREF _Toc454186687 \h </w:instrText>
        </w:r>
        <w:r w:rsidR="0069199B">
          <w:rPr>
            <w:webHidden/>
          </w:rPr>
        </w:r>
        <w:r w:rsidR="0069199B">
          <w:rPr>
            <w:webHidden/>
          </w:rPr>
          <w:fldChar w:fldCharType="separate"/>
        </w:r>
        <w:r w:rsidR="0069199B">
          <w:rPr>
            <w:webHidden/>
          </w:rPr>
          <w:t>48</w:t>
        </w:r>
        <w:r w:rsidR="0069199B">
          <w:rPr>
            <w:webHidden/>
          </w:rPr>
          <w:fldChar w:fldCharType="end"/>
        </w:r>
      </w:hyperlink>
    </w:p>
    <w:p w14:paraId="7CB8F759" w14:textId="77777777" w:rsidR="0069199B" w:rsidRDefault="000937A6">
      <w:pPr>
        <w:pStyle w:val="Inhopg2"/>
        <w:rPr>
          <w:rFonts w:asciiTheme="minorHAnsi" w:eastAsiaTheme="minorEastAsia" w:hAnsiTheme="minorHAnsi" w:cstheme="minorBidi"/>
          <w:smallCaps w:val="0"/>
          <w:sz w:val="22"/>
          <w:szCs w:val="22"/>
          <w:lang w:val="nl-BE" w:eastAsia="nl-BE"/>
        </w:rPr>
      </w:pPr>
      <w:hyperlink w:anchor="_Toc454186688" w:history="1">
        <w:r w:rsidR="0069199B" w:rsidRPr="00E41199">
          <w:rPr>
            <w:rStyle w:val="Hyperlink"/>
          </w:rPr>
          <w:t>5.9.</w:t>
        </w:r>
        <w:r w:rsidR="0069199B">
          <w:rPr>
            <w:rFonts w:asciiTheme="minorHAnsi" w:eastAsiaTheme="minorEastAsia" w:hAnsiTheme="minorHAnsi" w:cstheme="minorBidi"/>
            <w:smallCaps w:val="0"/>
            <w:sz w:val="22"/>
            <w:szCs w:val="22"/>
            <w:lang w:val="nl-BE" w:eastAsia="nl-BE"/>
          </w:rPr>
          <w:tab/>
        </w:r>
        <w:r w:rsidR="0069199B" w:rsidRPr="00E41199">
          <w:rPr>
            <w:rStyle w:val="Hyperlink"/>
          </w:rPr>
          <w:t>Opmaak van het tariefvoorstel</w:t>
        </w:r>
        <w:r w:rsidR="0069199B">
          <w:rPr>
            <w:webHidden/>
          </w:rPr>
          <w:tab/>
        </w:r>
        <w:r w:rsidR="0069199B">
          <w:rPr>
            <w:webHidden/>
          </w:rPr>
          <w:fldChar w:fldCharType="begin"/>
        </w:r>
        <w:r w:rsidR="0069199B">
          <w:rPr>
            <w:webHidden/>
          </w:rPr>
          <w:instrText xml:space="preserve"> PAGEREF _Toc454186688 \h </w:instrText>
        </w:r>
        <w:r w:rsidR="0069199B">
          <w:rPr>
            <w:webHidden/>
          </w:rPr>
        </w:r>
        <w:r w:rsidR="0069199B">
          <w:rPr>
            <w:webHidden/>
          </w:rPr>
          <w:fldChar w:fldCharType="separate"/>
        </w:r>
        <w:r w:rsidR="0069199B">
          <w:rPr>
            <w:webHidden/>
          </w:rPr>
          <w:t>49</w:t>
        </w:r>
        <w:r w:rsidR="0069199B">
          <w:rPr>
            <w:webHidden/>
          </w:rPr>
          <w:fldChar w:fldCharType="end"/>
        </w:r>
      </w:hyperlink>
    </w:p>
    <w:p w14:paraId="5EF60B9D" w14:textId="77777777" w:rsidR="0069199B" w:rsidRDefault="000937A6">
      <w:pPr>
        <w:pStyle w:val="Inhopg2"/>
        <w:tabs>
          <w:tab w:val="left" w:pos="998"/>
        </w:tabs>
        <w:rPr>
          <w:rFonts w:asciiTheme="minorHAnsi" w:eastAsiaTheme="minorEastAsia" w:hAnsiTheme="minorHAnsi" w:cstheme="minorBidi"/>
          <w:smallCaps w:val="0"/>
          <w:sz w:val="22"/>
          <w:szCs w:val="22"/>
          <w:lang w:val="nl-BE" w:eastAsia="nl-BE"/>
        </w:rPr>
      </w:pPr>
      <w:hyperlink w:anchor="_Toc454186689" w:history="1">
        <w:r w:rsidR="0069199B" w:rsidRPr="00E41199">
          <w:rPr>
            <w:rStyle w:val="Hyperlink"/>
            <w:i/>
          </w:rPr>
          <w:t>5.9.1.</w:t>
        </w:r>
        <w:r w:rsidR="0069199B">
          <w:rPr>
            <w:rFonts w:asciiTheme="minorHAnsi" w:eastAsiaTheme="minorEastAsia" w:hAnsiTheme="minorHAnsi" w:cstheme="minorBidi"/>
            <w:smallCaps w:val="0"/>
            <w:sz w:val="22"/>
            <w:szCs w:val="22"/>
            <w:lang w:val="nl-BE" w:eastAsia="nl-BE"/>
          </w:rPr>
          <w:tab/>
        </w:r>
        <w:r w:rsidR="0069199B" w:rsidRPr="00E41199">
          <w:rPr>
            <w:rStyle w:val="Hyperlink"/>
            <w:i/>
          </w:rPr>
          <w:t>Rapporteringsmodel tariefvoorstel</w:t>
        </w:r>
        <w:r w:rsidR="0069199B">
          <w:rPr>
            <w:webHidden/>
          </w:rPr>
          <w:tab/>
        </w:r>
        <w:r w:rsidR="0069199B">
          <w:rPr>
            <w:webHidden/>
          </w:rPr>
          <w:fldChar w:fldCharType="begin"/>
        </w:r>
        <w:r w:rsidR="0069199B">
          <w:rPr>
            <w:webHidden/>
          </w:rPr>
          <w:instrText xml:space="preserve"> PAGEREF _Toc454186689 \h </w:instrText>
        </w:r>
        <w:r w:rsidR="0069199B">
          <w:rPr>
            <w:webHidden/>
          </w:rPr>
        </w:r>
        <w:r w:rsidR="0069199B">
          <w:rPr>
            <w:webHidden/>
          </w:rPr>
          <w:fldChar w:fldCharType="separate"/>
        </w:r>
        <w:r w:rsidR="0069199B">
          <w:rPr>
            <w:webHidden/>
          </w:rPr>
          <w:t>49</w:t>
        </w:r>
        <w:r w:rsidR="0069199B">
          <w:rPr>
            <w:webHidden/>
          </w:rPr>
          <w:fldChar w:fldCharType="end"/>
        </w:r>
      </w:hyperlink>
    </w:p>
    <w:p w14:paraId="202870A9" w14:textId="77777777" w:rsidR="0069199B" w:rsidRDefault="000937A6">
      <w:pPr>
        <w:pStyle w:val="Inhopg2"/>
        <w:tabs>
          <w:tab w:val="left" w:pos="998"/>
        </w:tabs>
        <w:rPr>
          <w:rFonts w:asciiTheme="minorHAnsi" w:eastAsiaTheme="minorEastAsia" w:hAnsiTheme="minorHAnsi" w:cstheme="minorBidi"/>
          <w:smallCaps w:val="0"/>
          <w:sz w:val="22"/>
          <w:szCs w:val="22"/>
          <w:lang w:val="nl-BE" w:eastAsia="nl-BE"/>
        </w:rPr>
      </w:pPr>
      <w:hyperlink w:anchor="_Toc454186690" w:history="1">
        <w:r w:rsidR="0069199B" w:rsidRPr="00E41199">
          <w:rPr>
            <w:rStyle w:val="Hyperlink"/>
            <w:i/>
          </w:rPr>
          <w:t>5.9.2.</w:t>
        </w:r>
        <w:r w:rsidR="0069199B">
          <w:rPr>
            <w:rFonts w:asciiTheme="minorHAnsi" w:eastAsiaTheme="minorEastAsia" w:hAnsiTheme="minorHAnsi" w:cstheme="minorBidi"/>
            <w:smallCaps w:val="0"/>
            <w:sz w:val="22"/>
            <w:szCs w:val="22"/>
            <w:lang w:val="nl-BE" w:eastAsia="nl-BE"/>
          </w:rPr>
          <w:tab/>
        </w:r>
        <w:r w:rsidR="0069199B" w:rsidRPr="00E41199">
          <w:rPr>
            <w:rStyle w:val="Hyperlink"/>
            <w:i/>
          </w:rPr>
          <w:t>Werkwijze</w:t>
        </w:r>
        <w:r w:rsidR="0069199B">
          <w:rPr>
            <w:webHidden/>
          </w:rPr>
          <w:tab/>
        </w:r>
        <w:r w:rsidR="0069199B">
          <w:rPr>
            <w:webHidden/>
          </w:rPr>
          <w:fldChar w:fldCharType="begin"/>
        </w:r>
        <w:r w:rsidR="0069199B">
          <w:rPr>
            <w:webHidden/>
          </w:rPr>
          <w:instrText xml:space="preserve"> PAGEREF _Toc454186690 \h </w:instrText>
        </w:r>
        <w:r w:rsidR="0069199B">
          <w:rPr>
            <w:webHidden/>
          </w:rPr>
        </w:r>
        <w:r w:rsidR="0069199B">
          <w:rPr>
            <w:webHidden/>
          </w:rPr>
          <w:fldChar w:fldCharType="separate"/>
        </w:r>
        <w:r w:rsidR="0069199B">
          <w:rPr>
            <w:webHidden/>
          </w:rPr>
          <w:t>50</w:t>
        </w:r>
        <w:r w:rsidR="0069199B">
          <w:rPr>
            <w:webHidden/>
          </w:rPr>
          <w:fldChar w:fldCharType="end"/>
        </w:r>
      </w:hyperlink>
    </w:p>
    <w:p w14:paraId="4A76C914" w14:textId="77777777" w:rsidR="0069199B" w:rsidRDefault="000937A6">
      <w:pPr>
        <w:pStyle w:val="Inhopg2"/>
        <w:tabs>
          <w:tab w:val="left" w:pos="998"/>
        </w:tabs>
        <w:rPr>
          <w:rFonts w:asciiTheme="minorHAnsi" w:eastAsiaTheme="minorEastAsia" w:hAnsiTheme="minorHAnsi" w:cstheme="minorBidi"/>
          <w:smallCaps w:val="0"/>
          <w:sz w:val="22"/>
          <w:szCs w:val="22"/>
          <w:lang w:val="nl-BE" w:eastAsia="nl-BE"/>
        </w:rPr>
      </w:pPr>
      <w:hyperlink w:anchor="_Toc454186691" w:history="1">
        <w:r w:rsidR="0069199B" w:rsidRPr="00E41199">
          <w:rPr>
            <w:rStyle w:val="Hyperlink"/>
          </w:rPr>
          <w:t>5.10.</w:t>
        </w:r>
        <w:r w:rsidR="0069199B">
          <w:rPr>
            <w:rFonts w:asciiTheme="minorHAnsi" w:eastAsiaTheme="minorEastAsia" w:hAnsiTheme="minorHAnsi" w:cstheme="minorBidi"/>
            <w:smallCaps w:val="0"/>
            <w:sz w:val="22"/>
            <w:szCs w:val="22"/>
            <w:lang w:val="nl-BE" w:eastAsia="nl-BE"/>
          </w:rPr>
          <w:tab/>
        </w:r>
        <w:r w:rsidR="0069199B" w:rsidRPr="00E41199">
          <w:rPr>
            <w:rStyle w:val="Hyperlink"/>
          </w:rPr>
          <w:t>Lengte van de reguleringsperiode</w:t>
        </w:r>
        <w:r w:rsidR="0069199B">
          <w:rPr>
            <w:webHidden/>
          </w:rPr>
          <w:tab/>
        </w:r>
        <w:r w:rsidR="0069199B">
          <w:rPr>
            <w:webHidden/>
          </w:rPr>
          <w:fldChar w:fldCharType="begin"/>
        </w:r>
        <w:r w:rsidR="0069199B">
          <w:rPr>
            <w:webHidden/>
          </w:rPr>
          <w:instrText xml:space="preserve"> PAGEREF _Toc454186691 \h </w:instrText>
        </w:r>
        <w:r w:rsidR="0069199B">
          <w:rPr>
            <w:webHidden/>
          </w:rPr>
        </w:r>
        <w:r w:rsidR="0069199B">
          <w:rPr>
            <w:webHidden/>
          </w:rPr>
          <w:fldChar w:fldCharType="separate"/>
        </w:r>
        <w:r w:rsidR="0069199B">
          <w:rPr>
            <w:webHidden/>
          </w:rPr>
          <w:t>50</w:t>
        </w:r>
        <w:r w:rsidR="0069199B">
          <w:rPr>
            <w:webHidden/>
          </w:rPr>
          <w:fldChar w:fldCharType="end"/>
        </w:r>
      </w:hyperlink>
    </w:p>
    <w:p w14:paraId="4A0CDB42" w14:textId="77777777" w:rsidR="0069199B" w:rsidRDefault="000937A6">
      <w:pPr>
        <w:pStyle w:val="Inhopg2"/>
        <w:tabs>
          <w:tab w:val="left" w:pos="998"/>
        </w:tabs>
        <w:rPr>
          <w:rFonts w:asciiTheme="minorHAnsi" w:eastAsiaTheme="minorEastAsia" w:hAnsiTheme="minorHAnsi" w:cstheme="minorBidi"/>
          <w:smallCaps w:val="0"/>
          <w:sz w:val="22"/>
          <w:szCs w:val="22"/>
          <w:lang w:val="nl-BE" w:eastAsia="nl-BE"/>
        </w:rPr>
      </w:pPr>
      <w:hyperlink w:anchor="_Toc454186692" w:history="1">
        <w:r w:rsidR="0069199B" w:rsidRPr="00E41199">
          <w:rPr>
            <w:rStyle w:val="Hyperlink"/>
          </w:rPr>
          <w:t>5.11.</w:t>
        </w:r>
        <w:r w:rsidR="0069199B">
          <w:rPr>
            <w:rFonts w:asciiTheme="minorHAnsi" w:eastAsiaTheme="minorEastAsia" w:hAnsiTheme="minorHAnsi" w:cstheme="minorBidi"/>
            <w:smallCaps w:val="0"/>
            <w:sz w:val="22"/>
            <w:szCs w:val="22"/>
            <w:lang w:val="nl-BE" w:eastAsia="nl-BE"/>
          </w:rPr>
          <w:tab/>
        </w:r>
        <w:r w:rsidR="0069199B" w:rsidRPr="00E41199">
          <w:rPr>
            <w:rStyle w:val="Hyperlink"/>
          </w:rPr>
          <w:t>Kwaliteitsbewaking</w:t>
        </w:r>
        <w:r w:rsidR="0069199B">
          <w:rPr>
            <w:webHidden/>
          </w:rPr>
          <w:tab/>
        </w:r>
        <w:r w:rsidR="0069199B">
          <w:rPr>
            <w:webHidden/>
          </w:rPr>
          <w:fldChar w:fldCharType="begin"/>
        </w:r>
        <w:r w:rsidR="0069199B">
          <w:rPr>
            <w:webHidden/>
          </w:rPr>
          <w:instrText xml:space="preserve"> PAGEREF _Toc454186692 \h </w:instrText>
        </w:r>
        <w:r w:rsidR="0069199B">
          <w:rPr>
            <w:webHidden/>
          </w:rPr>
        </w:r>
        <w:r w:rsidR="0069199B">
          <w:rPr>
            <w:webHidden/>
          </w:rPr>
          <w:fldChar w:fldCharType="separate"/>
        </w:r>
        <w:r w:rsidR="0069199B">
          <w:rPr>
            <w:webHidden/>
          </w:rPr>
          <w:t>51</w:t>
        </w:r>
        <w:r w:rsidR="0069199B">
          <w:rPr>
            <w:webHidden/>
          </w:rPr>
          <w:fldChar w:fldCharType="end"/>
        </w:r>
      </w:hyperlink>
    </w:p>
    <w:p w14:paraId="6A444864" w14:textId="77777777" w:rsidR="0069199B" w:rsidRDefault="000937A6">
      <w:pPr>
        <w:pStyle w:val="Inhopg2"/>
        <w:tabs>
          <w:tab w:val="left" w:pos="998"/>
        </w:tabs>
        <w:rPr>
          <w:rFonts w:asciiTheme="minorHAnsi" w:eastAsiaTheme="minorEastAsia" w:hAnsiTheme="minorHAnsi" w:cstheme="minorBidi"/>
          <w:smallCaps w:val="0"/>
          <w:sz w:val="22"/>
          <w:szCs w:val="22"/>
          <w:lang w:val="nl-BE" w:eastAsia="nl-BE"/>
        </w:rPr>
      </w:pPr>
      <w:hyperlink w:anchor="_Toc454186693" w:history="1">
        <w:r w:rsidR="0069199B" w:rsidRPr="00E41199">
          <w:rPr>
            <w:rStyle w:val="Hyperlink"/>
          </w:rPr>
          <w:t>5.12.</w:t>
        </w:r>
        <w:r w:rsidR="0069199B">
          <w:rPr>
            <w:rFonts w:asciiTheme="minorHAnsi" w:eastAsiaTheme="minorEastAsia" w:hAnsiTheme="minorHAnsi" w:cstheme="minorBidi"/>
            <w:smallCaps w:val="0"/>
            <w:sz w:val="22"/>
            <w:szCs w:val="22"/>
            <w:lang w:val="nl-BE" w:eastAsia="nl-BE"/>
          </w:rPr>
          <w:tab/>
        </w:r>
        <w:r w:rsidR="0069199B" w:rsidRPr="00E41199">
          <w:rPr>
            <w:rStyle w:val="Hyperlink"/>
          </w:rPr>
          <w:t>Niet-periodieke distributienettarieven</w:t>
        </w:r>
        <w:r w:rsidR="0069199B">
          <w:rPr>
            <w:webHidden/>
          </w:rPr>
          <w:tab/>
        </w:r>
        <w:r w:rsidR="0069199B">
          <w:rPr>
            <w:webHidden/>
          </w:rPr>
          <w:fldChar w:fldCharType="begin"/>
        </w:r>
        <w:r w:rsidR="0069199B">
          <w:rPr>
            <w:webHidden/>
          </w:rPr>
          <w:instrText xml:space="preserve"> PAGEREF _Toc454186693 \h </w:instrText>
        </w:r>
        <w:r w:rsidR="0069199B">
          <w:rPr>
            <w:webHidden/>
          </w:rPr>
        </w:r>
        <w:r w:rsidR="0069199B">
          <w:rPr>
            <w:webHidden/>
          </w:rPr>
          <w:fldChar w:fldCharType="separate"/>
        </w:r>
        <w:r w:rsidR="0069199B">
          <w:rPr>
            <w:webHidden/>
          </w:rPr>
          <w:t>52</w:t>
        </w:r>
        <w:r w:rsidR="0069199B">
          <w:rPr>
            <w:webHidden/>
          </w:rPr>
          <w:fldChar w:fldCharType="end"/>
        </w:r>
      </w:hyperlink>
    </w:p>
    <w:p w14:paraId="589A273A" w14:textId="77777777" w:rsidR="0069199B" w:rsidRDefault="000937A6">
      <w:pPr>
        <w:pStyle w:val="Inhopg1"/>
        <w:rPr>
          <w:rFonts w:asciiTheme="minorHAnsi" w:eastAsiaTheme="minorEastAsia" w:hAnsiTheme="minorHAnsi" w:cstheme="minorBidi"/>
          <w:b w:val="0"/>
          <w:caps w:val="0"/>
          <w:noProof/>
          <w:sz w:val="22"/>
          <w:lang w:val="nl-BE" w:eastAsia="nl-BE"/>
        </w:rPr>
      </w:pPr>
      <w:hyperlink w:anchor="_Toc454186694" w:history="1">
        <w:r w:rsidR="0069199B" w:rsidRPr="00E41199">
          <w:rPr>
            <w:rStyle w:val="Hyperlink"/>
            <w:noProof/>
          </w:rPr>
          <w:t>6</w:t>
        </w:r>
        <w:r w:rsidR="0069199B">
          <w:rPr>
            <w:rFonts w:asciiTheme="minorHAnsi" w:eastAsiaTheme="minorEastAsia" w:hAnsiTheme="minorHAnsi" w:cstheme="minorBidi"/>
            <w:b w:val="0"/>
            <w:caps w:val="0"/>
            <w:noProof/>
            <w:sz w:val="22"/>
            <w:lang w:val="nl-BE" w:eastAsia="nl-BE"/>
          </w:rPr>
          <w:tab/>
        </w:r>
        <w:r w:rsidR="0069199B" w:rsidRPr="00E41199">
          <w:rPr>
            <w:rStyle w:val="Hyperlink"/>
            <w:noProof/>
          </w:rPr>
          <w:t>Algemene tariefstructuur</w:t>
        </w:r>
        <w:r w:rsidR="0069199B">
          <w:rPr>
            <w:noProof/>
            <w:webHidden/>
          </w:rPr>
          <w:tab/>
        </w:r>
        <w:r w:rsidR="0069199B">
          <w:rPr>
            <w:noProof/>
            <w:webHidden/>
          </w:rPr>
          <w:fldChar w:fldCharType="begin"/>
        </w:r>
        <w:r w:rsidR="0069199B">
          <w:rPr>
            <w:noProof/>
            <w:webHidden/>
          </w:rPr>
          <w:instrText xml:space="preserve"> PAGEREF _Toc454186694 \h </w:instrText>
        </w:r>
        <w:r w:rsidR="0069199B">
          <w:rPr>
            <w:noProof/>
            <w:webHidden/>
          </w:rPr>
        </w:r>
        <w:r w:rsidR="0069199B">
          <w:rPr>
            <w:noProof/>
            <w:webHidden/>
          </w:rPr>
          <w:fldChar w:fldCharType="separate"/>
        </w:r>
        <w:r w:rsidR="0069199B">
          <w:rPr>
            <w:noProof/>
            <w:webHidden/>
          </w:rPr>
          <w:t>54</w:t>
        </w:r>
        <w:r w:rsidR="0069199B">
          <w:rPr>
            <w:noProof/>
            <w:webHidden/>
          </w:rPr>
          <w:fldChar w:fldCharType="end"/>
        </w:r>
      </w:hyperlink>
    </w:p>
    <w:p w14:paraId="2CDFC26D" w14:textId="77777777" w:rsidR="0069199B" w:rsidRDefault="000937A6">
      <w:pPr>
        <w:pStyle w:val="Inhopg2"/>
        <w:rPr>
          <w:rFonts w:asciiTheme="minorHAnsi" w:eastAsiaTheme="minorEastAsia" w:hAnsiTheme="minorHAnsi" w:cstheme="minorBidi"/>
          <w:smallCaps w:val="0"/>
          <w:sz w:val="22"/>
          <w:szCs w:val="22"/>
          <w:lang w:val="nl-BE" w:eastAsia="nl-BE"/>
        </w:rPr>
      </w:pPr>
      <w:hyperlink w:anchor="_Toc454186695" w:history="1">
        <w:r w:rsidR="0069199B" w:rsidRPr="00E41199">
          <w:rPr>
            <w:rStyle w:val="Hyperlink"/>
          </w:rPr>
          <w:t>6.1</w:t>
        </w:r>
        <w:r w:rsidR="0069199B">
          <w:rPr>
            <w:rFonts w:asciiTheme="minorHAnsi" w:eastAsiaTheme="minorEastAsia" w:hAnsiTheme="minorHAnsi" w:cstheme="minorBidi"/>
            <w:smallCaps w:val="0"/>
            <w:sz w:val="22"/>
            <w:szCs w:val="22"/>
            <w:lang w:val="nl-BE" w:eastAsia="nl-BE"/>
          </w:rPr>
          <w:tab/>
        </w:r>
        <w:r w:rsidR="0069199B" w:rsidRPr="00E41199">
          <w:rPr>
            <w:rStyle w:val="Hyperlink"/>
          </w:rPr>
          <w:t>Niet-periodieke distributienettarieven</w:t>
        </w:r>
        <w:r w:rsidR="0069199B">
          <w:rPr>
            <w:webHidden/>
          </w:rPr>
          <w:tab/>
        </w:r>
        <w:r w:rsidR="0069199B">
          <w:rPr>
            <w:webHidden/>
          </w:rPr>
          <w:fldChar w:fldCharType="begin"/>
        </w:r>
        <w:r w:rsidR="0069199B">
          <w:rPr>
            <w:webHidden/>
          </w:rPr>
          <w:instrText xml:space="preserve"> PAGEREF _Toc454186695 \h </w:instrText>
        </w:r>
        <w:r w:rsidR="0069199B">
          <w:rPr>
            <w:webHidden/>
          </w:rPr>
        </w:r>
        <w:r w:rsidR="0069199B">
          <w:rPr>
            <w:webHidden/>
          </w:rPr>
          <w:fldChar w:fldCharType="separate"/>
        </w:r>
        <w:r w:rsidR="0069199B">
          <w:rPr>
            <w:webHidden/>
          </w:rPr>
          <w:t>54</w:t>
        </w:r>
        <w:r w:rsidR="0069199B">
          <w:rPr>
            <w:webHidden/>
          </w:rPr>
          <w:fldChar w:fldCharType="end"/>
        </w:r>
      </w:hyperlink>
    </w:p>
    <w:p w14:paraId="1F3287B9" w14:textId="77777777" w:rsidR="0069199B" w:rsidRDefault="000937A6">
      <w:pPr>
        <w:pStyle w:val="Inhopg2"/>
        <w:rPr>
          <w:rFonts w:asciiTheme="minorHAnsi" w:eastAsiaTheme="minorEastAsia" w:hAnsiTheme="minorHAnsi" w:cstheme="minorBidi"/>
          <w:smallCaps w:val="0"/>
          <w:sz w:val="22"/>
          <w:szCs w:val="22"/>
          <w:lang w:val="nl-BE" w:eastAsia="nl-BE"/>
        </w:rPr>
      </w:pPr>
      <w:hyperlink w:anchor="_Toc454186696" w:history="1">
        <w:r w:rsidR="0069199B" w:rsidRPr="00E41199">
          <w:rPr>
            <w:rStyle w:val="Hyperlink"/>
          </w:rPr>
          <w:t>6.2</w:t>
        </w:r>
        <w:r w:rsidR="0069199B">
          <w:rPr>
            <w:rFonts w:asciiTheme="minorHAnsi" w:eastAsiaTheme="minorEastAsia" w:hAnsiTheme="minorHAnsi" w:cstheme="minorBidi"/>
            <w:smallCaps w:val="0"/>
            <w:sz w:val="22"/>
            <w:szCs w:val="22"/>
            <w:lang w:val="nl-BE" w:eastAsia="nl-BE"/>
          </w:rPr>
          <w:tab/>
        </w:r>
        <w:r w:rsidR="0069199B" w:rsidRPr="00E41199">
          <w:rPr>
            <w:rStyle w:val="Hyperlink"/>
          </w:rPr>
          <w:t>Klantengroepen</w:t>
        </w:r>
        <w:r w:rsidR="0069199B">
          <w:rPr>
            <w:webHidden/>
          </w:rPr>
          <w:tab/>
        </w:r>
        <w:r w:rsidR="0069199B">
          <w:rPr>
            <w:webHidden/>
          </w:rPr>
          <w:fldChar w:fldCharType="begin"/>
        </w:r>
        <w:r w:rsidR="0069199B">
          <w:rPr>
            <w:webHidden/>
          </w:rPr>
          <w:instrText xml:space="preserve"> PAGEREF _Toc454186696 \h </w:instrText>
        </w:r>
        <w:r w:rsidR="0069199B">
          <w:rPr>
            <w:webHidden/>
          </w:rPr>
        </w:r>
        <w:r w:rsidR="0069199B">
          <w:rPr>
            <w:webHidden/>
          </w:rPr>
          <w:fldChar w:fldCharType="separate"/>
        </w:r>
        <w:r w:rsidR="0069199B">
          <w:rPr>
            <w:webHidden/>
          </w:rPr>
          <w:t>55</w:t>
        </w:r>
        <w:r w:rsidR="0069199B">
          <w:rPr>
            <w:webHidden/>
          </w:rPr>
          <w:fldChar w:fldCharType="end"/>
        </w:r>
      </w:hyperlink>
    </w:p>
    <w:p w14:paraId="708D798E" w14:textId="77777777" w:rsidR="0069199B" w:rsidRDefault="000937A6">
      <w:pPr>
        <w:pStyle w:val="Inhopg2"/>
        <w:tabs>
          <w:tab w:val="left" w:pos="998"/>
        </w:tabs>
        <w:rPr>
          <w:rFonts w:asciiTheme="minorHAnsi" w:eastAsiaTheme="minorEastAsia" w:hAnsiTheme="minorHAnsi" w:cstheme="minorBidi"/>
          <w:smallCaps w:val="0"/>
          <w:sz w:val="22"/>
          <w:szCs w:val="22"/>
          <w:lang w:val="nl-BE" w:eastAsia="nl-BE"/>
        </w:rPr>
      </w:pPr>
      <w:hyperlink w:anchor="_Toc454186700" w:history="1">
        <w:r w:rsidR="0069199B" w:rsidRPr="00E41199">
          <w:rPr>
            <w:rStyle w:val="Hyperlink"/>
            <w:i/>
          </w:rPr>
          <w:t>6.2.1.</w:t>
        </w:r>
        <w:r w:rsidR="0069199B">
          <w:rPr>
            <w:rFonts w:asciiTheme="minorHAnsi" w:eastAsiaTheme="minorEastAsia" w:hAnsiTheme="minorHAnsi" w:cstheme="minorBidi"/>
            <w:smallCaps w:val="0"/>
            <w:sz w:val="22"/>
            <w:szCs w:val="22"/>
            <w:lang w:val="nl-BE" w:eastAsia="nl-BE"/>
          </w:rPr>
          <w:tab/>
        </w:r>
        <w:r w:rsidR="0069199B" w:rsidRPr="00E41199">
          <w:rPr>
            <w:rStyle w:val="Hyperlink"/>
            <w:i/>
          </w:rPr>
          <w:t>Elektriciteitsdistributie</w:t>
        </w:r>
        <w:r w:rsidR="0069199B">
          <w:rPr>
            <w:webHidden/>
          </w:rPr>
          <w:tab/>
        </w:r>
        <w:r w:rsidR="0069199B">
          <w:rPr>
            <w:webHidden/>
          </w:rPr>
          <w:fldChar w:fldCharType="begin"/>
        </w:r>
        <w:r w:rsidR="0069199B">
          <w:rPr>
            <w:webHidden/>
          </w:rPr>
          <w:instrText xml:space="preserve"> PAGEREF _Toc454186700 \h </w:instrText>
        </w:r>
        <w:r w:rsidR="0069199B">
          <w:rPr>
            <w:webHidden/>
          </w:rPr>
        </w:r>
        <w:r w:rsidR="0069199B">
          <w:rPr>
            <w:webHidden/>
          </w:rPr>
          <w:fldChar w:fldCharType="separate"/>
        </w:r>
        <w:r w:rsidR="0069199B">
          <w:rPr>
            <w:webHidden/>
          </w:rPr>
          <w:t>55</w:t>
        </w:r>
        <w:r w:rsidR="0069199B">
          <w:rPr>
            <w:webHidden/>
          </w:rPr>
          <w:fldChar w:fldCharType="end"/>
        </w:r>
      </w:hyperlink>
    </w:p>
    <w:p w14:paraId="7E7D2302" w14:textId="77777777" w:rsidR="0069199B" w:rsidRDefault="000937A6">
      <w:pPr>
        <w:pStyle w:val="Inhopg2"/>
        <w:tabs>
          <w:tab w:val="left" w:pos="998"/>
        </w:tabs>
        <w:rPr>
          <w:rFonts w:asciiTheme="minorHAnsi" w:eastAsiaTheme="minorEastAsia" w:hAnsiTheme="minorHAnsi" w:cstheme="minorBidi"/>
          <w:smallCaps w:val="0"/>
          <w:sz w:val="22"/>
          <w:szCs w:val="22"/>
          <w:lang w:val="nl-BE" w:eastAsia="nl-BE"/>
        </w:rPr>
      </w:pPr>
      <w:hyperlink w:anchor="_Toc454186701" w:history="1">
        <w:r w:rsidR="0069199B" w:rsidRPr="00E41199">
          <w:rPr>
            <w:rStyle w:val="Hyperlink"/>
            <w:i/>
          </w:rPr>
          <w:t>6.2.2.</w:t>
        </w:r>
        <w:r w:rsidR="0069199B">
          <w:rPr>
            <w:rFonts w:asciiTheme="minorHAnsi" w:eastAsiaTheme="minorEastAsia" w:hAnsiTheme="minorHAnsi" w:cstheme="minorBidi"/>
            <w:smallCaps w:val="0"/>
            <w:sz w:val="22"/>
            <w:szCs w:val="22"/>
            <w:lang w:val="nl-BE" w:eastAsia="nl-BE"/>
          </w:rPr>
          <w:tab/>
        </w:r>
        <w:r w:rsidR="0069199B" w:rsidRPr="00E41199">
          <w:rPr>
            <w:rStyle w:val="Hyperlink"/>
            <w:i/>
          </w:rPr>
          <w:t>Aardgasdistributie</w:t>
        </w:r>
        <w:r w:rsidR="0069199B">
          <w:rPr>
            <w:webHidden/>
          </w:rPr>
          <w:tab/>
        </w:r>
        <w:r w:rsidR="0069199B">
          <w:rPr>
            <w:webHidden/>
          </w:rPr>
          <w:fldChar w:fldCharType="begin"/>
        </w:r>
        <w:r w:rsidR="0069199B">
          <w:rPr>
            <w:webHidden/>
          </w:rPr>
          <w:instrText xml:space="preserve"> PAGEREF _Toc454186701 \h </w:instrText>
        </w:r>
        <w:r w:rsidR="0069199B">
          <w:rPr>
            <w:webHidden/>
          </w:rPr>
        </w:r>
        <w:r w:rsidR="0069199B">
          <w:rPr>
            <w:webHidden/>
          </w:rPr>
          <w:fldChar w:fldCharType="separate"/>
        </w:r>
        <w:r w:rsidR="0069199B">
          <w:rPr>
            <w:webHidden/>
          </w:rPr>
          <w:t>55</w:t>
        </w:r>
        <w:r w:rsidR="0069199B">
          <w:rPr>
            <w:webHidden/>
          </w:rPr>
          <w:fldChar w:fldCharType="end"/>
        </w:r>
      </w:hyperlink>
    </w:p>
    <w:p w14:paraId="21B50F9F" w14:textId="77777777" w:rsidR="0069199B" w:rsidRDefault="000937A6">
      <w:pPr>
        <w:pStyle w:val="Inhopg2"/>
        <w:rPr>
          <w:rFonts w:asciiTheme="minorHAnsi" w:eastAsiaTheme="minorEastAsia" w:hAnsiTheme="minorHAnsi" w:cstheme="minorBidi"/>
          <w:smallCaps w:val="0"/>
          <w:sz w:val="22"/>
          <w:szCs w:val="22"/>
          <w:lang w:val="nl-BE" w:eastAsia="nl-BE"/>
        </w:rPr>
      </w:pPr>
      <w:hyperlink w:anchor="_Toc454186702" w:history="1">
        <w:r w:rsidR="0069199B" w:rsidRPr="00E41199">
          <w:rPr>
            <w:rStyle w:val="Hyperlink"/>
          </w:rPr>
          <w:t>6.3</w:t>
        </w:r>
        <w:r w:rsidR="0069199B">
          <w:rPr>
            <w:rFonts w:asciiTheme="minorHAnsi" w:eastAsiaTheme="minorEastAsia" w:hAnsiTheme="minorHAnsi" w:cstheme="minorBidi"/>
            <w:smallCaps w:val="0"/>
            <w:sz w:val="22"/>
            <w:szCs w:val="22"/>
            <w:lang w:val="nl-BE" w:eastAsia="nl-BE"/>
          </w:rPr>
          <w:tab/>
        </w:r>
        <w:r w:rsidR="0069199B" w:rsidRPr="00E41199">
          <w:rPr>
            <w:rStyle w:val="Hyperlink"/>
          </w:rPr>
          <w:t>Periodieke distributienettarieven</w:t>
        </w:r>
        <w:r w:rsidR="0069199B">
          <w:rPr>
            <w:webHidden/>
          </w:rPr>
          <w:tab/>
        </w:r>
        <w:r w:rsidR="0069199B">
          <w:rPr>
            <w:webHidden/>
          </w:rPr>
          <w:fldChar w:fldCharType="begin"/>
        </w:r>
        <w:r w:rsidR="0069199B">
          <w:rPr>
            <w:webHidden/>
          </w:rPr>
          <w:instrText xml:space="preserve"> PAGEREF _Toc454186702 \h </w:instrText>
        </w:r>
        <w:r w:rsidR="0069199B">
          <w:rPr>
            <w:webHidden/>
          </w:rPr>
        </w:r>
        <w:r w:rsidR="0069199B">
          <w:rPr>
            <w:webHidden/>
          </w:rPr>
          <w:fldChar w:fldCharType="separate"/>
        </w:r>
        <w:r w:rsidR="0069199B">
          <w:rPr>
            <w:webHidden/>
          </w:rPr>
          <w:t>56</w:t>
        </w:r>
        <w:r w:rsidR="0069199B">
          <w:rPr>
            <w:webHidden/>
          </w:rPr>
          <w:fldChar w:fldCharType="end"/>
        </w:r>
      </w:hyperlink>
    </w:p>
    <w:p w14:paraId="3A24FF09" w14:textId="77777777" w:rsidR="0069199B" w:rsidRDefault="000937A6">
      <w:pPr>
        <w:pStyle w:val="Inhopg2"/>
        <w:tabs>
          <w:tab w:val="left" w:pos="998"/>
        </w:tabs>
        <w:rPr>
          <w:rFonts w:asciiTheme="minorHAnsi" w:eastAsiaTheme="minorEastAsia" w:hAnsiTheme="minorHAnsi" w:cstheme="minorBidi"/>
          <w:smallCaps w:val="0"/>
          <w:sz w:val="22"/>
          <w:szCs w:val="22"/>
          <w:lang w:val="nl-BE" w:eastAsia="nl-BE"/>
        </w:rPr>
      </w:pPr>
      <w:hyperlink w:anchor="_Toc454186704" w:history="1">
        <w:r w:rsidR="0069199B" w:rsidRPr="00E41199">
          <w:rPr>
            <w:rStyle w:val="Hyperlink"/>
            <w:i/>
          </w:rPr>
          <w:t>6.3.1.</w:t>
        </w:r>
        <w:r w:rsidR="0069199B">
          <w:rPr>
            <w:rFonts w:asciiTheme="minorHAnsi" w:eastAsiaTheme="minorEastAsia" w:hAnsiTheme="minorHAnsi" w:cstheme="minorBidi"/>
            <w:smallCaps w:val="0"/>
            <w:sz w:val="22"/>
            <w:szCs w:val="22"/>
            <w:lang w:val="nl-BE" w:eastAsia="nl-BE"/>
          </w:rPr>
          <w:tab/>
        </w:r>
        <w:r w:rsidR="0069199B" w:rsidRPr="00E41199">
          <w:rPr>
            <w:rStyle w:val="Hyperlink"/>
            <w:i/>
          </w:rPr>
          <w:t>Elektriciteitsdistributie</w:t>
        </w:r>
        <w:r w:rsidR="0069199B">
          <w:rPr>
            <w:webHidden/>
          </w:rPr>
          <w:tab/>
        </w:r>
        <w:r w:rsidR="0069199B">
          <w:rPr>
            <w:webHidden/>
          </w:rPr>
          <w:fldChar w:fldCharType="begin"/>
        </w:r>
        <w:r w:rsidR="0069199B">
          <w:rPr>
            <w:webHidden/>
          </w:rPr>
          <w:instrText xml:space="preserve"> PAGEREF _Toc454186704 \h </w:instrText>
        </w:r>
        <w:r w:rsidR="0069199B">
          <w:rPr>
            <w:webHidden/>
          </w:rPr>
        </w:r>
        <w:r w:rsidR="0069199B">
          <w:rPr>
            <w:webHidden/>
          </w:rPr>
          <w:fldChar w:fldCharType="separate"/>
        </w:r>
        <w:r w:rsidR="0069199B">
          <w:rPr>
            <w:webHidden/>
          </w:rPr>
          <w:t>56</w:t>
        </w:r>
        <w:r w:rsidR="0069199B">
          <w:rPr>
            <w:webHidden/>
          </w:rPr>
          <w:fldChar w:fldCharType="end"/>
        </w:r>
      </w:hyperlink>
    </w:p>
    <w:p w14:paraId="3858BF8E" w14:textId="77777777" w:rsidR="0069199B" w:rsidRDefault="000937A6">
      <w:pPr>
        <w:pStyle w:val="Inhopg2"/>
        <w:tabs>
          <w:tab w:val="left" w:pos="1400"/>
        </w:tabs>
        <w:rPr>
          <w:rFonts w:asciiTheme="minorHAnsi" w:eastAsiaTheme="minorEastAsia" w:hAnsiTheme="minorHAnsi" w:cstheme="minorBidi"/>
          <w:smallCaps w:val="0"/>
          <w:sz w:val="22"/>
          <w:szCs w:val="22"/>
          <w:lang w:val="nl-BE" w:eastAsia="nl-BE"/>
        </w:rPr>
      </w:pPr>
      <w:hyperlink w:anchor="_Toc454186705" w:history="1">
        <w:r w:rsidR="0069199B" w:rsidRPr="00E41199">
          <w:rPr>
            <w:rStyle w:val="Hyperlink"/>
            <w:i/>
          </w:rPr>
          <w:t>6.3.1.1.</w:t>
        </w:r>
        <w:r w:rsidR="0069199B">
          <w:rPr>
            <w:rFonts w:asciiTheme="minorHAnsi" w:eastAsiaTheme="minorEastAsia" w:hAnsiTheme="minorHAnsi" w:cstheme="minorBidi"/>
            <w:smallCaps w:val="0"/>
            <w:sz w:val="22"/>
            <w:szCs w:val="22"/>
            <w:lang w:val="nl-BE" w:eastAsia="nl-BE"/>
          </w:rPr>
          <w:tab/>
        </w:r>
        <w:r w:rsidR="0069199B" w:rsidRPr="00E41199">
          <w:rPr>
            <w:rStyle w:val="Hyperlink"/>
            <w:i/>
          </w:rPr>
          <w:t>Prosumenten</w:t>
        </w:r>
        <w:r w:rsidR="0069199B">
          <w:rPr>
            <w:webHidden/>
          </w:rPr>
          <w:tab/>
        </w:r>
        <w:r w:rsidR="0069199B">
          <w:rPr>
            <w:webHidden/>
          </w:rPr>
          <w:fldChar w:fldCharType="begin"/>
        </w:r>
        <w:r w:rsidR="0069199B">
          <w:rPr>
            <w:webHidden/>
          </w:rPr>
          <w:instrText xml:space="preserve"> PAGEREF _Toc454186705 \h </w:instrText>
        </w:r>
        <w:r w:rsidR="0069199B">
          <w:rPr>
            <w:webHidden/>
          </w:rPr>
        </w:r>
        <w:r w:rsidR="0069199B">
          <w:rPr>
            <w:webHidden/>
          </w:rPr>
          <w:fldChar w:fldCharType="separate"/>
        </w:r>
        <w:r w:rsidR="0069199B">
          <w:rPr>
            <w:webHidden/>
          </w:rPr>
          <w:t>60</w:t>
        </w:r>
        <w:r w:rsidR="0069199B">
          <w:rPr>
            <w:webHidden/>
          </w:rPr>
          <w:fldChar w:fldCharType="end"/>
        </w:r>
      </w:hyperlink>
    </w:p>
    <w:p w14:paraId="3FB988C5" w14:textId="77777777" w:rsidR="0069199B" w:rsidRDefault="000937A6">
      <w:pPr>
        <w:pStyle w:val="Inhopg2"/>
        <w:tabs>
          <w:tab w:val="left" w:pos="998"/>
        </w:tabs>
        <w:rPr>
          <w:rFonts w:asciiTheme="minorHAnsi" w:eastAsiaTheme="minorEastAsia" w:hAnsiTheme="minorHAnsi" w:cstheme="minorBidi"/>
          <w:smallCaps w:val="0"/>
          <w:sz w:val="22"/>
          <w:szCs w:val="22"/>
          <w:lang w:val="nl-BE" w:eastAsia="nl-BE"/>
        </w:rPr>
      </w:pPr>
      <w:hyperlink w:anchor="_Toc454186706" w:history="1">
        <w:r w:rsidR="0069199B" w:rsidRPr="00E41199">
          <w:rPr>
            <w:rStyle w:val="Hyperlink"/>
            <w:i/>
          </w:rPr>
          <w:t>6.3.2.</w:t>
        </w:r>
        <w:r w:rsidR="0069199B">
          <w:rPr>
            <w:rFonts w:asciiTheme="minorHAnsi" w:eastAsiaTheme="minorEastAsia" w:hAnsiTheme="minorHAnsi" w:cstheme="minorBidi"/>
            <w:smallCaps w:val="0"/>
            <w:sz w:val="22"/>
            <w:szCs w:val="22"/>
            <w:lang w:val="nl-BE" w:eastAsia="nl-BE"/>
          </w:rPr>
          <w:tab/>
        </w:r>
        <w:r w:rsidR="0069199B" w:rsidRPr="00E41199">
          <w:rPr>
            <w:rStyle w:val="Hyperlink"/>
            <w:i/>
          </w:rPr>
          <w:t>Aardgasdistributie</w:t>
        </w:r>
        <w:r w:rsidR="0069199B">
          <w:rPr>
            <w:webHidden/>
          </w:rPr>
          <w:tab/>
        </w:r>
        <w:r w:rsidR="0069199B">
          <w:rPr>
            <w:webHidden/>
          </w:rPr>
          <w:fldChar w:fldCharType="begin"/>
        </w:r>
        <w:r w:rsidR="0069199B">
          <w:rPr>
            <w:webHidden/>
          </w:rPr>
          <w:instrText xml:space="preserve"> PAGEREF _Toc454186706 \h </w:instrText>
        </w:r>
        <w:r w:rsidR="0069199B">
          <w:rPr>
            <w:webHidden/>
          </w:rPr>
        </w:r>
        <w:r w:rsidR="0069199B">
          <w:rPr>
            <w:webHidden/>
          </w:rPr>
          <w:fldChar w:fldCharType="separate"/>
        </w:r>
        <w:r w:rsidR="0069199B">
          <w:rPr>
            <w:webHidden/>
          </w:rPr>
          <w:t>61</w:t>
        </w:r>
        <w:r w:rsidR="0069199B">
          <w:rPr>
            <w:webHidden/>
          </w:rPr>
          <w:fldChar w:fldCharType="end"/>
        </w:r>
      </w:hyperlink>
    </w:p>
    <w:p w14:paraId="4BC0D3C5" w14:textId="77777777" w:rsidR="0069199B" w:rsidRDefault="000937A6">
      <w:pPr>
        <w:pStyle w:val="Inhopg1"/>
        <w:rPr>
          <w:rFonts w:asciiTheme="minorHAnsi" w:eastAsiaTheme="minorEastAsia" w:hAnsiTheme="minorHAnsi" w:cstheme="minorBidi"/>
          <w:b w:val="0"/>
          <w:caps w:val="0"/>
          <w:noProof/>
          <w:sz w:val="22"/>
          <w:lang w:val="nl-BE" w:eastAsia="nl-BE"/>
        </w:rPr>
      </w:pPr>
      <w:hyperlink w:anchor="_Toc454186707" w:history="1">
        <w:r w:rsidR="0069199B" w:rsidRPr="00E41199">
          <w:rPr>
            <w:rStyle w:val="Hyperlink"/>
            <w:noProof/>
          </w:rPr>
          <w:t>7</w:t>
        </w:r>
        <w:r w:rsidR="0069199B">
          <w:rPr>
            <w:rFonts w:asciiTheme="minorHAnsi" w:eastAsiaTheme="minorEastAsia" w:hAnsiTheme="minorHAnsi" w:cstheme="minorBidi"/>
            <w:b w:val="0"/>
            <w:caps w:val="0"/>
            <w:noProof/>
            <w:sz w:val="22"/>
            <w:lang w:val="nl-BE" w:eastAsia="nl-BE"/>
          </w:rPr>
          <w:tab/>
        </w:r>
        <w:r w:rsidR="0069199B" w:rsidRPr="00E41199">
          <w:rPr>
            <w:rStyle w:val="Hyperlink"/>
            <w:noProof/>
          </w:rPr>
          <w:t>Regulatorische boekhoudkundige voorschriften</w:t>
        </w:r>
        <w:r w:rsidR="0069199B">
          <w:rPr>
            <w:noProof/>
            <w:webHidden/>
          </w:rPr>
          <w:tab/>
        </w:r>
        <w:r w:rsidR="0069199B">
          <w:rPr>
            <w:noProof/>
            <w:webHidden/>
          </w:rPr>
          <w:fldChar w:fldCharType="begin"/>
        </w:r>
        <w:r w:rsidR="0069199B">
          <w:rPr>
            <w:noProof/>
            <w:webHidden/>
          </w:rPr>
          <w:instrText xml:space="preserve"> PAGEREF _Toc454186707 \h </w:instrText>
        </w:r>
        <w:r w:rsidR="0069199B">
          <w:rPr>
            <w:noProof/>
            <w:webHidden/>
          </w:rPr>
        </w:r>
        <w:r w:rsidR="0069199B">
          <w:rPr>
            <w:noProof/>
            <w:webHidden/>
          </w:rPr>
          <w:fldChar w:fldCharType="separate"/>
        </w:r>
        <w:r w:rsidR="0069199B">
          <w:rPr>
            <w:noProof/>
            <w:webHidden/>
          </w:rPr>
          <w:t>65</w:t>
        </w:r>
        <w:r w:rsidR="0069199B">
          <w:rPr>
            <w:noProof/>
            <w:webHidden/>
          </w:rPr>
          <w:fldChar w:fldCharType="end"/>
        </w:r>
      </w:hyperlink>
    </w:p>
    <w:p w14:paraId="3F88FD1D" w14:textId="77777777" w:rsidR="0069199B" w:rsidRDefault="000937A6">
      <w:pPr>
        <w:pStyle w:val="Inhopg2"/>
        <w:rPr>
          <w:rFonts w:asciiTheme="minorHAnsi" w:eastAsiaTheme="minorEastAsia" w:hAnsiTheme="minorHAnsi" w:cstheme="minorBidi"/>
          <w:smallCaps w:val="0"/>
          <w:sz w:val="22"/>
          <w:szCs w:val="22"/>
          <w:lang w:val="nl-BE" w:eastAsia="nl-BE"/>
        </w:rPr>
      </w:pPr>
      <w:hyperlink w:anchor="_Toc454186708" w:history="1">
        <w:r w:rsidR="0069199B" w:rsidRPr="00E41199">
          <w:rPr>
            <w:rStyle w:val="Hyperlink"/>
          </w:rPr>
          <w:t>7.1</w:t>
        </w:r>
        <w:r w:rsidR="0069199B">
          <w:rPr>
            <w:rFonts w:asciiTheme="minorHAnsi" w:eastAsiaTheme="minorEastAsia" w:hAnsiTheme="minorHAnsi" w:cstheme="minorBidi"/>
            <w:smallCaps w:val="0"/>
            <w:sz w:val="22"/>
            <w:szCs w:val="22"/>
            <w:lang w:val="nl-BE" w:eastAsia="nl-BE"/>
          </w:rPr>
          <w:tab/>
        </w:r>
        <w:r w:rsidR="0069199B" w:rsidRPr="00E41199">
          <w:rPr>
            <w:rStyle w:val="Hyperlink"/>
          </w:rPr>
          <w:t>Juridisch kader</w:t>
        </w:r>
        <w:r w:rsidR="0069199B">
          <w:rPr>
            <w:webHidden/>
          </w:rPr>
          <w:tab/>
        </w:r>
        <w:r w:rsidR="0069199B">
          <w:rPr>
            <w:webHidden/>
          </w:rPr>
          <w:fldChar w:fldCharType="begin"/>
        </w:r>
        <w:r w:rsidR="0069199B">
          <w:rPr>
            <w:webHidden/>
          </w:rPr>
          <w:instrText xml:space="preserve"> PAGEREF _Toc454186708 \h </w:instrText>
        </w:r>
        <w:r w:rsidR="0069199B">
          <w:rPr>
            <w:webHidden/>
          </w:rPr>
        </w:r>
        <w:r w:rsidR="0069199B">
          <w:rPr>
            <w:webHidden/>
          </w:rPr>
          <w:fldChar w:fldCharType="separate"/>
        </w:r>
        <w:r w:rsidR="0069199B">
          <w:rPr>
            <w:webHidden/>
          </w:rPr>
          <w:t>65</w:t>
        </w:r>
        <w:r w:rsidR="0069199B">
          <w:rPr>
            <w:webHidden/>
          </w:rPr>
          <w:fldChar w:fldCharType="end"/>
        </w:r>
      </w:hyperlink>
    </w:p>
    <w:p w14:paraId="0563257E" w14:textId="77777777" w:rsidR="0069199B" w:rsidRDefault="000937A6">
      <w:pPr>
        <w:pStyle w:val="Inhopg2"/>
        <w:rPr>
          <w:rFonts w:asciiTheme="minorHAnsi" w:eastAsiaTheme="minorEastAsia" w:hAnsiTheme="minorHAnsi" w:cstheme="minorBidi"/>
          <w:smallCaps w:val="0"/>
          <w:sz w:val="22"/>
          <w:szCs w:val="22"/>
          <w:lang w:val="nl-BE" w:eastAsia="nl-BE"/>
        </w:rPr>
      </w:pPr>
      <w:hyperlink w:anchor="_Toc454186709" w:history="1">
        <w:r w:rsidR="0069199B" w:rsidRPr="00E41199">
          <w:rPr>
            <w:rStyle w:val="Hyperlink"/>
          </w:rPr>
          <w:t>7.2</w:t>
        </w:r>
        <w:r w:rsidR="0069199B">
          <w:rPr>
            <w:rFonts w:asciiTheme="minorHAnsi" w:eastAsiaTheme="minorEastAsia" w:hAnsiTheme="minorHAnsi" w:cstheme="minorBidi"/>
            <w:smallCaps w:val="0"/>
            <w:sz w:val="22"/>
            <w:szCs w:val="22"/>
            <w:lang w:val="nl-BE" w:eastAsia="nl-BE"/>
          </w:rPr>
          <w:tab/>
        </w:r>
        <w:r w:rsidR="0069199B" w:rsidRPr="00E41199">
          <w:rPr>
            <w:rStyle w:val="Hyperlink"/>
          </w:rPr>
          <w:t>Reikwijdte regulatorische boekhoudkundige voorschriften</w:t>
        </w:r>
        <w:r w:rsidR="0069199B">
          <w:rPr>
            <w:webHidden/>
          </w:rPr>
          <w:tab/>
        </w:r>
        <w:r w:rsidR="0069199B">
          <w:rPr>
            <w:webHidden/>
          </w:rPr>
          <w:fldChar w:fldCharType="begin"/>
        </w:r>
        <w:r w:rsidR="0069199B">
          <w:rPr>
            <w:webHidden/>
          </w:rPr>
          <w:instrText xml:space="preserve"> PAGEREF _Toc454186709 \h </w:instrText>
        </w:r>
        <w:r w:rsidR="0069199B">
          <w:rPr>
            <w:webHidden/>
          </w:rPr>
        </w:r>
        <w:r w:rsidR="0069199B">
          <w:rPr>
            <w:webHidden/>
          </w:rPr>
          <w:fldChar w:fldCharType="separate"/>
        </w:r>
        <w:r w:rsidR="0069199B">
          <w:rPr>
            <w:webHidden/>
          </w:rPr>
          <w:t>65</w:t>
        </w:r>
        <w:r w:rsidR="0069199B">
          <w:rPr>
            <w:webHidden/>
          </w:rPr>
          <w:fldChar w:fldCharType="end"/>
        </w:r>
      </w:hyperlink>
    </w:p>
    <w:p w14:paraId="47A21216" w14:textId="77777777" w:rsidR="0069199B" w:rsidRDefault="000937A6">
      <w:pPr>
        <w:pStyle w:val="Inhopg2"/>
        <w:rPr>
          <w:rFonts w:asciiTheme="minorHAnsi" w:eastAsiaTheme="minorEastAsia" w:hAnsiTheme="minorHAnsi" w:cstheme="minorBidi"/>
          <w:smallCaps w:val="0"/>
          <w:sz w:val="22"/>
          <w:szCs w:val="22"/>
          <w:lang w:val="nl-BE" w:eastAsia="nl-BE"/>
        </w:rPr>
      </w:pPr>
      <w:hyperlink w:anchor="_Toc454186710" w:history="1">
        <w:r w:rsidR="0069199B" w:rsidRPr="00E41199">
          <w:rPr>
            <w:rStyle w:val="Hyperlink"/>
          </w:rPr>
          <w:t>7.3</w:t>
        </w:r>
        <w:r w:rsidR="0069199B">
          <w:rPr>
            <w:rFonts w:asciiTheme="minorHAnsi" w:eastAsiaTheme="minorEastAsia" w:hAnsiTheme="minorHAnsi" w:cstheme="minorBidi"/>
            <w:smallCaps w:val="0"/>
            <w:sz w:val="22"/>
            <w:szCs w:val="22"/>
            <w:lang w:val="nl-BE" w:eastAsia="nl-BE"/>
          </w:rPr>
          <w:tab/>
        </w:r>
        <w:r w:rsidR="0069199B" w:rsidRPr="00E41199">
          <w:rPr>
            <w:rStyle w:val="Hyperlink"/>
          </w:rPr>
          <w:t>[…] [Rapport van feitelijke bevindingen] door commissaris</w:t>
        </w:r>
        <w:r w:rsidR="0069199B">
          <w:rPr>
            <w:webHidden/>
          </w:rPr>
          <w:tab/>
        </w:r>
        <w:r w:rsidR="0069199B">
          <w:rPr>
            <w:webHidden/>
          </w:rPr>
          <w:fldChar w:fldCharType="begin"/>
        </w:r>
        <w:r w:rsidR="0069199B">
          <w:rPr>
            <w:webHidden/>
          </w:rPr>
          <w:instrText xml:space="preserve"> PAGEREF _Toc454186710 \h </w:instrText>
        </w:r>
        <w:r w:rsidR="0069199B">
          <w:rPr>
            <w:webHidden/>
          </w:rPr>
        </w:r>
        <w:r w:rsidR="0069199B">
          <w:rPr>
            <w:webHidden/>
          </w:rPr>
          <w:fldChar w:fldCharType="separate"/>
        </w:r>
        <w:r w:rsidR="0069199B">
          <w:rPr>
            <w:webHidden/>
          </w:rPr>
          <w:t>65</w:t>
        </w:r>
        <w:r w:rsidR="0069199B">
          <w:rPr>
            <w:webHidden/>
          </w:rPr>
          <w:fldChar w:fldCharType="end"/>
        </w:r>
      </w:hyperlink>
    </w:p>
    <w:p w14:paraId="2F9CC27D" w14:textId="77777777" w:rsidR="0069199B" w:rsidRDefault="000937A6">
      <w:pPr>
        <w:pStyle w:val="Inhopg2"/>
        <w:rPr>
          <w:rFonts w:asciiTheme="minorHAnsi" w:eastAsiaTheme="minorEastAsia" w:hAnsiTheme="minorHAnsi" w:cstheme="minorBidi"/>
          <w:smallCaps w:val="0"/>
          <w:sz w:val="22"/>
          <w:szCs w:val="22"/>
          <w:lang w:val="nl-BE" w:eastAsia="nl-BE"/>
        </w:rPr>
      </w:pPr>
      <w:hyperlink w:anchor="_Toc454186711" w:history="1">
        <w:r w:rsidR="0069199B" w:rsidRPr="00E41199">
          <w:rPr>
            <w:rStyle w:val="Hyperlink"/>
          </w:rPr>
          <w:t>7.4</w:t>
        </w:r>
        <w:r w:rsidR="0069199B">
          <w:rPr>
            <w:rFonts w:asciiTheme="minorHAnsi" w:eastAsiaTheme="minorEastAsia" w:hAnsiTheme="minorHAnsi" w:cstheme="minorBidi"/>
            <w:smallCaps w:val="0"/>
            <w:sz w:val="22"/>
            <w:szCs w:val="22"/>
            <w:lang w:val="nl-BE" w:eastAsia="nl-BE"/>
          </w:rPr>
          <w:tab/>
        </w:r>
        <w:r w:rsidR="0069199B" w:rsidRPr="00E41199">
          <w:rPr>
            <w:rStyle w:val="Hyperlink"/>
          </w:rPr>
          <w:t>Aanpassing van de regulatorische boekhoudkundige voorschriften</w:t>
        </w:r>
        <w:r w:rsidR="0069199B">
          <w:rPr>
            <w:webHidden/>
          </w:rPr>
          <w:tab/>
        </w:r>
        <w:r w:rsidR="0069199B">
          <w:rPr>
            <w:webHidden/>
          </w:rPr>
          <w:fldChar w:fldCharType="begin"/>
        </w:r>
        <w:r w:rsidR="0069199B">
          <w:rPr>
            <w:webHidden/>
          </w:rPr>
          <w:instrText xml:space="preserve"> PAGEREF _Toc454186711 \h </w:instrText>
        </w:r>
        <w:r w:rsidR="0069199B">
          <w:rPr>
            <w:webHidden/>
          </w:rPr>
        </w:r>
        <w:r w:rsidR="0069199B">
          <w:rPr>
            <w:webHidden/>
          </w:rPr>
          <w:fldChar w:fldCharType="separate"/>
        </w:r>
        <w:r w:rsidR="0069199B">
          <w:rPr>
            <w:webHidden/>
          </w:rPr>
          <w:t>66</w:t>
        </w:r>
        <w:r w:rsidR="0069199B">
          <w:rPr>
            <w:webHidden/>
          </w:rPr>
          <w:fldChar w:fldCharType="end"/>
        </w:r>
      </w:hyperlink>
    </w:p>
    <w:p w14:paraId="2BDE0FDA" w14:textId="77777777" w:rsidR="0069199B" w:rsidRDefault="000937A6">
      <w:pPr>
        <w:pStyle w:val="Inhopg2"/>
        <w:rPr>
          <w:rFonts w:asciiTheme="minorHAnsi" w:eastAsiaTheme="minorEastAsia" w:hAnsiTheme="minorHAnsi" w:cstheme="minorBidi"/>
          <w:smallCaps w:val="0"/>
          <w:sz w:val="22"/>
          <w:szCs w:val="22"/>
          <w:lang w:val="nl-BE" w:eastAsia="nl-BE"/>
        </w:rPr>
      </w:pPr>
      <w:hyperlink w:anchor="_Toc454186712" w:history="1">
        <w:r w:rsidR="0069199B" w:rsidRPr="00E41199">
          <w:rPr>
            <w:rStyle w:val="Hyperlink"/>
          </w:rPr>
          <w:t>7.5</w:t>
        </w:r>
        <w:r w:rsidR="0069199B">
          <w:rPr>
            <w:rFonts w:asciiTheme="minorHAnsi" w:eastAsiaTheme="minorEastAsia" w:hAnsiTheme="minorHAnsi" w:cstheme="minorBidi"/>
            <w:smallCaps w:val="0"/>
            <w:sz w:val="22"/>
            <w:szCs w:val="22"/>
            <w:lang w:val="nl-BE" w:eastAsia="nl-BE"/>
          </w:rPr>
          <w:tab/>
        </w:r>
        <w:r w:rsidR="0069199B" w:rsidRPr="00E41199">
          <w:rPr>
            <w:rStyle w:val="Hyperlink"/>
          </w:rPr>
          <w:t>Algemene bepalingen</w:t>
        </w:r>
        <w:r w:rsidR="0069199B">
          <w:rPr>
            <w:webHidden/>
          </w:rPr>
          <w:tab/>
        </w:r>
        <w:r w:rsidR="0069199B">
          <w:rPr>
            <w:webHidden/>
          </w:rPr>
          <w:fldChar w:fldCharType="begin"/>
        </w:r>
        <w:r w:rsidR="0069199B">
          <w:rPr>
            <w:webHidden/>
          </w:rPr>
          <w:instrText xml:space="preserve"> PAGEREF _Toc454186712 \h </w:instrText>
        </w:r>
        <w:r w:rsidR="0069199B">
          <w:rPr>
            <w:webHidden/>
          </w:rPr>
        </w:r>
        <w:r w:rsidR="0069199B">
          <w:rPr>
            <w:webHidden/>
          </w:rPr>
          <w:fldChar w:fldCharType="separate"/>
        </w:r>
        <w:r w:rsidR="0069199B">
          <w:rPr>
            <w:webHidden/>
          </w:rPr>
          <w:t>66</w:t>
        </w:r>
        <w:r w:rsidR="0069199B">
          <w:rPr>
            <w:webHidden/>
          </w:rPr>
          <w:fldChar w:fldCharType="end"/>
        </w:r>
      </w:hyperlink>
    </w:p>
    <w:p w14:paraId="0112DAE4" w14:textId="77777777" w:rsidR="0069199B" w:rsidRDefault="000937A6">
      <w:pPr>
        <w:pStyle w:val="Inhopg2"/>
        <w:rPr>
          <w:rFonts w:asciiTheme="minorHAnsi" w:eastAsiaTheme="minorEastAsia" w:hAnsiTheme="minorHAnsi" w:cstheme="minorBidi"/>
          <w:smallCaps w:val="0"/>
          <w:sz w:val="22"/>
          <w:szCs w:val="22"/>
          <w:lang w:val="nl-BE" w:eastAsia="nl-BE"/>
        </w:rPr>
      </w:pPr>
      <w:hyperlink w:anchor="_Toc454186713" w:history="1">
        <w:r w:rsidR="0069199B" w:rsidRPr="00E41199">
          <w:rPr>
            <w:rStyle w:val="Hyperlink"/>
          </w:rPr>
          <w:t>7.6</w:t>
        </w:r>
        <w:r w:rsidR="0069199B">
          <w:rPr>
            <w:rFonts w:asciiTheme="minorHAnsi" w:eastAsiaTheme="minorEastAsia" w:hAnsiTheme="minorHAnsi" w:cstheme="minorBidi"/>
            <w:smallCaps w:val="0"/>
            <w:sz w:val="22"/>
            <w:szCs w:val="22"/>
            <w:lang w:val="nl-BE" w:eastAsia="nl-BE"/>
          </w:rPr>
          <w:tab/>
        </w:r>
        <w:r w:rsidR="0069199B" w:rsidRPr="00E41199">
          <w:rPr>
            <w:rStyle w:val="Hyperlink"/>
          </w:rPr>
          <w:t>Nominale waarden</w:t>
        </w:r>
        <w:r w:rsidR="0069199B">
          <w:rPr>
            <w:webHidden/>
          </w:rPr>
          <w:tab/>
        </w:r>
        <w:r w:rsidR="0069199B">
          <w:rPr>
            <w:webHidden/>
          </w:rPr>
          <w:fldChar w:fldCharType="begin"/>
        </w:r>
        <w:r w:rsidR="0069199B">
          <w:rPr>
            <w:webHidden/>
          </w:rPr>
          <w:instrText xml:space="preserve"> PAGEREF _Toc454186713 \h </w:instrText>
        </w:r>
        <w:r w:rsidR="0069199B">
          <w:rPr>
            <w:webHidden/>
          </w:rPr>
        </w:r>
        <w:r w:rsidR="0069199B">
          <w:rPr>
            <w:webHidden/>
          </w:rPr>
          <w:fldChar w:fldCharType="separate"/>
        </w:r>
        <w:r w:rsidR="0069199B">
          <w:rPr>
            <w:webHidden/>
          </w:rPr>
          <w:t>67</w:t>
        </w:r>
        <w:r w:rsidR="0069199B">
          <w:rPr>
            <w:webHidden/>
          </w:rPr>
          <w:fldChar w:fldCharType="end"/>
        </w:r>
      </w:hyperlink>
    </w:p>
    <w:p w14:paraId="4B641540" w14:textId="77777777" w:rsidR="0069199B" w:rsidRDefault="000937A6">
      <w:pPr>
        <w:pStyle w:val="Inhopg2"/>
        <w:rPr>
          <w:rFonts w:asciiTheme="minorHAnsi" w:eastAsiaTheme="minorEastAsia" w:hAnsiTheme="minorHAnsi" w:cstheme="minorBidi"/>
          <w:smallCaps w:val="0"/>
          <w:sz w:val="22"/>
          <w:szCs w:val="22"/>
          <w:lang w:val="nl-BE" w:eastAsia="nl-BE"/>
        </w:rPr>
      </w:pPr>
      <w:hyperlink w:anchor="_Toc454186714" w:history="1">
        <w:r w:rsidR="0069199B" w:rsidRPr="00E41199">
          <w:rPr>
            <w:rStyle w:val="Hyperlink"/>
          </w:rPr>
          <w:t>7.7</w:t>
        </w:r>
        <w:r w:rsidR="0069199B">
          <w:rPr>
            <w:rFonts w:asciiTheme="minorHAnsi" w:eastAsiaTheme="minorEastAsia" w:hAnsiTheme="minorHAnsi" w:cstheme="minorBidi"/>
            <w:smallCaps w:val="0"/>
            <w:sz w:val="22"/>
            <w:szCs w:val="22"/>
            <w:lang w:val="nl-BE" w:eastAsia="nl-BE"/>
          </w:rPr>
          <w:tab/>
        </w:r>
        <w:r w:rsidR="0069199B" w:rsidRPr="00E41199">
          <w:rPr>
            <w:rStyle w:val="Hyperlink"/>
          </w:rPr>
          <w:t>Interne verrekenprijzen</w:t>
        </w:r>
        <w:r w:rsidR="0069199B">
          <w:rPr>
            <w:webHidden/>
          </w:rPr>
          <w:tab/>
        </w:r>
        <w:r w:rsidR="0069199B">
          <w:rPr>
            <w:webHidden/>
          </w:rPr>
          <w:fldChar w:fldCharType="begin"/>
        </w:r>
        <w:r w:rsidR="0069199B">
          <w:rPr>
            <w:webHidden/>
          </w:rPr>
          <w:instrText xml:space="preserve"> PAGEREF _Toc454186714 \h </w:instrText>
        </w:r>
        <w:r w:rsidR="0069199B">
          <w:rPr>
            <w:webHidden/>
          </w:rPr>
        </w:r>
        <w:r w:rsidR="0069199B">
          <w:rPr>
            <w:webHidden/>
          </w:rPr>
          <w:fldChar w:fldCharType="separate"/>
        </w:r>
        <w:r w:rsidR="0069199B">
          <w:rPr>
            <w:webHidden/>
          </w:rPr>
          <w:t>67</w:t>
        </w:r>
        <w:r w:rsidR="0069199B">
          <w:rPr>
            <w:webHidden/>
          </w:rPr>
          <w:fldChar w:fldCharType="end"/>
        </w:r>
      </w:hyperlink>
    </w:p>
    <w:p w14:paraId="59900979" w14:textId="77777777" w:rsidR="0069199B" w:rsidRDefault="000937A6">
      <w:pPr>
        <w:pStyle w:val="Inhopg2"/>
        <w:rPr>
          <w:rFonts w:asciiTheme="minorHAnsi" w:eastAsiaTheme="minorEastAsia" w:hAnsiTheme="minorHAnsi" w:cstheme="minorBidi"/>
          <w:smallCaps w:val="0"/>
          <w:sz w:val="22"/>
          <w:szCs w:val="22"/>
          <w:lang w:val="nl-BE" w:eastAsia="nl-BE"/>
        </w:rPr>
      </w:pPr>
      <w:hyperlink w:anchor="_Toc454186715" w:history="1">
        <w:r w:rsidR="0069199B" w:rsidRPr="00E41199">
          <w:rPr>
            <w:rStyle w:val="Hyperlink"/>
          </w:rPr>
          <w:t>7.8</w:t>
        </w:r>
        <w:r w:rsidR="0069199B">
          <w:rPr>
            <w:rFonts w:asciiTheme="minorHAnsi" w:eastAsiaTheme="minorEastAsia" w:hAnsiTheme="minorHAnsi" w:cstheme="minorBidi"/>
            <w:smallCaps w:val="0"/>
            <w:sz w:val="22"/>
            <w:szCs w:val="22"/>
            <w:lang w:val="nl-BE" w:eastAsia="nl-BE"/>
          </w:rPr>
          <w:tab/>
        </w:r>
        <w:r w:rsidR="0069199B" w:rsidRPr="00E41199">
          <w:rPr>
            <w:rStyle w:val="Hyperlink"/>
          </w:rPr>
          <w:t>Gereguleerde vaste activa</w:t>
        </w:r>
        <w:r w:rsidR="0069199B">
          <w:rPr>
            <w:webHidden/>
          </w:rPr>
          <w:tab/>
        </w:r>
        <w:r w:rsidR="0069199B">
          <w:rPr>
            <w:webHidden/>
          </w:rPr>
          <w:fldChar w:fldCharType="begin"/>
        </w:r>
        <w:r w:rsidR="0069199B">
          <w:rPr>
            <w:webHidden/>
          </w:rPr>
          <w:instrText xml:space="preserve"> PAGEREF _Toc454186715 \h </w:instrText>
        </w:r>
        <w:r w:rsidR="0069199B">
          <w:rPr>
            <w:webHidden/>
          </w:rPr>
        </w:r>
        <w:r w:rsidR="0069199B">
          <w:rPr>
            <w:webHidden/>
          </w:rPr>
          <w:fldChar w:fldCharType="separate"/>
        </w:r>
        <w:r w:rsidR="0069199B">
          <w:rPr>
            <w:webHidden/>
          </w:rPr>
          <w:t>67</w:t>
        </w:r>
        <w:r w:rsidR="0069199B">
          <w:rPr>
            <w:webHidden/>
          </w:rPr>
          <w:fldChar w:fldCharType="end"/>
        </w:r>
      </w:hyperlink>
    </w:p>
    <w:p w14:paraId="05C8485E" w14:textId="77777777" w:rsidR="0069199B" w:rsidRDefault="000937A6">
      <w:pPr>
        <w:pStyle w:val="Inhopg2"/>
        <w:rPr>
          <w:rFonts w:asciiTheme="minorHAnsi" w:eastAsiaTheme="minorEastAsia" w:hAnsiTheme="minorHAnsi" w:cstheme="minorBidi"/>
          <w:smallCaps w:val="0"/>
          <w:sz w:val="22"/>
          <w:szCs w:val="22"/>
          <w:lang w:val="nl-BE" w:eastAsia="nl-BE"/>
        </w:rPr>
      </w:pPr>
      <w:hyperlink w:anchor="_Toc454186716" w:history="1">
        <w:r w:rsidR="0069199B" w:rsidRPr="00E41199">
          <w:rPr>
            <w:rStyle w:val="Hyperlink"/>
          </w:rPr>
          <w:t>7.9</w:t>
        </w:r>
        <w:r w:rsidR="0069199B">
          <w:rPr>
            <w:rFonts w:asciiTheme="minorHAnsi" w:eastAsiaTheme="minorEastAsia" w:hAnsiTheme="minorHAnsi" w:cstheme="minorBidi"/>
            <w:smallCaps w:val="0"/>
            <w:sz w:val="22"/>
            <w:szCs w:val="22"/>
            <w:lang w:val="nl-BE" w:eastAsia="nl-BE"/>
          </w:rPr>
          <w:tab/>
        </w:r>
        <w:r w:rsidR="0069199B" w:rsidRPr="00E41199">
          <w:rPr>
            <w:rStyle w:val="Hyperlink"/>
          </w:rPr>
          <w:t>Kosten en opbrengsten</w:t>
        </w:r>
        <w:r w:rsidR="0069199B">
          <w:rPr>
            <w:webHidden/>
          </w:rPr>
          <w:tab/>
        </w:r>
        <w:r w:rsidR="0069199B">
          <w:rPr>
            <w:webHidden/>
          </w:rPr>
          <w:fldChar w:fldCharType="begin"/>
        </w:r>
        <w:r w:rsidR="0069199B">
          <w:rPr>
            <w:webHidden/>
          </w:rPr>
          <w:instrText xml:space="preserve"> PAGEREF _Toc454186716 \h </w:instrText>
        </w:r>
        <w:r w:rsidR="0069199B">
          <w:rPr>
            <w:webHidden/>
          </w:rPr>
        </w:r>
        <w:r w:rsidR="0069199B">
          <w:rPr>
            <w:webHidden/>
          </w:rPr>
          <w:fldChar w:fldCharType="separate"/>
        </w:r>
        <w:r w:rsidR="0069199B">
          <w:rPr>
            <w:webHidden/>
          </w:rPr>
          <w:t>70</w:t>
        </w:r>
        <w:r w:rsidR="0069199B">
          <w:rPr>
            <w:webHidden/>
          </w:rPr>
          <w:fldChar w:fldCharType="end"/>
        </w:r>
      </w:hyperlink>
    </w:p>
    <w:p w14:paraId="6F8CF6B7" w14:textId="77777777" w:rsidR="0069199B" w:rsidRDefault="000937A6">
      <w:pPr>
        <w:pStyle w:val="Inhopg2"/>
        <w:rPr>
          <w:rFonts w:asciiTheme="minorHAnsi" w:eastAsiaTheme="minorEastAsia" w:hAnsiTheme="minorHAnsi" w:cstheme="minorBidi"/>
          <w:smallCaps w:val="0"/>
          <w:sz w:val="22"/>
          <w:szCs w:val="22"/>
          <w:lang w:val="nl-BE" w:eastAsia="nl-BE"/>
        </w:rPr>
      </w:pPr>
      <w:hyperlink w:anchor="_Toc454186717" w:history="1">
        <w:r w:rsidR="0069199B" w:rsidRPr="00E41199">
          <w:rPr>
            <w:rStyle w:val="Hyperlink"/>
          </w:rPr>
          <w:t>7.10</w:t>
        </w:r>
        <w:r w:rsidR="0069199B">
          <w:rPr>
            <w:rFonts w:asciiTheme="minorHAnsi" w:eastAsiaTheme="minorEastAsia" w:hAnsiTheme="minorHAnsi" w:cstheme="minorBidi"/>
            <w:smallCaps w:val="0"/>
            <w:sz w:val="22"/>
            <w:szCs w:val="22"/>
            <w:lang w:val="nl-BE" w:eastAsia="nl-BE"/>
          </w:rPr>
          <w:tab/>
        </w:r>
        <w:r w:rsidR="0069199B" w:rsidRPr="00E41199">
          <w:rPr>
            <w:rStyle w:val="Hyperlink"/>
          </w:rPr>
          <w:t>Waarderingsregels</w:t>
        </w:r>
        <w:r w:rsidR="0069199B">
          <w:rPr>
            <w:webHidden/>
          </w:rPr>
          <w:tab/>
        </w:r>
        <w:r w:rsidR="0069199B">
          <w:rPr>
            <w:webHidden/>
          </w:rPr>
          <w:fldChar w:fldCharType="begin"/>
        </w:r>
        <w:r w:rsidR="0069199B">
          <w:rPr>
            <w:webHidden/>
          </w:rPr>
          <w:instrText xml:space="preserve"> PAGEREF _Toc454186717 \h </w:instrText>
        </w:r>
        <w:r w:rsidR="0069199B">
          <w:rPr>
            <w:webHidden/>
          </w:rPr>
        </w:r>
        <w:r w:rsidR="0069199B">
          <w:rPr>
            <w:webHidden/>
          </w:rPr>
          <w:fldChar w:fldCharType="separate"/>
        </w:r>
        <w:r w:rsidR="0069199B">
          <w:rPr>
            <w:webHidden/>
          </w:rPr>
          <w:t>71</w:t>
        </w:r>
        <w:r w:rsidR="0069199B">
          <w:rPr>
            <w:webHidden/>
          </w:rPr>
          <w:fldChar w:fldCharType="end"/>
        </w:r>
      </w:hyperlink>
    </w:p>
    <w:p w14:paraId="0DE1D002" w14:textId="77777777" w:rsidR="0069199B" w:rsidRDefault="000937A6">
      <w:pPr>
        <w:pStyle w:val="Inhopg1"/>
        <w:rPr>
          <w:rFonts w:asciiTheme="minorHAnsi" w:eastAsiaTheme="minorEastAsia" w:hAnsiTheme="minorHAnsi" w:cstheme="minorBidi"/>
          <w:b w:val="0"/>
          <w:caps w:val="0"/>
          <w:noProof/>
          <w:sz w:val="22"/>
          <w:lang w:val="nl-BE" w:eastAsia="nl-BE"/>
        </w:rPr>
      </w:pPr>
      <w:hyperlink w:anchor="_Toc454186718" w:history="1">
        <w:r w:rsidR="0069199B" w:rsidRPr="00E41199">
          <w:rPr>
            <w:rStyle w:val="Hyperlink"/>
            <w:noProof/>
          </w:rPr>
          <w:t>8</w:t>
        </w:r>
        <w:r w:rsidR="0069199B">
          <w:rPr>
            <w:rFonts w:asciiTheme="minorHAnsi" w:eastAsiaTheme="minorEastAsia" w:hAnsiTheme="minorHAnsi" w:cstheme="minorBidi"/>
            <w:b w:val="0"/>
            <w:caps w:val="0"/>
            <w:noProof/>
            <w:sz w:val="22"/>
            <w:lang w:val="nl-BE" w:eastAsia="nl-BE"/>
          </w:rPr>
          <w:tab/>
        </w:r>
        <w:r w:rsidR="0069199B" w:rsidRPr="00E41199">
          <w:rPr>
            <w:rStyle w:val="Hyperlink"/>
            <w:noProof/>
          </w:rPr>
          <w:t>Rapportering door distributienetbeheerders en commissaris</w:t>
        </w:r>
        <w:r w:rsidR="0069199B">
          <w:rPr>
            <w:noProof/>
            <w:webHidden/>
          </w:rPr>
          <w:tab/>
        </w:r>
        <w:r w:rsidR="0069199B">
          <w:rPr>
            <w:noProof/>
            <w:webHidden/>
          </w:rPr>
          <w:fldChar w:fldCharType="begin"/>
        </w:r>
        <w:r w:rsidR="0069199B">
          <w:rPr>
            <w:noProof/>
            <w:webHidden/>
          </w:rPr>
          <w:instrText xml:space="preserve"> PAGEREF _Toc454186718 \h </w:instrText>
        </w:r>
        <w:r w:rsidR="0069199B">
          <w:rPr>
            <w:noProof/>
            <w:webHidden/>
          </w:rPr>
        </w:r>
        <w:r w:rsidR="0069199B">
          <w:rPr>
            <w:noProof/>
            <w:webHidden/>
          </w:rPr>
          <w:fldChar w:fldCharType="separate"/>
        </w:r>
        <w:r w:rsidR="0069199B">
          <w:rPr>
            <w:noProof/>
            <w:webHidden/>
          </w:rPr>
          <w:t>72</w:t>
        </w:r>
        <w:r w:rsidR="0069199B">
          <w:rPr>
            <w:noProof/>
            <w:webHidden/>
          </w:rPr>
          <w:fldChar w:fldCharType="end"/>
        </w:r>
      </w:hyperlink>
    </w:p>
    <w:p w14:paraId="2AF58437" w14:textId="77777777" w:rsidR="0069199B" w:rsidRDefault="000937A6">
      <w:pPr>
        <w:pStyle w:val="Inhopg2"/>
        <w:rPr>
          <w:rFonts w:asciiTheme="minorHAnsi" w:eastAsiaTheme="minorEastAsia" w:hAnsiTheme="minorHAnsi" w:cstheme="minorBidi"/>
          <w:smallCaps w:val="0"/>
          <w:sz w:val="22"/>
          <w:szCs w:val="22"/>
          <w:lang w:val="nl-BE" w:eastAsia="nl-BE"/>
        </w:rPr>
      </w:pPr>
      <w:hyperlink w:anchor="_Toc454186719" w:history="1">
        <w:r w:rsidR="0069199B" w:rsidRPr="00E41199">
          <w:rPr>
            <w:rStyle w:val="Hyperlink"/>
          </w:rPr>
          <w:t>8.1</w:t>
        </w:r>
        <w:r w:rsidR="0069199B">
          <w:rPr>
            <w:rFonts w:asciiTheme="minorHAnsi" w:eastAsiaTheme="minorEastAsia" w:hAnsiTheme="minorHAnsi" w:cstheme="minorBidi"/>
            <w:smallCaps w:val="0"/>
            <w:sz w:val="22"/>
            <w:szCs w:val="22"/>
            <w:lang w:val="nl-BE" w:eastAsia="nl-BE"/>
          </w:rPr>
          <w:tab/>
        </w:r>
        <w:r w:rsidR="0069199B" w:rsidRPr="00E41199">
          <w:rPr>
            <w:rStyle w:val="Hyperlink"/>
          </w:rPr>
          <w:t>Procedure reguleringsperiode 2015-2016</w:t>
        </w:r>
        <w:r w:rsidR="0069199B">
          <w:rPr>
            <w:webHidden/>
          </w:rPr>
          <w:tab/>
        </w:r>
        <w:r w:rsidR="0069199B">
          <w:rPr>
            <w:webHidden/>
          </w:rPr>
          <w:fldChar w:fldCharType="begin"/>
        </w:r>
        <w:r w:rsidR="0069199B">
          <w:rPr>
            <w:webHidden/>
          </w:rPr>
          <w:instrText xml:space="preserve"> PAGEREF _Toc454186719 \h </w:instrText>
        </w:r>
        <w:r w:rsidR="0069199B">
          <w:rPr>
            <w:webHidden/>
          </w:rPr>
        </w:r>
        <w:r w:rsidR="0069199B">
          <w:rPr>
            <w:webHidden/>
          </w:rPr>
          <w:fldChar w:fldCharType="separate"/>
        </w:r>
        <w:r w:rsidR="0069199B">
          <w:rPr>
            <w:webHidden/>
          </w:rPr>
          <w:t>72</w:t>
        </w:r>
        <w:r w:rsidR="0069199B">
          <w:rPr>
            <w:webHidden/>
          </w:rPr>
          <w:fldChar w:fldCharType="end"/>
        </w:r>
      </w:hyperlink>
    </w:p>
    <w:p w14:paraId="27DE0142" w14:textId="77777777" w:rsidR="0069199B" w:rsidRDefault="000937A6">
      <w:pPr>
        <w:pStyle w:val="Inhopg2"/>
        <w:rPr>
          <w:rFonts w:asciiTheme="minorHAnsi" w:eastAsiaTheme="minorEastAsia" w:hAnsiTheme="minorHAnsi" w:cstheme="minorBidi"/>
          <w:smallCaps w:val="0"/>
          <w:sz w:val="22"/>
          <w:szCs w:val="22"/>
          <w:lang w:val="nl-BE" w:eastAsia="nl-BE"/>
        </w:rPr>
      </w:pPr>
      <w:hyperlink w:anchor="_Toc454186720" w:history="1">
        <w:r w:rsidR="0069199B" w:rsidRPr="00E41199">
          <w:rPr>
            <w:rStyle w:val="Hyperlink"/>
          </w:rPr>
          <w:t>8.2</w:t>
        </w:r>
        <w:r w:rsidR="0069199B">
          <w:rPr>
            <w:rFonts w:asciiTheme="minorHAnsi" w:eastAsiaTheme="minorEastAsia" w:hAnsiTheme="minorHAnsi" w:cstheme="minorBidi"/>
            <w:smallCaps w:val="0"/>
            <w:sz w:val="22"/>
            <w:szCs w:val="22"/>
            <w:lang w:val="nl-BE" w:eastAsia="nl-BE"/>
          </w:rPr>
          <w:tab/>
        </w:r>
        <w:r w:rsidR="0069199B" w:rsidRPr="00E41199">
          <w:rPr>
            <w:rStyle w:val="Hyperlink"/>
          </w:rPr>
          <w:t>Opleggen en verwerken van voorlopige periodieke distributienettarieven</w:t>
        </w:r>
        <w:r w:rsidR="0069199B">
          <w:rPr>
            <w:webHidden/>
          </w:rPr>
          <w:tab/>
        </w:r>
        <w:r w:rsidR="0069199B">
          <w:rPr>
            <w:webHidden/>
          </w:rPr>
          <w:fldChar w:fldCharType="begin"/>
        </w:r>
        <w:r w:rsidR="0069199B">
          <w:rPr>
            <w:webHidden/>
          </w:rPr>
          <w:instrText xml:space="preserve"> PAGEREF _Toc454186720 \h </w:instrText>
        </w:r>
        <w:r w:rsidR="0069199B">
          <w:rPr>
            <w:webHidden/>
          </w:rPr>
        </w:r>
        <w:r w:rsidR="0069199B">
          <w:rPr>
            <w:webHidden/>
          </w:rPr>
          <w:fldChar w:fldCharType="separate"/>
        </w:r>
        <w:r w:rsidR="0069199B">
          <w:rPr>
            <w:webHidden/>
          </w:rPr>
          <w:t>74</w:t>
        </w:r>
        <w:r w:rsidR="0069199B">
          <w:rPr>
            <w:webHidden/>
          </w:rPr>
          <w:fldChar w:fldCharType="end"/>
        </w:r>
      </w:hyperlink>
    </w:p>
    <w:p w14:paraId="0AE2FB33" w14:textId="77777777" w:rsidR="0069199B" w:rsidRDefault="000937A6">
      <w:pPr>
        <w:pStyle w:val="Inhopg2"/>
        <w:rPr>
          <w:rFonts w:asciiTheme="minorHAnsi" w:eastAsiaTheme="minorEastAsia" w:hAnsiTheme="minorHAnsi" w:cstheme="minorBidi"/>
          <w:smallCaps w:val="0"/>
          <w:sz w:val="22"/>
          <w:szCs w:val="22"/>
          <w:lang w:val="nl-BE" w:eastAsia="nl-BE"/>
        </w:rPr>
      </w:pPr>
      <w:hyperlink w:anchor="_Toc454186724" w:history="1">
        <w:r w:rsidR="0069199B" w:rsidRPr="00E41199">
          <w:rPr>
            <w:rStyle w:val="Hyperlink"/>
          </w:rPr>
          <w:t>8.3</w:t>
        </w:r>
        <w:r w:rsidR="0069199B">
          <w:rPr>
            <w:rFonts w:asciiTheme="minorHAnsi" w:eastAsiaTheme="minorEastAsia" w:hAnsiTheme="minorHAnsi" w:cstheme="minorBidi"/>
            <w:smallCaps w:val="0"/>
            <w:sz w:val="22"/>
            <w:szCs w:val="22"/>
            <w:lang w:val="nl-BE" w:eastAsia="nl-BE"/>
          </w:rPr>
          <w:tab/>
        </w:r>
        <w:r w:rsidR="0069199B" w:rsidRPr="00E41199">
          <w:rPr>
            <w:rStyle w:val="Hyperlink"/>
          </w:rPr>
          <w:t>Jaarlijkse rapporteringen</w:t>
        </w:r>
        <w:r w:rsidR="0069199B">
          <w:rPr>
            <w:webHidden/>
          </w:rPr>
          <w:tab/>
        </w:r>
        <w:r w:rsidR="0069199B">
          <w:rPr>
            <w:webHidden/>
          </w:rPr>
          <w:fldChar w:fldCharType="begin"/>
        </w:r>
        <w:r w:rsidR="0069199B">
          <w:rPr>
            <w:webHidden/>
          </w:rPr>
          <w:instrText xml:space="preserve"> PAGEREF _Toc454186724 \h </w:instrText>
        </w:r>
        <w:r w:rsidR="0069199B">
          <w:rPr>
            <w:webHidden/>
          </w:rPr>
        </w:r>
        <w:r w:rsidR="0069199B">
          <w:rPr>
            <w:webHidden/>
          </w:rPr>
          <w:fldChar w:fldCharType="separate"/>
        </w:r>
        <w:r w:rsidR="0069199B">
          <w:rPr>
            <w:webHidden/>
          </w:rPr>
          <w:t>78</w:t>
        </w:r>
        <w:r w:rsidR="0069199B">
          <w:rPr>
            <w:webHidden/>
          </w:rPr>
          <w:fldChar w:fldCharType="end"/>
        </w:r>
      </w:hyperlink>
    </w:p>
    <w:p w14:paraId="40CB8C2C" w14:textId="77777777" w:rsidR="0069199B" w:rsidRDefault="000937A6">
      <w:pPr>
        <w:pStyle w:val="Inhopg1"/>
        <w:rPr>
          <w:rFonts w:asciiTheme="minorHAnsi" w:eastAsiaTheme="minorEastAsia" w:hAnsiTheme="minorHAnsi" w:cstheme="minorBidi"/>
          <w:b w:val="0"/>
          <w:caps w:val="0"/>
          <w:noProof/>
          <w:sz w:val="22"/>
          <w:lang w:val="nl-BE" w:eastAsia="nl-BE"/>
        </w:rPr>
      </w:pPr>
      <w:hyperlink w:anchor="_Toc454186725" w:history="1">
        <w:r w:rsidR="0069199B" w:rsidRPr="00E41199">
          <w:rPr>
            <w:rStyle w:val="Hyperlink"/>
            <w:noProof/>
          </w:rPr>
          <w:t>9</w:t>
        </w:r>
        <w:r w:rsidR="0069199B">
          <w:rPr>
            <w:rFonts w:asciiTheme="minorHAnsi" w:eastAsiaTheme="minorEastAsia" w:hAnsiTheme="minorHAnsi" w:cstheme="minorBidi"/>
            <w:b w:val="0"/>
            <w:caps w:val="0"/>
            <w:noProof/>
            <w:sz w:val="22"/>
            <w:lang w:val="nl-BE" w:eastAsia="nl-BE"/>
          </w:rPr>
          <w:tab/>
        </w:r>
        <w:r w:rsidR="0069199B" w:rsidRPr="00E41199">
          <w:rPr>
            <w:rStyle w:val="Hyperlink"/>
            <w:noProof/>
          </w:rPr>
          <w:t>[Aanpak inzake fusies en (partiële) splitsingen</w:t>
        </w:r>
        <w:r w:rsidR="0069199B">
          <w:rPr>
            <w:noProof/>
            <w:webHidden/>
          </w:rPr>
          <w:tab/>
        </w:r>
        <w:r w:rsidR="0069199B">
          <w:rPr>
            <w:noProof/>
            <w:webHidden/>
          </w:rPr>
          <w:fldChar w:fldCharType="begin"/>
        </w:r>
        <w:r w:rsidR="0069199B">
          <w:rPr>
            <w:noProof/>
            <w:webHidden/>
          </w:rPr>
          <w:instrText xml:space="preserve"> PAGEREF _Toc454186725 \h </w:instrText>
        </w:r>
        <w:r w:rsidR="0069199B">
          <w:rPr>
            <w:noProof/>
            <w:webHidden/>
          </w:rPr>
        </w:r>
        <w:r w:rsidR="0069199B">
          <w:rPr>
            <w:noProof/>
            <w:webHidden/>
          </w:rPr>
          <w:fldChar w:fldCharType="separate"/>
        </w:r>
        <w:r w:rsidR="0069199B">
          <w:rPr>
            <w:noProof/>
            <w:webHidden/>
          </w:rPr>
          <w:t>80</w:t>
        </w:r>
        <w:r w:rsidR="0069199B">
          <w:rPr>
            <w:noProof/>
            <w:webHidden/>
          </w:rPr>
          <w:fldChar w:fldCharType="end"/>
        </w:r>
      </w:hyperlink>
    </w:p>
    <w:p w14:paraId="5BCD5A1C" w14:textId="77777777" w:rsidR="0069199B" w:rsidRDefault="000937A6">
      <w:pPr>
        <w:pStyle w:val="Inhopg2"/>
        <w:rPr>
          <w:rFonts w:asciiTheme="minorHAnsi" w:eastAsiaTheme="minorEastAsia" w:hAnsiTheme="minorHAnsi" w:cstheme="minorBidi"/>
          <w:smallCaps w:val="0"/>
          <w:sz w:val="22"/>
          <w:szCs w:val="22"/>
          <w:lang w:val="nl-BE" w:eastAsia="nl-BE"/>
        </w:rPr>
      </w:pPr>
      <w:hyperlink w:anchor="_Toc454186726" w:history="1">
        <w:r w:rsidR="0069199B" w:rsidRPr="00E41199">
          <w:rPr>
            <w:rStyle w:val="Hyperlink"/>
          </w:rPr>
          <w:t>9.1</w:t>
        </w:r>
        <w:r w:rsidR="0069199B">
          <w:rPr>
            <w:rFonts w:asciiTheme="minorHAnsi" w:eastAsiaTheme="minorEastAsia" w:hAnsiTheme="minorHAnsi" w:cstheme="minorBidi"/>
            <w:smallCaps w:val="0"/>
            <w:sz w:val="22"/>
            <w:szCs w:val="22"/>
            <w:lang w:val="nl-BE" w:eastAsia="nl-BE"/>
          </w:rPr>
          <w:tab/>
        </w:r>
        <w:r w:rsidR="0069199B" w:rsidRPr="00E41199">
          <w:rPr>
            <w:rStyle w:val="Hyperlink"/>
          </w:rPr>
          <w:t>Fusie</w:t>
        </w:r>
        <w:r w:rsidR="0069199B">
          <w:rPr>
            <w:webHidden/>
          </w:rPr>
          <w:tab/>
        </w:r>
        <w:r w:rsidR="0069199B">
          <w:rPr>
            <w:webHidden/>
          </w:rPr>
          <w:fldChar w:fldCharType="begin"/>
        </w:r>
        <w:r w:rsidR="0069199B">
          <w:rPr>
            <w:webHidden/>
          </w:rPr>
          <w:instrText xml:space="preserve"> PAGEREF _Toc454186726 \h </w:instrText>
        </w:r>
        <w:r w:rsidR="0069199B">
          <w:rPr>
            <w:webHidden/>
          </w:rPr>
        </w:r>
        <w:r w:rsidR="0069199B">
          <w:rPr>
            <w:webHidden/>
          </w:rPr>
          <w:fldChar w:fldCharType="separate"/>
        </w:r>
        <w:r w:rsidR="0069199B">
          <w:rPr>
            <w:webHidden/>
          </w:rPr>
          <w:t>80</w:t>
        </w:r>
        <w:r w:rsidR="0069199B">
          <w:rPr>
            <w:webHidden/>
          </w:rPr>
          <w:fldChar w:fldCharType="end"/>
        </w:r>
      </w:hyperlink>
    </w:p>
    <w:p w14:paraId="7006D41D" w14:textId="77777777" w:rsidR="0069199B" w:rsidRDefault="000937A6">
      <w:pPr>
        <w:pStyle w:val="Inhopg3"/>
        <w:rPr>
          <w:rFonts w:asciiTheme="minorHAnsi" w:eastAsiaTheme="minorEastAsia" w:hAnsiTheme="minorHAnsi" w:cstheme="minorBidi"/>
          <w:i w:val="0"/>
          <w:noProof/>
          <w:sz w:val="22"/>
          <w:szCs w:val="22"/>
          <w:lang w:val="nl-BE" w:eastAsia="nl-BE"/>
        </w:rPr>
      </w:pPr>
      <w:hyperlink w:anchor="_Toc454186727" w:history="1">
        <w:r w:rsidR="0069199B" w:rsidRPr="00E41199">
          <w:rPr>
            <w:rStyle w:val="Hyperlink"/>
            <w:noProof/>
          </w:rPr>
          <w:t>9.1.1</w:t>
        </w:r>
        <w:r w:rsidR="0069199B">
          <w:rPr>
            <w:rFonts w:asciiTheme="minorHAnsi" w:eastAsiaTheme="minorEastAsia" w:hAnsiTheme="minorHAnsi" w:cstheme="minorBidi"/>
            <w:i w:val="0"/>
            <w:noProof/>
            <w:sz w:val="22"/>
            <w:szCs w:val="22"/>
            <w:lang w:val="nl-BE" w:eastAsia="nl-BE"/>
          </w:rPr>
          <w:tab/>
        </w:r>
        <w:r w:rsidR="0069199B" w:rsidRPr="00E41199">
          <w:rPr>
            <w:rStyle w:val="Hyperlink"/>
            <w:noProof/>
          </w:rPr>
          <w:t>Situatie</w:t>
        </w:r>
        <w:r w:rsidR="0069199B">
          <w:rPr>
            <w:noProof/>
            <w:webHidden/>
          </w:rPr>
          <w:tab/>
        </w:r>
        <w:r w:rsidR="0069199B">
          <w:rPr>
            <w:noProof/>
            <w:webHidden/>
          </w:rPr>
          <w:fldChar w:fldCharType="begin"/>
        </w:r>
        <w:r w:rsidR="0069199B">
          <w:rPr>
            <w:noProof/>
            <w:webHidden/>
          </w:rPr>
          <w:instrText xml:space="preserve"> PAGEREF _Toc454186727 \h </w:instrText>
        </w:r>
        <w:r w:rsidR="0069199B">
          <w:rPr>
            <w:noProof/>
            <w:webHidden/>
          </w:rPr>
        </w:r>
        <w:r w:rsidR="0069199B">
          <w:rPr>
            <w:noProof/>
            <w:webHidden/>
          </w:rPr>
          <w:fldChar w:fldCharType="separate"/>
        </w:r>
        <w:r w:rsidR="0069199B">
          <w:rPr>
            <w:noProof/>
            <w:webHidden/>
          </w:rPr>
          <w:t>80</w:t>
        </w:r>
        <w:r w:rsidR="0069199B">
          <w:rPr>
            <w:noProof/>
            <w:webHidden/>
          </w:rPr>
          <w:fldChar w:fldCharType="end"/>
        </w:r>
      </w:hyperlink>
    </w:p>
    <w:p w14:paraId="5104449C" w14:textId="77777777" w:rsidR="0069199B" w:rsidRDefault="000937A6">
      <w:pPr>
        <w:pStyle w:val="Inhopg3"/>
        <w:rPr>
          <w:rFonts w:asciiTheme="minorHAnsi" w:eastAsiaTheme="minorEastAsia" w:hAnsiTheme="minorHAnsi" w:cstheme="minorBidi"/>
          <w:i w:val="0"/>
          <w:noProof/>
          <w:sz w:val="22"/>
          <w:szCs w:val="22"/>
          <w:lang w:val="nl-BE" w:eastAsia="nl-BE"/>
        </w:rPr>
      </w:pPr>
      <w:hyperlink w:anchor="_Toc454186728" w:history="1">
        <w:r w:rsidR="0069199B" w:rsidRPr="00E41199">
          <w:rPr>
            <w:rStyle w:val="Hyperlink"/>
            <w:noProof/>
          </w:rPr>
          <w:t>9.1.2</w:t>
        </w:r>
        <w:r w:rsidR="0069199B">
          <w:rPr>
            <w:rFonts w:asciiTheme="minorHAnsi" w:eastAsiaTheme="minorEastAsia" w:hAnsiTheme="minorHAnsi" w:cstheme="minorBidi"/>
            <w:i w:val="0"/>
            <w:noProof/>
            <w:sz w:val="22"/>
            <w:szCs w:val="22"/>
            <w:lang w:val="nl-BE" w:eastAsia="nl-BE"/>
          </w:rPr>
          <w:tab/>
        </w:r>
        <w:r w:rsidR="0069199B" w:rsidRPr="00E41199">
          <w:rPr>
            <w:rStyle w:val="Hyperlink"/>
            <w:noProof/>
          </w:rPr>
          <w:t>Distributienettarieven</w:t>
        </w:r>
        <w:r w:rsidR="0069199B">
          <w:rPr>
            <w:noProof/>
            <w:webHidden/>
          </w:rPr>
          <w:tab/>
        </w:r>
        <w:r w:rsidR="0069199B">
          <w:rPr>
            <w:noProof/>
            <w:webHidden/>
          </w:rPr>
          <w:fldChar w:fldCharType="begin"/>
        </w:r>
        <w:r w:rsidR="0069199B">
          <w:rPr>
            <w:noProof/>
            <w:webHidden/>
          </w:rPr>
          <w:instrText xml:space="preserve"> PAGEREF _Toc454186728 \h </w:instrText>
        </w:r>
        <w:r w:rsidR="0069199B">
          <w:rPr>
            <w:noProof/>
            <w:webHidden/>
          </w:rPr>
        </w:r>
        <w:r w:rsidR="0069199B">
          <w:rPr>
            <w:noProof/>
            <w:webHidden/>
          </w:rPr>
          <w:fldChar w:fldCharType="separate"/>
        </w:r>
        <w:r w:rsidR="0069199B">
          <w:rPr>
            <w:noProof/>
            <w:webHidden/>
          </w:rPr>
          <w:t>80</w:t>
        </w:r>
        <w:r w:rsidR="0069199B">
          <w:rPr>
            <w:noProof/>
            <w:webHidden/>
          </w:rPr>
          <w:fldChar w:fldCharType="end"/>
        </w:r>
      </w:hyperlink>
    </w:p>
    <w:p w14:paraId="2BC8FA0D" w14:textId="77777777" w:rsidR="0069199B" w:rsidRDefault="000937A6">
      <w:pPr>
        <w:pStyle w:val="Inhopg3"/>
        <w:rPr>
          <w:rFonts w:asciiTheme="minorHAnsi" w:eastAsiaTheme="minorEastAsia" w:hAnsiTheme="minorHAnsi" w:cstheme="minorBidi"/>
          <w:i w:val="0"/>
          <w:noProof/>
          <w:sz w:val="22"/>
          <w:szCs w:val="22"/>
          <w:lang w:val="nl-BE" w:eastAsia="nl-BE"/>
        </w:rPr>
      </w:pPr>
      <w:hyperlink w:anchor="_Toc454186729" w:history="1">
        <w:r w:rsidR="0069199B" w:rsidRPr="00E41199">
          <w:rPr>
            <w:rStyle w:val="Hyperlink"/>
            <w:noProof/>
          </w:rPr>
          <w:t>9.1.3</w:t>
        </w:r>
        <w:r w:rsidR="0069199B">
          <w:rPr>
            <w:rFonts w:asciiTheme="minorHAnsi" w:eastAsiaTheme="minorEastAsia" w:hAnsiTheme="minorHAnsi" w:cstheme="minorBidi"/>
            <w:i w:val="0"/>
            <w:noProof/>
            <w:sz w:val="22"/>
            <w:szCs w:val="22"/>
            <w:lang w:val="nl-BE" w:eastAsia="nl-BE"/>
          </w:rPr>
          <w:tab/>
        </w:r>
        <w:r w:rsidR="0069199B" w:rsidRPr="00E41199">
          <w:rPr>
            <w:rStyle w:val="Hyperlink"/>
            <w:noProof/>
          </w:rPr>
          <w:t>Rapportering en attestering</w:t>
        </w:r>
        <w:r w:rsidR="0069199B">
          <w:rPr>
            <w:noProof/>
            <w:webHidden/>
          </w:rPr>
          <w:tab/>
        </w:r>
        <w:r w:rsidR="0069199B">
          <w:rPr>
            <w:noProof/>
            <w:webHidden/>
          </w:rPr>
          <w:fldChar w:fldCharType="begin"/>
        </w:r>
        <w:r w:rsidR="0069199B">
          <w:rPr>
            <w:noProof/>
            <w:webHidden/>
          </w:rPr>
          <w:instrText xml:space="preserve"> PAGEREF _Toc454186729 \h </w:instrText>
        </w:r>
        <w:r w:rsidR="0069199B">
          <w:rPr>
            <w:noProof/>
            <w:webHidden/>
          </w:rPr>
        </w:r>
        <w:r w:rsidR="0069199B">
          <w:rPr>
            <w:noProof/>
            <w:webHidden/>
          </w:rPr>
          <w:fldChar w:fldCharType="separate"/>
        </w:r>
        <w:r w:rsidR="0069199B">
          <w:rPr>
            <w:noProof/>
            <w:webHidden/>
          </w:rPr>
          <w:t>80</w:t>
        </w:r>
        <w:r w:rsidR="0069199B">
          <w:rPr>
            <w:noProof/>
            <w:webHidden/>
          </w:rPr>
          <w:fldChar w:fldCharType="end"/>
        </w:r>
      </w:hyperlink>
    </w:p>
    <w:p w14:paraId="582D9558" w14:textId="77777777" w:rsidR="0069199B" w:rsidRDefault="000937A6">
      <w:pPr>
        <w:pStyle w:val="Inhopg2"/>
        <w:rPr>
          <w:rFonts w:asciiTheme="minorHAnsi" w:eastAsiaTheme="minorEastAsia" w:hAnsiTheme="minorHAnsi" w:cstheme="minorBidi"/>
          <w:smallCaps w:val="0"/>
          <w:sz w:val="22"/>
          <w:szCs w:val="22"/>
          <w:lang w:val="nl-BE" w:eastAsia="nl-BE"/>
        </w:rPr>
      </w:pPr>
      <w:hyperlink w:anchor="_Toc454186730" w:history="1">
        <w:r w:rsidR="0069199B" w:rsidRPr="00E41199">
          <w:rPr>
            <w:rStyle w:val="Hyperlink"/>
          </w:rPr>
          <w:t>9.2</w:t>
        </w:r>
        <w:r w:rsidR="0069199B">
          <w:rPr>
            <w:rFonts w:asciiTheme="minorHAnsi" w:eastAsiaTheme="minorEastAsia" w:hAnsiTheme="minorHAnsi" w:cstheme="minorBidi"/>
            <w:smallCaps w:val="0"/>
            <w:sz w:val="22"/>
            <w:szCs w:val="22"/>
            <w:lang w:val="nl-BE" w:eastAsia="nl-BE"/>
          </w:rPr>
          <w:tab/>
        </w:r>
        <w:r w:rsidR="0069199B" w:rsidRPr="00E41199">
          <w:rPr>
            <w:rStyle w:val="Hyperlink"/>
          </w:rPr>
          <w:t>Gehele of partiële splitsing van een distributienetbeheerder</w:t>
        </w:r>
        <w:r w:rsidR="0069199B">
          <w:rPr>
            <w:webHidden/>
          </w:rPr>
          <w:tab/>
        </w:r>
        <w:r w:rsidR="0069199B">
          <w:rPr>
            <w:webHidden/>
          </w:rPr>
          <w:fldChar w:fldCharType="begin"/>
        </w:r>
        <w:r w:rsidR="0069199B">
          <w:rPr>
            <w:webHidden/>
          </w:rPr>
          <w:instrText xml:space="preserve"> PAGEREF _Toc454186730 \h </w:instrText>
        </w:r>
        <w:r w:rsidR="0069199B">
          <w:rPr>
            <w:webHidden/>
          </w:rPr>
        </w:r>
        <w:r w:rsidR="0069199B">
          <w:rPr>
            <w:webHidden/>
          </w:rPr>
          <w:fldChar w:fldCharType="separate"/>
        </w:r>
        <w:r w:rsidR="0069199B">
          <w:rPr>
            <w:webHidden/>
          </w:rPr>
          <w:t>81</w:t>
        </w:r>
        <w:r w:rsidR="0069199B">
          <w:rPr>
            <w:webHidden/>
          </w:rPr>
          <w:fldChar w:fldCharType="end"/>
        </w:r>
      </w:hyperlink>
    </w:p>
    <w:p w14:paraId="67C73BE4" w14:textId="77777777" w:rsidR="0069199B" w:rsidRDefault="000937A6">
      <w:pPr>
        <w:pStyle w:val="Inhopg3"/>
        <w:rPr>
          <w:rFonts w:asciiTheme="minorHAnsi" w:eastAsiaTheme="minorEastAsia" w:hAnsiTheme="minorHAnsi" w:cstheme="minorBidi"/>
          <w:i w:val="0"/>
          <w:noProof/>
          <w:sz w:val="22"/>
          <w:szCs w:val="22"/>
          <w:lang w:val="nl-BE" w:eastAsia="nl-BE"/>
        </w:rPr>
      </w:pPr>
      <w:hyperlink w:anchor="_Toc454186731" w:history="1">
        <w:r w:rsidR="0069199B" w:rsidRPr="00E41199">
          <w:rPr>
            <w:rStyle w:val="Hyperlink"/>
            <w:noProof/>
          </w:rPr>
          <w:t>9.2.1</w:t>
        </w:r>
        <w:r w:rsidR="0069199B">
          <w:rPr>
            <w:rFonts w:asciiTheme="minorHAnsi" w:eastAsiaTheme="minorEastAsia" w:hAnsiTheme="minorHAnsi" w:cstheme="minorBidi"/>
            <w:i w:val="0"/>
            <w:noProof/>
            <w:sz w:val="22"/>
            <w:szCs w:val="22"/>
            <w:lang w:val="nl-BE" w:eastAsia="nl-BE"/>
          </w:rPr>
          <w:tab/>
        </w:r>
        <w:r w:rsidR="0069199B" w:rsidRPr="00E41199">
          <w:rPr>
            <w:rStyle w:val="Hyperlink"/>
            <w:noProof/>
          </w:rPr>
          <w:t>Situatie</w:t>
        </w:r>
        <w:r w:rsidR="0069199B">
          <w:rPr>
            <w:noProof/>
            <w:webHidden/>
          </w:rPr>
          <w:tab/>
        </w:r>
        <w:r w:rsidR="0069199B">
          <w:rPr>
            <w:noProof/>
            <w:webHidden/>
          </w:rPr>
          <w:fldChar w:fldCharType="begin"/>
        </w:r>
        <w:r w:rsidR="0069199B">
          <w:rPr>
            <w:noProof/>
            <w:webHidden/>
          </w:rPr>
          <w:instrText xml:space="preserve"> PAGEREF _Toc454186731 \h </w:instrText>
        </w:r>
        <w:r w:rsidR="0069199B">
          <w:rPr>
            <w:noProof/>
            <w:webHidden/>
          </w:rPr>
        </w:r>
        <w:r w:rsidR="0069199B">
          <w:rPr>
            <w:noProof/>
            <w:webHidden/>
          </w:rPr>
          <w:fldChar w:fldCharType="separate"/>
        </w:r>
        <w:r w:rsidR="0069199B">
          <w:rPr>
            <w:noProof/>
            <w:webHidden/>
          </w:rPr>
          <w:t>81</w:t>
        </w:r>
        <w:r w:rsidR="0069199B">
          <w:rPr>
            <w:noProof/>
            <w:webHidden/>
          </w:rPr>
          <w:fldChar w:fldCharType="end"/>
        </w:r>
      </w:hyperlink>
    </w:p>
    <w:p w14:paraId="61517B62" w14:textId="77777777" w:rsidR="0069199B" w:rsidRDefault="000937A6">
      <w:pPr>
        <w:pStyle w:val="Inhopg3"/>
        <w:rPr>
          <w:rFonts w:asciiTheme="minorHAnsi" w:eastAsiaTheme="minorEastAsia" w:hAnsiTheme="minorHAnsi" w:cstheme="minorBidi"/>
          <w:i w:val="0"/>
          <w:noProof/>
          <w:sz w:val="22"/>
          <w:szCs w:val="22"/>
          <w:lang w:val="nl-BE" w:eastAsia="nl-BE"/>
        </w:rPr>
      </w:pPr>
      <w:hyperlink w:anchor="_Toc454186732" w:history="1">
        <w:r w:rsidR="0069199B" w:rsidRPr="00E41199">
          <w:rPr>
            <w:rStyle w:val="Hyperlink"/>
            <w:noProof/>
          </w:rPr>
          <w:t>9.2.2</w:t>
        </w:r>
        <w:r w:rsidR="0069199B">
          <w:rPr>
            <w:rFonts w:asciiTheme="minorHAnsi" w:eastAsiaTheme="minorEastAsia" w:hAnsiTheme="minorHAnsi" w:cstheme="minorBidi"/>
            <w:i w:val="0"/>
            <w:noProof/>
            <w:sz w:val="22"/>
            <w:szCs w:val="22"/>
            <w:lang w:val="nl-BE" w:eastAsia="nl-BE"/>
          </w:rPr>
          <w:tab/>
        </w:r>
        <w:r w:rsidR="0069199B" w:rsidRPr="00E41199">
          <w:rPr>
            <w:rStyle w:val="Hyperlink"/>
            <w:noProof/>
          </w:rPr>
          <w:t>Distributienettarieven</w:t>
        </w:r>
        <w:r w:rsidR="0069199B">
          <w:rPr>
            <w:noProof/>
            <w:webHidden/>
          </w:rPr>
          <w:tab/>
        </w:r>
        <w:r w:rsidR="0069199B">
          <w:rPr>
            <w:noProof/>
            <w:webHidden/>
          </w:rPr>
          <w:fldChar w:fldCharType="begin"/>
        </w:r>
        <w:r w:rsidR="0069199B">
          <w:rPr>
            <w:noProof/>
            <w:webHidden/>
          </w:rPr>
          <w:instrText xml:space="preserve"> PAGEREF _Toc454186732 \h </w:instrText>
        </w:r>
        <w:r w:rsidR="0069199B">
          <w:rPr>
            <w:noProof/>
            <w:webHidden/>
          </w:rPr>
        </w:r>
        <w:r w:rsidR="0069199B">
          <w:rPr>
            <w:noProof/>
            <w:webHidden/>
          </w:rPr>
          <w:fldChar w:fldCharType="separate"/>
        </w:r>
        <w:r w:rsidR="0069199B">
          <w:rPr>
            <w:noProof/>
            <w:webHidden/>
          </w:rPr>
          <w:t>81</w:t>
        </w:r>
        <w:r w:rsidR="0069199B">
          <w:rPr>
            <w:noProof/>
            <w:webHidden/>
          </w:rPr>
          <w:fldChar w:fldCharType="end"/>
        </w:r>
      </w:hyperlink>
    </w:p>
    <w:p w14:paraId="0DF74B7A" w14:textId="77777777" w:rsidR="0069199B" w:rsidRDefault="000937A6">
      <w:pPr>
        <w:pStyle w:val="Inhopg3"/>
        <w:rPr>
          <w:rFonts w:asciiTheme="minorHAnsi" w:eastAsiaTheme="minorEastAsia" w:hAnsiTheme="minorHAnsi" w:cstheme="minorBidi"/>
          <w:i w:val="0"/>
          <w:noProof/>
          <w:sz w:val="22"/>
          <w:szCs w:val="22"/>
          <w:lang w:val="nl-BE" w:eastAsia="nl-BE"/>
        </w:rPr>
      </w:pPr>
      <w:hyperlink w:anchor="_Toc454186733" w:history="1">
        <w:r w:rsidR="0069199B" w:rsidRPr="00E41199">
          <w:rPr>
            <w:rStyle w:val="Hyperlink"/>
            <w:noProof/>
          </w:rPr>
          <w:t>9.2.3</w:t>
        </w:r>
        <w:r w:rsidR="0069199B">
          <w:rPr>
            <w:rFonts w:asciiTheme="minorHAnsi" w:eastAsiaTheme="minorEastAsia" w:hAnsiTheme="minorHAnsi" w:cstheme="minorBidi"/>
            <w:i w:val="0"/>
            <w:noProof/>
            <w:sz w:val="22"/>
            <w:szCs w:val="22"/>
            <w:lang w:val="nl-BE" w:eastAsia="nl-BE"/>
          </w:rPr>
          <w:tab/>
        </w:r>
        <w:r w:rsidR="0069199B" w:rsidRPr="00E41199">
          <w:rPr>
            <w:rStyle w:val="Hyperlink"/>
            <w:noProof/>
          </w:rPr>
          <w:t>Rapportering en attestering</w:t>
        </w:r>
        <w:r w:rsidR="0069199B">
          <w:rPr>
            <w:noProof/>
            <w:webHidden/>
          </w:rPr>
          <w:tab/>
        </w:r>
        <w:r w:rsidR="0069199B">
          <w:rPr>
            <w:noProof/>
            <w:webHidden/>
          </w:rPr>
          <w:fldChar w:fldCharType="begin"/>
        </w:r>
        <w:r w:rsidR="0069199B">
          <w:rPr>
            <w:noProof/>
            <w:webHidden/>
          </w:rPr>
          <w:instrText xml:space="preserve"> PAGEREF _Toc454186733 \h </w:instrText>
        </w:r>
        <w:r w:rsidR="0069199B">
          <w:rPr>
            <w:noProof/>
            <w:webHidden/>
          </w:rPr>
        </w:r>
        <w:r w:rsidR="0069199B">
          <w:rPr>
            <w:noProof/>
            <w:webHidden/>
          </w:rPr>
          <w:fldChar w:fldCharType="separate"/>
        </w:r>
        <w:r w:rsidR="0069199B">
          <w:rPr>
            <w:noProof/>
            <w:webHidden/>
          </w:rPr>
          <w:t>81</w:t>
        </w:r>
        <w:r w:rsidR="0069199B">
          <w:rPr>
            <w:noProof/>
            <w:webHidden/>
          </w:rPr>
          <w:fldChar w:fldCharType="end"/>
        </w:r>
      </w:hyperlink>
    </w:p>
    <w:p w14:paraId="631737DF" w14:textId="77777777" w:rsidR="0069199B" w:rsidRDefault="000937A6">
      <w:pPr>
        <w:pStyle w:val="Inhopg1"/>
        <w:rPr>
          <w:rFonts w:asciiTheme="minorHAnsi" w:eastAsiaTheme="minorEastAsia" w:hAnsiTheme="minorHAnsi" w:cstheme="minorBidi"/>
          <w:b w:val="0"/>
          <w:caps w:val="0"/>
          <w:noProof/>
          <w:sz w:val="22"/>
          <w:lang w:val="nl-BE" w:eastAsia="nl-BE"/>
        </w:rPr>
      </w:pPr>
      <w:hyperlink w:anchor="_Toc454186734" w:history="1">
        <w:r w:rsidR="0069199B" w:rsidRPr="00E41199">
          <w:rPr>
            <w:rStyle w:val="Hyperlink"/>
            <w:noProof/>
          </w:rPr>
          <w:t>10</w:t>
        </w:r>
        <w:r w:rsidR="0069199B">
          <w:rPr>
            <w:rFonts w:asciiTheme="minorHAnsi" w:eastAsiaTheme="minorEastAsia" w:hAnsiTheme="minorHAnsi" w:cstheme="minorBidi"/>
            <w:b w:val="0"/>
            <w:caps w:val="0"/>
            <w:noProof/>
            <w:sz w:val="22"/>
            <w:lang w:val="nl-BE" w:eastAsia="nl-BE"/>
          </w:rPr>
          <w:tab/>
        </w:r>
        <w:r w:rsidR="0069199B" w:rsidRPr="00E41199">
          <w:rPr>
            <w:rStyle w:val="Hyperlink"/>
            <w:noProof/>
          </w:rPr>
          <w:t>Bijlagen</w:t>
        </w:r>
        <w:r w:rsidR="0069199B">
          <w:rPr>
            <w:noProof/>
            <w:webHidden/>
          </w:rPr>
          <w:tab/>
        </w:r>
        <w:r w:rsidR="0069199B">
          <w:rPr>
            <w:noProof/>
            <w:webHidden/>
          </w:rPr>
          <w:fldChar w:fldCharType="begin"/>
        </w:r>
        <w:r w:rsidR="0069199B">
          <w:rPr>
            <w:noProof/>
            <w:webHidden/>
          </w:rPr>
          <w:instrText xml:space="preserve"> PAGEREF _Toc454186734 \h </w:instrText>
        </w:r>
        <w:r w:rsidR="0069199B">
          <w:rPr>
            <w:noProof/>
            <w:webHidden/>
          </w:rPr>
        </w:r>
        <w:r w:rsidR="0069199B">
          <w:rPr>
            <w:noProof/>
            <w:webHidden/>
          </w:rPr>
          <w:fldChar w:fldCharType="separate"/>
        </w:r>
        <w:r w:rsidR="0069199B">
          <w:rPr>
            <w:noProof/>
            <w:webHidden/>
          </w:rPr>
          <w:t>84</w:t>
        </w:r>
        <w:r w:rsidR="0069199B">
          <w:rPr>
            <w:noProof/>
            <w:webHidden/>
          </w:rPr>
          <w:fldChar w:fldCharType="end"/>
        </w:r>
      </w:hyperlink>
    </w:p>
    <w:p w14:paraId="0CC75AD4" w14:textId="77777777" w:rsidR="0069199B" w:rsidRDefault="000937A6">
      <w:pPr>
        <w:pStyle w:val="Inhopg2"/>
        <w:rPr>
          <w:rFonts w:asciiTheme="minorHAnsi" w:eastAsiaTheme="minorEastAsia" w:hAnsiTheme="minorHAnsi" w:cstheme="minorBidi"/>
          <w:smallCaps w:val="0"/>
          <w:sz w:val="22"/>
          <w:szCs w:val="22"/>
          <w:lang w:val="nl-BE" w:eastAsia="nl-BE"/>
        </w:rPr>
      </w:pPr>
      <w:hyperlink w:anchor="_Toc454186735" w:history="1">
        <w:r w:rsidR="0069199B" w:rsidRPr="00E41199">
          <w:rPr>
            <w:rStyle w:val="Hyperlink"/>
          </w:rPr>
          <w:t>10.1</w:t>
        </w:r>
        <w:r w:rsidR="0069199B">
          <w:rPr>
            <w:rFonts w:asciiTheme="minorHAnsi" w:eastAsiaTheme="minorEastAsia" w:hAnsiTheme="minorHAnsi" w:cstheme="minorBidi"/>
            <w:smallCaps w:val="0"/>
            <w:sz w:val="22"/>
            <w:szCs w:val="22"/>
            <w:lang w:val="nl-BE" w:eastAsia="nl-BE"/>
          </w:rPr>
          <w:tab/>
        </w:r>
        <w:r w:rsidR="0069199B" w:rsidRPr="00E41199">
          <w:rPr>
            <w:rStyle w:val="Hyperlink"/>
          </w:rPr>
          <w:t>Bijlage 1: Invul- en auditinstructie rapporteringsmodellen.</w:t>
        </w:r>
        <w:r w:rsidR="0069199B">
          <w:rPr>
            <w:webHidden/>
          </w:rPr>
          <w:tab/>
        </w:r>
        <w:r w:rsidR="0069199B">
          <w:rPr>
            <w:webHidden/>
          </w:rPr>
          <w:fldChar w:fldCharType="begin"/>
        </w:r>
        <w:r w:rsidR="0069199B">
          <w:rPr>
            <w:webHidden/>
          </w:rPr>
          <w:instrText xml:space="preserve"> PAGEREF _Toc454186735 \h </w:instrText>
        </w:r>
        <w:r w:rsidR="0069199B">
          <w:rPr>
            <w:webHidden/>
          </w:rPr>
        </w:r>
        <w:r w:rsidR="0069199B">
          <w:rPr>
            <w:webHidden/>
          </w:rPr>
          <w:fldChar w:fldCharType="separate"/>
        </w:r>
        <w:r w:rsidR="0069199B">
          <w:rPr>
            <w:webHidden/>
          </w:rPr>
          <w:t>84</w:t>
        </w:r>
        <w:r w:rsidR="0069199B">
          <w:rPr>
            <w:webHidden/>
          </w:rPr>
          <w:fldChar w:fldCharType="end"/>
        </w:r>
      </w:hyperlink>
    </w:p>
    <w:p w14:paraId="56F4314F" w14:textId="77777777" w:rsidR="0069199B" w:rsidRDefault="000937A6">
      <w:pPr>
        <w:pStyle w:val="Inhopg2"/>
        <w:rPr>
          <w:rFonts w:asciiTheme="minorHAnsi" w:eastAsiaTheme="minorEastAsia" w:hAnsiTheme="minorHAnsi" w:cstheme="minorBidi"/>
          <w:smallCaps w:val="0"/>
          <w:sz w:val="22"/>
          <w:szCs w:val="22"/>
          <w:lang w:val="nl-BE" w:eastAsia="nl-BE"/>
        </w:rPr>
      </w:pPr>
      <w:hyperlink w:anchor="_Toc454186736" w:history="1">
        <w:r w:rsidR="0069199B" w:rsidRPr="00E41199">
          <w:rPr>
            <w:rStyle w:val="Hyperlink"/>
          </w:rPr>
          <w:t>10.2</w:t>
        </w:r>
        <w:r w:rsidR="0069199B">
          <w:rPr>
            <w:rFonts w:asciiTheme="minorHAnsi" w:eastAsiaTheme="minorEastAsia" w:hAnsiTheme="minorHAnsi" w:cstheme="minorBidi"/>
            <w:smallCaps w:val="0"/>
            <w:sz w:val="22"/>
            <w:szCs w:val="22"/>
            <w:lang w:val="nl-BE" w:eastAsia="nl-BE"/>
          </w:rPr>
          <w:tab/>
        </w:r>
        <w:r w:rsidR="0069199B" w:rsidRPr="00E41199">
          <w:rPr>
            <w:rStyle w:val="Hyperlink"/>
          </w:rPr>
          <w:t>Bijlage 2: Rapport met betrekking tot de kapitaalkosten-vergoeding voor de Vlaamse elektriciteits- en aardgas-distributienetbeheerders in de tariefmethodologie voor de reguleringsperiode 2015-2016.</w:t>
        </w:r>
        <w:r w:rsidR="0069199B">
          <w:rPr>
            <w:webHidden/>
          </w:rPr>
          <w:tab/>
        </w:r>
        <w:r w:rsidR="0069199B">
          <w:rPr>
            <w:webHidden/>
          </w:rPr>
          <w:fldChar w:fldCharType="begin"/>
        </w:r>
        <w:r w:rsidR="0069199B">
          <w:rPr>
            <w:webHidden/>
          </w:rPr>
          <w:instrText xml:space="preserve"> PAGEREF _Toc454186736 \h </w:instrText>
        </w:r>
        <w:r w:rsidR="0069199B">
          <w:rPr>
            <w:webHidden/>
          </w:rPr>
        </w:r>
        <w:r w:rsidR="0069199B">
          <w:rPr>
            <w:webHidden/>
          </w:rPr>
          <w:fldChar w:fldCharType="separate"/>
        </w:r>
        <w:r w:rsidR="0069199B">
          <w:rPr>
            <w:webHidden/>
          </w:rPr>
          <w:t>84</w:t>
        </w:r>
        <w:r w:rsidR="0069199B">
          <w:rPr>
            <w:webHidden/>
          </w:rPr>
          <w:fldChar w:fldCharType="end"/>
        </w:r>
      </w:hyperlink>
    </w:p>
    <w:p w14:paraId="711489AD" w14:textId="77777777" w:rsidR="0069199B" w:rsidRDefault="000937A6">
      <w:pPr>
        <w:pStyle w:val="Inhopg2"/>
        <w:rPr>
          <w:rFonts w:asciiTheme="minorHAnsi" w:eastAsiaTheme="minorEastAsia" w:hAnsiTheme="minorHAnsi" w:cstheme="minorBidi"/>
          <w:smallCaps w:val="0"/>
          <w:sz w:val="22"/>
          <w:szCs w:val="22"/>
          <w:lang w:val="nl-BE" w:eastAsia="nl-BE"/>
        </w:rPr>
      </w:pPr>
      <w:hyperlink w:anchor="_Toc454186737" w:history="1">
        <w:r w:rsidR="0069199B" w:rsidRPr="00E41199">
          <w:rPr>
            <w:rStyle w:val="Hyperlink"/>
          </w:rPr>
          <w:t>10.3</w:t>
        </w:r>
        <w:r w:rsidR="0069199B">
          <w:rPr>
            <w:rFonts w:asciiTheme="minorHAnsi" w:eastAsiaTheme="minorEastAsia" w:hAnsiTheme="minorHAnsi" w:cstheme="minorBidi"/>
            <w:smallCaps w:val="0"/>
            <w:sz w:val="22"/>
            <w:szCs w:val="22"/>
            <w:lang w:val="nl-BE" w:eastAsia="nl-BE"/>
          </w:rPr>
          <w:tab/>
        </w:r>
        <w:r w:rsidR="0069199B" w:rsidRPr="00E41199">
          <w:rPr>
            <w:rStyle w:val="Hyperlink"/>
          </w:rPr>
          <w:t>Bijlage 3: Verdeelsleutels voor de balansen en resultatenrekeningen van de distributienetbeheerders volgens de opdeling van hun distributieactiviteit tussen Vlaanderen en Wallonië.</w:t>
        </w:r>
        <w:r w:rsidR="0069199B">
          <w:rPr>
            <w:webHidden/>
          </w:rPr>
          <w:tab/>
        </w:r>
        <w:r w:rsidR="0069199B">
          <w:rPr>
            <w:webHidden/>
          </w:rPr>
          <w:fldChar w:fldCharType="begin"/>
        </w:r>
        <w:r w:rsidR="0069199B">
          <w:rPr>
            <w:webHidden/>
          </w:rPr>
          <w:instrText xml:space="preserve"> PAGEREF _Toc454186737 \h </w:instrText>
        </w:r>
        <w:r w:rsidR="0069199B">
          <w:rPr>
            <w:webHidden/>
          </w:rPr>
        </w:r>
        <w:r w:rsidR="0069199B">
          <w:rPr>
            <w:webHidden/>
          </w:rPr>
          <w:fldChar w:fldCharType="separate"/>
        </w:r>
        <w:r w:rsidR="0069199B">
          <w:rPr>
            <w:webHidden/>
          </w:rPr>
          <w:t>84</w:t>
        </w:r>
        <w:r w:rsidR="0069199B">
          <w:rPr>
            <w:webHidden/>
          </w:rPr>
          <w:fldChar w:fldCharType="end"/>
        </w:r>
      </w:hyperlink>
    </w:p>
    <w:p w14:paraId="3BF293DB" w14:textId="77777777" w:rsidR="0069199B" w:rsidRDefault="000937A6">
      <w:pPr>
        <w:pStyle w:val="Inhopg2"/>
        <w:rPr>
          <w:rFonts w:asciiTheme="minorHAnsi" w:eastAsiaTheme="minorEastAsia" w:hAnsiTheme="minorHAnsi" w:cstheme="minorBidi"/>
          <w:smallCaps w:val="0"/>
          <w:sz w:val="22"/>
          <w:szCs w:val="22"/>
          <w:lang w:val="nl-BE" w:eastAsia="nl-BE"/>
        </w:rPr>
      </w:pPr>
      <w:hyperlink w:anchor="_Toc454186738" w:history="1">
        <w:r w:rsidR="0069199B" w:rsidRPr="00E41199">
          <w:rPr>
            <w:rStyle w:val="Hyperlink"/>
          </w:rPr>
          <w:t>10.4</w:t>
        </w:r>
        <w:r w:rsidR="0069199B">
          <w:rPr>
            <w:rFonts w:asciiTheme="minorHAnsi" w:eastAsiaTheme="minorEastAsia" w:hAnsiTheme="minorHAnsi" w:cstheme="minorBidi"/>
            <w:smallCaps w:val="0"/>
            <w:sz w:val="22"/>
            <w:szCs w:val="22"/>
            <w:lang w:val="nl-BE" w:eastAsia="nl-BE"/>
          </w:rPr>
          <w:tab/>
        </w:r>
        <w:r w:rsidR="0069199B" w:rsidRPr="00E41199">
          <w:rPr>
            <w:rStyle w:val="Hyperlink"/>
          </w:rPr>
          <w:t>Bijlage 4: Rapporteringsmodel exogene kosten</w:t>
        </w:r>
        <w:r w:rsidR="0069199B">
          <w:rPr>
            <w:webHidden/>
          </w:rPr>
          <w:tab/>
        </w:r>
        <w:r w:rsidR="0069199B">
          <w:rPr>
            <w:webHidden/>
          </w:rPr>
          <w:fldChar w:fldCharType="begin"/>
        </w:r>
        <w:r w:rsidR="0069199B">
          <w:rPr>
            <w:webHidden/>
          </w:rPr>
          <w:instrText xml:space="preserve"> PAGEREF _Toc454186738 \h </w:instrText>
        </w:r>
        <w:r w:rsidR="0069199B">
          <w:rPr>
            <w:webHidden/>
          </w:rPr>
        </w:r>
        <w:r w:rsidR="0069199B">
          <w:rPr>
            <w:webHidden/>
          </w:rPr>
          <w:fldChar w:fldCharType="separate"/>
        </w:r>
        <w:r w:rsidR="0069199B">
          <w:rPr>
            <w:webHidden/>
          </w:rPr>
          <w:t>84</w:t>
        </w:r>
        <w:r w:rsidR="0069199B">
          <w:rPr>
            <w:webHidden/>
          </w:rPr>
          <w:fldChar w:fldCharType="end"/>
        </w:r>
      </w:hyperlink>
    </w:p>
    <w:p w14:paraId="641F0283" w14:textId="77777777" w:rsidR="0069199B" w:rsidRDefault="000937A6">
      <w:pPr>
        <w:pStyle w:val="Inhopg2"/>
        <w:rPr>
          <w:rFonts w:asciiTheme="minorHAnsi" w:eastAsiaTheme="minorEastAsia" w:hAnsiTheme="minorHAnsi" w:cstheme="minorBidi"/>
          <w:smallCaps w:val="0"/>
          <w:sz w:val="22"/>
          <w:szCs w:val="22"/>
          <w:lang w:val="nl-BE" w:eastAsia="nl-BE"/>
        </w:rPr>
      </w:pPr>
      <w:hyperlink w:anchor="_Toc454186739" w:history="1">
        <w:r w:rsidR="0069199B" w:rsidRPr="00E41199">
          <w:rPr>
            <w:rStyle w:val="Hyperlink"/>
          </w:rPr>
          <w:t>10.5</w:t>
        </w:r>
        <w:r w:rsidR="0069199B">
          <w:rPr>
            <w:rFonts w:asciiTheme="minorHAnsi" w:eastAsiaTheme="minorEastAsia" w:hAnsiTheme="minorHAnsi" w:cstheme="minorBidi"/>
            <w:smallCaps w:val="0"/>
            <w:sz w:val="22"/>
            <w:szCs w:val="22"/>
            <w:lang w:val="nl-BE" w:eastAsia="nl-BE"/>
          </w:rPr>
          <w:tab/>
        </w:r>
        <w:r w:rsidR="0069199B" w:rsidRPr="00E41199">
          <w:rPr>
            <w:rStyle w:val="Hyperlink"/>
          </w:rPr>
          <w:t>Bijlage 5: Rapporteringsmodel niet-exogene kosten</w:t>
        </w:r>
        <w:r w:rsidR="0069199B">
          <w:rPr>
            <w:webHidden/>
          </w:rPr>
          <w:tab/>
        </w:r>
        <w:r w:rsidR="0069199B">
          <w:rPr>
            <w:webHidden/>
          </w:rPr>
          <w:fldChar w:fldCharType="begin"/>
        </w:r>
        <w:r w:rsidR="0069199B">
          <w:rPr>
            <w:webHidden/>
          </w:rPr>
          <w:instrText xml:space="preserve"> PAGEREF _Toc454186739 \h </w:instrText>
        </w:r>
        <w:r w:rsidR="0069199B">
          <w:rPr>
            <w:webHidden/>
          </w:rPr>
        </w:r>
        <w:r w:rsidR="0069199B">
          <w:rPr>
            <w:webHidden/>
          </w:rPr>
          <w:fldChar w:fldCharType="separate"/>
        </w:r>
        <w:r w:rsidR="0069199B">
          <w:rPr>
            <w:webHidden/>
          </w:rPr>
          <w:t>84</w:t>
        </w:r>
        <w:r w:rsidR="0069199B">
          <w:rPr>
            <w:webHidden/>
          </w:rPr>
          <w:fldChar w:fldCharType="end"/>
        </w:r>
      </w:hyperlink>
    </w:p>
    <w:p w14:paraId="14B04026" w14:textId="77777777" w:rsidR="0069199B" w:rsidRDefault="000937A6">
      <w:pPr>
        <w:pStyle w:val="Inhopg2"/>
        <w:rPr>
          <w:rFonts w:asciiTheme="minorHAnsi" w:eastAsiaTheme="minorEastAsia" w:hAnsiTheme="minorHAnsi" w:cstheme="minorBidi"/>
          <w:smallCaps w:val="0"/>
          <w:sz w:val="22"/>
          <w:szCs w:val="22"/>
          <w:lang w:val="nl-BE" w:eastAsia="nl-BE"/>
        </w:rPr>
      </w:pPr>
      <w:hyperlink w:anchor="_Toc454186740" w:history="1">
        <w:r w:rsidR="0069199B" w:rsidRPr="00E41199">
          <w:rPr>
            <w:rStyle w:val="Hyperlink"/>
          </w:rPr>
          <w:t>10.6</w:t>
        </w:r>
        <w:r w:rsidR="0069199B">
          <w:rPr>
            <w:rFonts w:asciiTheme="minorHAnsi" w:eastAsiaTheme="minorEastAsia" w:hAnsiTheme="minorHAnsi" w:cstheme="minorBidi"/>
            <w:smallCaps w:val="0"/>
            <w:sz w:val="22"/>
            <w:szCs w:val="22"/>
            <w:lang w:val="nl-BE" w:eastAsia="nl-BE"/>
          </w:rPr>
          <w:tab/>
        </w:r>
        <w:r w:rsidR="0069199B" w:rsidRPr="00E41199">
          <w:rPr>
            <w:rStyle w:val="Hyperlink"/>
          </w:rPr>
          <w:t>Bijlage 6: Door distributienetbeheerder in te dienen toelichting bij rapporteringsmodel niet-exogene kosten</w:t>
        </w:r>
        <w:r w:rsidR="0069199B">
          <w:rPr>
            <w:webHidden/>
          </w:rPr>
          <w:tab/>
        </w:r>
        <w:r w:rsidR="0069199B">
          <w:rPr>
            <w:webHidden/>
          </w:rPr>
          <w:fldChar w:fldCharType="begin"/>
        </w:r>
        <w:r w:rsidR="0069199B">
          <w:rPr>
            <w:webHidden/>
          </w:rPr>
          <w:instrText xml:space="preserve"> PAGEREF _Toc454186740 \h </w:instrText>
        </w:r>
        <w:r w:rsidR="0069199B">
          <w:rPr>
            <w:webHidden/>
          </w:rPr>
        </w:r>
        <w:r w:rsidR="0069199B">
          <w:rPr>
            <w:webHidden/>
          </w:rPr>
          <w:fldChar w:fldCharType="separate"/>
        </w:r>
        <w:r w:rsidR="0069199B">
          <w:rPr>
            <w:webHidden/>
          </w:rPr>
          <w:t>84</w:t>
        </w:r>
        <w:r w:rsidR="0069199B">
          <w:rPr>
            <w:webHidden/>
          </w:rPr>
          <w:fldChar w:fldCharType="end"/>
        </w:r>
      </w:hyperlink>
    </w:p>
    <w:p w14:paraId="48999C24" w14:textId="77777777" w:rsidR="0069199B" w:rsidRDefault="000937A6">
      <w:pPr>
        <w:pStyle w:val="Inhopg2"/>
        <w:rPr>
          <w:rFonts w:asciiTheme="minorHAnsi" w:eastAsiaTheme="minorEastAsia" w:hAnsiTheme="minorHAnsi" w:cstheme="minorBidi"/>
          <w:smallCaps w:val="0"/>
          <w:sz w:val="22"/>
          <w:szCs w:val="22"/>
          <w:lang w:val="nl-BE" w:eastAsia="nl-BE"/>
        </w:rPr>
      </w:pPr>
      <w:hyperlink w:anchor="_Toc454186741" w:history="1">
        <w:r w:rsidR="0069199B" w:rsidRPr="00E41199">
          <w:rPr>
            <w:rStyle w:val="Hyperlink"/>
          </w:rPr>
          <w:t>10.7</w:t>
        </w:r>
        <w:r w:rsidR="0069199B">
          <w:rPr>
            <w:rFonts w:asciiTheme="minorHAnsi" w:eastAsiaTheme="minorEastAsia" w:hAnsiTheme="minorHAnsi" w:cstheme="minorBidi"/>
            <w:smallCaps w:val="0"/>
            <w:sz w:val="22"/>
            <w:szCs w:val="22"/>
            <w:lang w:val="nl-BE" w:eastAsia="nl-BE"/>
          </w:rPr>
          <w:tab/>
        </w:r>
        <w:r w:rsidR="0069199B" w:rsidRPr="00E41199">
          <w:rPr>
            <w:rStyle w:val="Hyperlink"/>
          </w:rPr>
          <w:t>Bijlage 7: Rapporteringsmodel tariefvoorstel</w:t>
        </w:r>
        <w:r w:rsidR="0069199B">
          <w:rPr>
            <w:webHidden/>
          </w:rPr>
          <w:tab/>
        </w:r>
        <w:r w:rsidR="0069199B">
          <w:rPr>
            <w:webHidden/>
          </w:rPr>
          <w:fldChar w:fldCharType="begin"/>
        </w:r>
        <w:r w:rsidR="0069199B">
          <w:rPr>
            <w:webHidden/>
          </w:rPr>
          <w:instrText xml:space="preserve"> PAGEREF _Toc454186741 \h </w:instrText>
        </w:r>
        <w:r w:rsidR="0069199B">
          <w:rPr>
            <w:webHidden/>
          </w:rPr>
        </w:r>
        <w:r w:rsidR="0069199B">
          <w:rPr>
            <w:webHidden/>
          </w:rPr>
          <w:fldChar w:fldCharType="separate"/>
        </w:r>
        <w:r w:rsidR="0069199B">
          <w:rPr>
            <w:webHidden/>
          </w:rPr>
          <w:t>84</w:t>
        </w:r>
        <w:r w:rsidR="0069199B">
          <w:rPr>
            <w:webHidden/>
          </w:rPr>
          <w:fldChar w:fldCharType="end"/>
        </w:r>
      </w:hyperlink>
    </w:p>
    <w:p w14:paraId="4807DC9B" w14:textId="77777777" w:rsidR="0069199B" w:rsidRDefault="000937A6">
      <w:pPr>
        <w:pStyle w:val="Inhopg2"/>
        <w:rPr>
          <w:rFonts w:asciiTheme="minorHAnsi" w:eastAsiaTheme="minorEastAsia" w:hAnsiTheme="minorHAnsi" w:cstheme="minorBidi"/>
          <w:smallCaps w:val="0"/>
          <w:sz w:val="22"/>
          <w:szCs w:val="22"/>
          <w:lang w:val="nl-BE" w:eastAsia="nl-BE"/>
        </w:rPr>
      </w:pPr>
      <w:hyperlink w:anchor="_Toc454186742" w:history="1">
        <w:r w:rsidR="0069199B" w:rsidRPr="00E41199">
          <w:rPr>
            <w:rStyle w:val="Hyperlink"/>
          </w:rPr>
          <w:t>10.8</w:t>
        </w:r>
        <w:r w:rsidR="0069199B">
          <w:rPr>
            <w:rFonts w:asciiTheme="minorHAnsi" w:eastAsiaTheme="minorEastAsia" w:hAnsiTheme="minorHAnsi" w:cstheme="minorBidi"/>
            <w:smallCaps w:val="0"/>
            <w:sz w:val="22"/>
            <w:szCs w:val="22"/>
            <w:lang w:val="nl-BE" w:eastAsia="nl-BE"/>
          </w:rPr>
          <w:tab/>
        </w:r>
        <w:r w:rsidR="0069199B" w:rsidRPr="00E41199">
          <w:rPr>
            <w:rStyle w:val="Hyperlink"/>
          </w:rPr>
          <w:t>Bijlage 8: In te dienen documenten door de distributienetbeheerder bij zijn tariefvoorstel</w:t>
        </w:r>
        <w:r w:rsidR="0069199B">
          <w:rPr>
            <w:webHidden/>
          </w:rPr>
          <w:tab/>
        </w:r>
        <w:r w:rsidR="0069199B">
          <w:rPr>
            <w:webHidden/>
          </w:rPr>
          <w:fldChar w:fldCharType="begin"/>
        </w:r>
        <w:r w:rsidR="0069199B">
          <w:rPr>
            <w:webHidden/>
          </w:rPr>
          <w:instrText xml:space="preserve"> PAGEREF _Toc454186742 \h </w:instrText>
        </w:r>
        <w:r w:rsidR="0069199B">
          <w:rPr>
            <w:webHidden/>
          </w:rPr>
        </w:r>
        <w:r w:rsidR="0069199B">
          <w:rPr>
            <w:webHidden/>
          </w:rPr>
          <w:fldChar w:fldCharType="separate"/>
        </w:r>
        <w:r w:rsidR="0069199B">
          <w:rPr>
            <w:webHidden/>
          </w:rPr>
          <w:t>84</w:t>
        </w:r>
        <w:r w:rsidR="0069199B">
          <w:rPr>
            <w:webHidden/>
          </w:rPr>
          <w:fldChar w:fldCharType="end"/>
        </w:r>
      </w:hyperlink>
    </w:p>
    <w:p w14:paraId="70A703BE" w14:textId="77777777" w:rsidR="0069199B" w:rsidRDefault="000937A6">
      <w:pPr>
        <w:pStyle w:val="Inhopg2"/>
        <w:rPr>
          <w:rFonts w:asciiTheme="minorHAnsi" w:eastAsiaTheme="minorEastAsia" w:hAnsiTheme="minorHAnsi" w:cstheme="minorBidi"/>
          <w:smallCaps w:val="0"/>
          <w:sz w:val="22"/>
          <w:szCs w:val="22"/>
          <w:lang w:val="nl-BE" w:eastAsia="nl-BE"/>
        </w:rPr>
      </w:pPr>
      <w:hyperlink w:anchor="_Toc454186743" w:history="1">
        <w:r w:rsidR="0069199B" w:rsidRPr="00E41199">
          <w:rPr>
            <w:rStyle w:val="Hyperlink"/>
          </w:rPr>
          <w:t>10.9</w:t>
        </w:r>
        <w:r w:rsidR="0069199B">
          <w:rPr>
            <w:rFonts w:asciiTheme="minorHAnsi" w:eastAsiaTheme="minorEastAsia" w:hAnsiTheme="minorHAnsi" w:cstheme="minorBidi"/>
            <w:smallCaps w:val="0"/>
            <w:sz w:val="22"/>
            <w:szCs w:val="22"/>
            <w:lang w:val="nl-BE" w:eastAsia="nl-BE"/>
          </w:rPr>
          <w:tab/>
        </w:r>
        <w:r w:rsidR="0069199B" w:rsidRPr="00E41199">
          <w:rPr>
            <w:rStyle w:val="Hyperlink"/>
          </w:rPr>
          <w:t>Bijlage 9: Jaarlijks ex-post rapporteringsmodel niet-exogene kosten</w:t>
        </w:r>
        <w:r w:rsidR="0069199B">
          <w:rPr>
            <w:webHidden/>
          </w:rPr>
          <w:tab/>
        </w:r>
        <w:r w:rsidR="0069199B">
          <w:rPr>
            <w:webHidden/>
          </w:rPr>
          <w:fldChar w:fldCharType="begin"/>
        </w:r>
        <w:r w:rsidR="0069199B">
          <w:rPr>
            <w:webHidden/>
          </w:rPr>
          <w:instrText xml:space="preserve"> PAGEREF _Toc454186743 \h </w:instrText>
        </w:r>
        <w:r w:rsidR="0069199B">
          <w:rPr>
            <w:webHidden/>
          </w:rPr>
        </w:r>
        <w:r w:rsidR="0069199B">
          <w:rPr>
            <w:webHidden/>
          </w:rPr>
          <w:fldChar w:fldCharType="separate"/>
        </w:r>
        <w:r w:rsidR="0069199B">
          <w:rPr>
            <w:webHidden/>
          </w:rPr>
          <w:t>84</w:t>
        </w:r>
        <w:r w:rsidR="0069199B">
          <w:rPr>
            <w:webHidden/>
          </w:rPr>
          <w:fldChar w:fldCharType="end"/>
        </w:r>
      </w:hyperlink>
    </w:p>
    <w:p w14:paraId="3AF5123D" w14:textId="77777777" w:rsidR="00762262" w:rsidRPr="00043B8D" w:rsidRDefault="00FD6E69" w:rsidP="00D45C86">
      <w:r w:rsidRPr="00043B8D">
        <w:fldChar w:fldCharType="end"/>
      </w:r>
    </w:p>
    <w:p w14:paraId="66C96E99" w14:textId="77777777" w:rsidR="00762262" w:rsidRPr="00043B8D" w:rsidRDefault="00762262">
      <w:pPr>
        <w:jc w:val="left"/>
      </w:pPr>
      <w:r w:rsidRPr="00043B8D">
        <w:br w:type="page"/>
      </w:r>
    </w:p>
    <w:p w14:paraId="58A4C583" w14:textId="77777777" w:rsidR="001C12A6" w:rsidRPr="00043B8D" w:rsidRDefault="001C12A6" w:rsidP="001C12A6">
      <w:pPr>
        <w:pStyle w:val="Kop1"/>
      </w:pPr>
      <w:bookmarkStart w:id="1" w:name="_Toc454186643"/>
      <w:r w:rsidRPr="00043B8D">
        <w:t>Begrippenlijst</w:t>
      </w:r>
      <w:bookmarkEnd w:id="1"/>
    </w:p>
    <w:p w14:paraId="443A1BF0" w14:textId="77777777" w:rsidR="00973780" w:rsidRPr="00043B8D" w:rsidRDefault="00973780" w:rsidP="001C12A6"/>
    <w:p w14:paraId="044EAEDE" w14:textId="5FC64AA2" w:rsidR="0022216C" w:rsidRPr="00043B8D" w:rsidRDefault="001C12A6" w:rsidP="0022216C">
      <w:r w:rsidRPr="00043B8D">
        <w:t xml:space="preserve">Een aantal begrippen </w:t>
      </w:r>
      <w:r w:rsidR="00453D0C" w:rsidRPr="00043B8D">
        <w:t xml:space="preserve">in </w:t>
      </w:r>
      <w:r w:rsidRPr="00043B8D">
        <w:t>de tekst word</w:t>
      </w:r>
      <w:r w:rsidR="00763268" w:rsidRPr="00043B8D">
        <w:t>en</w:t>
      </w:r>
      <w:r w:rsidR="00453D0C" w:rsidRPr="00043B8D">
        <w:t xml:space="preserve"> </w:t>
      </w:r>
      <w:r w:rsidRPr="00043B8D">
        <w:t>inhoudelijk verklaard in het Energiedecreet (art. 1.1.3) of in de begrippenlijst</w:t>
      </w:r>
      <w:r w:rsidR="0022216C" w:rsidRPr="00043B8D">
        <w:t>en</w:t>
      </w:r>
      <w:r w:rsidRPr="00043B8D">
        <w:t xml:space="preserve"> </w:t>
      </w:r>
      <w:r w:rsidR="0022216C" w:rsidRPr="00043B8D">
        <w:t xml:space="preserve">van </w:t>
      </w:r>
      <w:r w:rsidRPr="00043B8D">
        <w:t xml:space="preserve">het Technisch Reglement Distributie Elektriciteit en het Technisch Reglement Distributie Gas. </w:t>
      </w:r>
      <w:r w:rsidR="0022216C" w:rsidRPr="00043B8D">
        <w:t>Ze</w:t>
      </w:r>
      <w:r w:rsidRPr="00043B8D">
        <w:t xml:space="preserve"> worden </w:t>
      </w:r>
      <w:r w:rsidR="00763268" w:rsidRPr="00043B8D">
        <w:t>in deze begrippenlijst</w:t>
      </w:r>
      <w:r w:rsidRPr="00043B8D">
        <w:t xml:space="preserve"> niet </w:t>
      </w:r>
      <w:r w:rsidR="0022216C" w:rsidRPr="00043B8D">
        <w:t>opnieuw vermeld</w:t>
      </w:r>
      <w:r w:rsidRPr="00043B8D">
        <w:t>.</w:t>
      </w:r>
      <w:r w:rsidR="0022216C" w:rsidRPr="00043B8D">
        <w:t xml:space="preserve"> </w:t>
      </w:r>
    </w:p>
    <w:p w14:paraId="5997249B" w14:textId="77777777" w:rsidR="001C12A6" w:rsidRPr="00043B8D" w:rsidRDefault="001C12A6" w:rsidP="001C12A6"/>
    <w:tbl>
      <w:tblPr>
        <w:tblW w:w="9284" w:type="dxa"/>
        <w:tblCellMar>
          <w:top w:w="57" w:type="dxa"/>
          <w:left w:w="70" w:type="dxa"/>
          <w:bottom w:w="57" w:type="dxa"/>
          <w:right w:w="70" w:type="dxa"/>
        </w:tblCellMar>
        <w:tblLook w:val="0000" w:firstRow="0" w:lastRow="0" w:firstColumn="0" w:lastColumn="0" w:noHBand="0" w:noVBand="0"/>
      </w:tblPr>
      <w:tblGrid>
        <w:gridCol w:w="9284"/>
      </w:tblGrid>
      <w:tr w:rsidR="00B41023" w:rsidRPr="00043B8D" w14:paraId="72245A06" w14:textId="77777777" w:rsidTr="004D49B3">
        <w:trPr>
          <w:cantSplit/>
          <w:trHeight w:val="20"/>
        </w:trPr>
        <w:tc>
          <w:tcPr>
            <w:tcW w:w="9284" w:type="dxa"/>
            <w:tcBorders>
              <w:top w:val="nil"/>
              <w:left w:val="nil"/>
              <w:bottom w:val="nil"/>
              <w:right w:val="nil"/>
            </w:tcBorders>
            <w:shd w:val="clear" w:color="auto" w:fill="auto"/>
            <w:noWrap/>
          </w:tcPr>
          <w:p w14:paraId="68752BF6" w14:textId="4F0FE584" w:rsidR="00B41023" w:rsidRPr="00043B8D" w:rsidRDefault="00B41023" w:rsidP="004D49B3">
            <w:pPr>
              <w:rPr>
                <w:rFonts w:cs="Tahoma"/>
                <w:bCs/>
                <w:lang w:eastAsia="nl-NL"/>
              </w:rPr>
            </w:pPr>
            <w:r w:rsidRPr="00043B8D">
              <w:rPr>
                <w:rFonts w:cs="Tahoma"/>
                <w:b/>
                <w:bCs/>
                <w:lang w:eastAsia="nl-NL"/>
              </w:rPr>
              <w:t xml:space="preserve">ACM: </w:t>
            </w:r>
            <w:r w:rsidR="0077642D" w:rsidRPr="00043B8D">
              <w:rPr>
                <w:rFonts w:cs="Tahoma"/>
                <w:bCs/>
                <w:lang w:eastAsia="nl-NL"/>
              </w:rPr>
              <w:t>de Nederlandse toezichthouder</w:t>
            </w:r>
            <w:r w:rsidR="0077642D" w:rsidRPr="00043B8D">
              <w:rPr>
                <w:rFonts w:cs="Tahoma"/>
                <w:b/>
                <w:bCs/>
                <w:lang w:eastAsia="nl-NL"/>
              </w:rPr>
              <w:t xml:space="preserve"> </w:t>
            </w:r>
            <w:hyperlink r:id="rId10" w:history="1">
              <w:r w:rsidRPr="00043B8D">
                <w:rPr>
                  <w:rStyle w:val="Hyperlink"/>
                  <w:rFonts w:cs="Tahoma"/>
                  <w:bCs/>
                  <w:color w:val="auto"/>
                  <w:lang w:eastAsia="nl-NL"/>
                </w:rPr>
                <w:t>Autoriteit Consument &amp; Markt</w:t>
              </w:r>
            </w:hyperlink>
            <w:r w:rsidRPr="00043B8D">
              <w:rPr>
                <w:rFonts w:cs="Tahoma"/>
                <w:bCs/>
                <w:lang w:eastAsia="nl-NL"/>
              </w:rPr>
              <w:t>;</w:t>
            </w:r>
          </w:p>
        </w:tc>
      </w:tr>
      <w:tr w:rsidR="00B41023" w:rsidRPr="00043B8D" w14:paraId="1A9375FD" w14:textId="77777777" w:rsidTr="004D49B3">
        <w:trPr>
          <w:cantSplit/>
          <w:trHeight w:val="20"/>
        </w:trPr>
        <w:tc>
          <w:tcPr>
            <w:tcW w:w="9284" w:type="dxa"/>
            <w:tcBorders>
              <w:top w:val="nil"/>
              <w:left w:val="nil"/>
              <w:bottom w:val="nil"/>
              <w:right w:val="nil"/>
            </w:tcBorders>
            <w:shd w:val="clear" w:color="auto" w:fill="auto"/>
            <w:noWrap/>
          </w:tcPr>
          <w:p w14:paraId="6CE61A66" w14:textId="77777777" w:rsidR="009967B6" w:rsidRPr="00043B8D" w:rsidRDefault="00B41023" w:rsidP="004D49B3">
            <w:pPr>
              <w:rPr>
                <w:rFonts w:cs="Tahoma"/>
                <w:bCs/>
                <w:lang w:eastAsia="nl-NL"/>
              </w:rPr>
            </w:pPr>
            <w:r w:rsidRPr="00043B8D">
              <w:rPr>
                <w:rFonts w:cs="Tahoma"/>
                <w:b/>
                <w:bCs/>
                <w:lang w:eastAsia="nl-NL"/>
              </w:rPr>
              <w:t xml:space="preserve">Administratieve geldboete: </w:t>
            </w:r>
            <w:r w:rsidRPr="00043B8D">
              <w:rPr>
                <w:rFonts w:cs="Tahoma"/>
                <w:bCs/>
                <w:lang w:eastAsia="nl-NL"/>
              </w:rPr>
              <w:t xml:space="preserve">Een boete die wordt opgelegd door een ambtenaar of een lid van de uitvoerende macht. Een administratieve geldboete wordt dus rechtstreeks door de administratie aan de </w:t>
            </w:r>
          </w:p>
          <w:p w14:paraId="779E9A54" w14:textId="528FB27D" w:rsidR="00B41023" w:rsidRPr="00043B8D" w:rsidRDefault="00B41023" w:rsidP="004D49B3">
            <w:pPr>
              <w:rPr>
                <w:rFonts w:cs="Tahoma"/>
                <w:b/>
                <w:bCs/>
                <w:lang w:eastAsia="nl-NL"/>
              </w:rPr>
            </w:pPr>
            <w:r w:rsidRPr="00043B8D">
              <w:rPr>
                <w:rFonts w:cs="Tahoma"/>
                <w:bCs/>
                <w:lang w:eastAsia="nl-NL"/>
              </w:rPr>
              <w:t>overtreder opgelegd</w:t>
            </w:r>
            <w:r w:rsidR="00FD2ED4" w:rsidRPr="00043B8D">
              <w:rPr>
                <w:rFonts w:cs="Tahoma"/>
                <w:bCs/>
                <w:lang w:eastAsia="nl-NL"/>
              </w:rPr>
              <w:t>;</w:t>
            </w:r>
            <w:r w:rsidRPr="00043B8D">
              <w:rPr>
                <w:rFonts w:cs="Tahoma"/>
                <w:bCs/>
                <w:lang w:eastAsia="nl-NL"/>
              </w:rPr>
              <w:t xml:space="preserve"> </w:t>
            </w:r>
          </w:p>
        </w:tc>
      </w:tr>
      <w:tr w:rsidR="00B41023" w:rsidRPr="00043B8D" w14:paraId="0822348D" w14:textId="77777777" w:rsidTr="004D49B3">
        <w:trPr>
          <w:cantSplit/>
          <w:trHeight w:val="20"/>
        </w:trPr>
        <w:tc>
          <w:tcPr>
            <w:tcW w:w="9284" w:type="dxa"/>
            <w:tcBorders>
              <w:top w:val="nil"/>
              <w:left w:val="nil"/>
              <w:bottom w:val="nil"/>
              <w:right w:val="nil"/>
            </w:tcBorders>
            <w:shd w:val="clear" w:color="auto" w:fill="auto"/>
            <w:noWrap/>
          </w:tcPr>
          <w:p w14:paraId="26222CED" w14:textId="6355FE07" w:rsidR="00B41023" w:rsidRPr="00043B8D" w:rsidRDefault="009967B6" w:rsidP="009967B6">
            <w:pPr>
              <w:rPr>
                <w:rFonts w:cs="Tahoma"/>
                <w:bCs/>
                <w:lang w:eastAsia="nl-NL"/>
              </w:rPr>
            </w:pPr>
            <w:r w:rsidRPr="00043B8D">
              <w:rPr>
                <w:rFonts w:cs="Tahoma"/>
                <w:b/>
                <w:bCs/>
                <w:lang w:eastAsia="nl-NL"/>
              </w:rPr>
              <w:t>[…]</w:t>
            </w:r>
            <w:r w:rsidRPr="00043B8D">
              <w:rPr>
                <w:rStyle w:val="Voetnootmarkering"/>
                <w:rFonts w:cs="Tahoma"/>
                <w:b/>
                <w:bCs/>
                <w:lang w:eastAsia="nl-NL"/>
              </w:rPr>
              <w:footnoteReference w:id="1"/>
            </w:r>
          </w:p>
        </w:tc>
      </w:tr>
      <w:tr w:rsidR="00B41023" w:rsidRPr="00043B8D" w14:paraId="6C02F2DE" w14:textId="77777777" w:rsidTr="004D49B3">
        <w:trPr>
          <w:cantSplit/>
          <w:trHeight w:val="20"/>
        </w:trPr>
        <w:tc>
          <w:tcPr>
            <w:tcW w:w="9284" w:type="dxa"/>
            <w:tcBorders>
              <w:top w:val="nil"/>
              <w:left w:val="nil"/>
              <w:bottom w:val="nil"/>
              <w:right w:val="nil"/>
            </w:tcBorders>
            <w:shd w:val="clear" w:color="auto" w:fill="auto"/>
            <w:noWrap/>
          </w:tcPr>
          <w:p w14:paraId="2346BE65" w14:textId="77777777" w:rsidR="00B41023" w:rsidRPr="00043B8D" w:rsidRDefault="00B41023" w:rsidP="004D49B3">
            <w:pPr>
              <w:rPr>
                <w:rFonts w:cs="Tahoma"/>
                <w:b/>
                <w:bCs/>
                <w:lang w:eastAsia="nl-NL"/>
              </w:rPr>
            </w:pPr>
            <w:r w:rsidRPr="00043B8D">
              <w:rPr>
                <w:rFonts w:cs="Tahoma"/>
                <w:b/>
                <w:bCs/>
                <w:lang w:eastAsia="nl-NL"/>
              </w:rPr>
              <w:t>Auditinstructie:</w:t>
            </w:r>
            <w:r w:rsidRPr="00043B8D">
              <w:rPr>
                <w:rFonts w:cs="Tahoma"/>
                <w:bCs/>
                <w:lang w:eastAsia="nl-NL"/>
              </w:rPr>
              <w:t xml:space="preserve"> Richtlijnen die meer duidelijkheid dienen te geven omtrent de opdracht van de commissaris inzake de attestering van de rapporteringsmodellen;</w:t>
            </w:r>
          </w:p>
        </w:tc>
      </w:tr>
      <w:tr w:rsidR="00B41023" w:rsidRPr="00043B8D" w14:paraId="610B7E94" w14:textId="77777777" w:rsidTr="004D49B3">
        <w:trPr>
          <w:cantSplit/>
          <w:trHeight w:val="20"/>
        </w:trPr>
        <w:tc>
          <w:tcPr>
            <w:tcW w:w="9284" w:type="dxa"/>
            <w:tcBorders>
              <w:top w:val="nil"/>
              <w:left w:val="nil"/>
              <w:bottom w:val="nil"/>
              <w:right w:val="nil"/>
            </w:tcBorders>
            <w:shd w:val="clear" w:color="auto" w:fill="auto"/>
            <w:noWrap/>
          </w:tcPr>
          <w:p w14:paraId="482C281B" w14:textId="025B2DA7" w:rsidR="00B41023" w:rsidRPr="00043B8D" w:rsidRDefault="00B41023" w:rsidP="004D49B3">
            <w:pPr>
              <w:rPr>
                <w:rFonts w:cs="Tahoma"/>
                <w:bCs/>
                <w:lang w:eastAsia="nl-NL"/>
              </w:rPr>
            </w:pPr>
            <w:r w:rsidRPr="00043B8D">
              <w:rPr>
                <w:rFonts w:cs="Tahoma"/>
                <w:b/>
                <w:bCs/>
                <w:lang w:eastAsia="nl-NL"/>
              </w:rPr>
              <w:t xml:space="preserve">Bruto operationele kosten: </w:t>
            </w:r>
            <w:r w:rsidRPr="00043B8D">
              <w:rPr>
                <w:rFonts w:cs="Tahoma"/>
                <w:bCs/>
                <w:lang w:eastAsia="nl-NL"/>
              </w:rPr>
              <w:t>Het geheel van de boekhoudkundige klassen 60, 61, 62, 631/4, 640/8, 649, 66  die voor een specifieke gereguleerde activiteit worden beschouwd</w:t>
            </w:r>
            <w:r w:rsidR="00FD2ED4" w:rsidRPr="00043B8D">
              <w:rPr>
                <w:rFonts w:cs="Tahoma"/>
                <w:bCs/>
                <w:lang w:eastAsia="nl-NL"/>
              </w:rPr>
              <w:t>;</w:t>
            </w:r>
          </w:p>
        </w:tc>
      </w:tr>
      <w:tr w:rsidR="00B41023" w:rsidRPr="00043B8D" w14:paraId="5EC4AD80" w14:textId="77777777" w:rsidTr="004D49B3">
        <w:trPr>
          <w:cantSplit/>
          <w:trHeight w:val="20"/>
        </w:trPr>
        <w:tc>
          <w:tcPr>
            <w:tcW w:w="9284" w:type="dxa"/>
            <w:tcBorders>
              <w:top w:val="nil"/>
              <w:left w:val="nil"/>
              <w:bottom w:val="nil"/>
              <w:right w:val="nil"/>
            </w:tcBorders>
            <w:shd w:val="clear" w:color="auto" w:fill="auto"/>
            <w:noWrap/>
          </w:tcPr>
          <w:p w14:paraId="1103EDC1" w14:textId="4DCAC8C5" w:rsidR="00B41023" w:rsidRPr="00043B8D" w:rsidRDefault="00B41023" w:rsidP="004D49B3">
            <w:pPr>
              <w:rPr>
                <w:rFonts w:cs="Tahoma"/>
                <w:b/>
                <w:bCs/>
                <w:lang w:eastAsia="nl-NL"/>
              </w:rPr>
            </w:pPr>
            <w:r w:rsidRPr="00043B8D">
              <w:rPr>
                <w:rFonts w:cs="Tahoma"/>
                <w:b/>
                <w:bCs/>
                <w:lang w:eastAsia="nl-NL"/>
              </w:rPr>
              <w:t xml:space="preserve">Bruto operationele opbrengsten: </w:t>
            </w:r>
            <w:r w:rsidRPr="00043B8D">
              <w:rPr>
                <w:rFonts w:cs="Tahoma"/>
                <w:bCs/>
                <w:lang w:eastAsia="nl-NL"/>
              </w:rPr>
              <w:t>Het geheel van de boekhoudkundige klassen 70 (met uitzondering van de omzet uit de periodieke distributienettarieven), 71, 72, 74, 76  die voor een specifieke gereguleerde activiteit worden beschouwd</w:t>
            </w:r>
            <w:r w:rsidR="00FD2ED4" w:rsidRPr="00043B8D">
              <w:rPr>
                <w:rFonts w:cs="Tahoma"/>
                <w:bCs/>
                <w:lang w:eastAsia="nl-NL"/>
              </w:rPr>
              <w:t>;</w:t>
            </w:r>
          </w:p>
        </w:tc>
      </w:tr>
      <w:tr w:rsidR="00B41023" w:rsidRPr="00043B8D" w14:paraId="6584BE9D" w14:textId="77777777" w:rsidTr="004D49B3">
        <w:trPr>
          <w:cantSplit/>
          <w:trHeight w:val="20"/>
        </w:trPr>
        <w:tc>
          <w:tcPr>
            <w:tcW w:w="9284" w:type="dxa"/>
            <w:tcBorders>
              <w:top w:val="nil"/>
              <w:left w:val="nil"/>
              <w:bottom w:val="nil"/>
              <w:right w:val="nil"/>
            </w:tcBorders>
            <w:shd w:val="clear" w:color="auto" w:fill="auto"/>
            <w:noWrap/>
          </w:tcPr>
          <w:p w14:paraId="3A40DDAB" w14:textId="77777777" w:rsidR="00B41023" w:rsidRPr="00043B8D" w:rsidRDefault="00B41023" w:rsidP="004D49B3">
            <w:pPr>
              <w:rPr>
                <w:rFonts w:cs="Tahoma"/>
                <w:bCs/>
                <w:lang w:eastAsia="nl-NL"/>
              </w:rPr>
            </w:pPr>
            <w:r w:rsidRPr="00043B8D">
              <w:rPr>
                <w:rFonts w:cs="Tahoma"/>
                <w:b/>
                <w:bCs/>
                <w:lang w:eastAsia="nl-NL"/>
              </w:rPr>
              <w:t>Budget:</w:t>
            </w:r>
            <w:r w:rsidRPr="00043B8D">
              <w:rPr>
                <w:rFonts w:cs="Tahoma"/>
                <w:bCs/>
                <w:lang w:eastAsia="nl-NL"/>
              </w:rPr>
              <w:t xml:space="preserve"> De begroting van de financiële resultaten waarbij verschillende factoren (bv wetgeving, marktomstandigheden, historische evolutie van de financiële resultaten,…) in rekening worden genomen;</w:t>
            </w:r>
          </w:p>
        </w:tc>
      </w:tr>
      <w:tr w:rsidR="00B41023" w:rsidRPr="00043B8D" w14:paraId="5697405D" w14:textId="77777777" w:rsidTr="004D49B3">
        <w:trPr>
          <w:cantSplit/>
          <w:trHeight w:val="20"/>
        </w:trPr>
        <w:tc>
          <w:tcPr>
            <w:tcW w:w="9284" w:type="dxa"/>
            <w:tcBorders>
              <w:top w:val="nil"/>
              <w:left w:val="nil"/>
              <w:bottom w:val="nil"/>
              <w:right w:val="nil"/>
            </w:tcBorders>
            <w:shd w:val="clear" w:color="auto" w:fill="auto"/>
            <w:noWrap/>
          </w:tcPr>
          <w:p w14:paraId="3091708B" w14:textId="48A3A4B5" w:rsidR="00B41023" w:rsidRPr="00043B8D" w:rsidRDefault="00B41023" w:rsidP="004D49B3">
            <w:pPr>
              <w:rPr>
                <w:rFonts w:cs="Tahoma"/>
                <w:bCs/>
                <w:lang w:eastAsia="nl-NL"/>
              </w:rPr>
            </w:pPr>
            <w:r w:rsidRPr="00043B8D">
              <w:rPr>
                <w:rFonts w:cs="Tahoma"/>
                <w:b/>
                <w:bCs/>
                <w:lang w:eastAsia="nl-NL"/>
              </w:rPr>
              <w:t xml:space="preserve">Burgerlijke geldboete: </w:t>
            </w:r>
            <w:r w:rsidRPr="00043B8D">
              <w:rPr>
                <w:rFonts w:cs="Tahoma"/>
                <w:bCs/>
                <w:lang w:eastAsia="nl-NL"/>
              </w:rPr>
              <w:t xml:space="preserve">Een geldboete die door een </w:t>
            </w:r>
            <w:r w:rsidR="008107EE" w:rsidRPr="00043B8D">
              <w:rPr>
                <w:rFonts w:cs="Tahoma"/>
                <w:bCs/>
                <w:lang w:eastAsia="nl-NL"/>
              </w:rPr>
              <w:t>rechter/raadsheer van de rechterlijke macht</w:t>
            </w:r>
            <w:r w:rsidRPr="00043B8D">
              <w:rPr>
                <w:rFonts w:cs="Tahoma"/>
                <w:bCs/>
                <w:lang w:eastAsia="nl-NL"/>
              </w:rPr>
              <w:t xml:space="preserve"> wordt uitgesproken in de gevallen bij de wet bepaald en die niet onderworpen is aan de regels betreffende de strafrechtelijke geldboete</w:t>
            </w:r>
            <w:r w:rsidR="00FD2ED4" w:rsidRPr="00043B8D">
              <w:rPr>
                <w:rFonts w:cs="Tahoma"/>
                <w:bCs/>
                <w:lang w:eastAsia="nl-NL"/>
              </w:rPr>
              <w:t>;</w:t>
            </w:r>
          </w:p>
        </w:tc>
      </w:tr>
      <w:tr w:rsidR="00B41023" w:rsidRPr="00043B8D" w14:paraId="5577A822" w14:textId="77777777" w:rsidTr="004D49B3">
        <w:trPr>
          <w:cantSplit/>
          <w:trHeight w:val="20"/>
        </w:trPr>
        <w:tc>
          <w:tcPr>
            <w:tcW w:w="9284" w:type="dxa"/>
            <w:tcBorders>
              <w:top w:val="nil"/>
              <w:left w:val="nil"/>
              <w:bottom w:val="nil"/>
              <w:right w:val="nil"/>
            </w:tcBorders>
            <w:shd w:val="clear" w:color="auto" w:fill="auto"/>
            <w:noWrap/>
          </w:tcPr>
          <w:p w14:paraId="038D0EA6" w14:textId="77777777" w:rsidR="00B41023" w:rsidRPr="00043B8D" w:rsidRDefault="00B41023" w:rsidP="004D49B3">
            <w:pPr>
              <w:rPr>
                <w:rFonts w:cs="Tahoma"/>
                <w:b/>
                <w:bCs/>
                <w:lang w:eastAsia="nl-NL"/>
              </w:rPr>
            </w:pPr>
            <w:r w:rsidRPr="00043B8D">
              <w:rPr>
                <w:rFonts w:cs="Tahoma"/>
                <w:b/>
                <w:bCs/>
                <w:lang w:eastAsia="nl-NL"/>
              </w:rPr>
              <w:t>Commissaris:</w:t>
            </w:r>
            <w:r w:rsidRPr="00043B8D">
              <w:rPr>
                <w:rFonts w:cs="Tahoma"/>
                <w:bCs/>
                <w:lang w:eastAsia="nl-NL"/>
              </w:rPr>
              <w:t xml:space="preserve"> De rechtspersoon of natuurlijke persoon aan wie de controle van de jaarrekening werd toevertrouwd in overeenstemming met </w:t>
            </w:r>
            <w:hyperlink r:id="rId11" w:history="1">
              <w:r w:rsidRPr="00043B8D">
                <w:rPr>
                  <w:rStyle w:val="Hyperlink"/>
                  <w:rFonts w:cs="Tahoma"/>
                  <w:bCs/>
                  <w:color w:val="auto"/>
                  <w:lang w:eastAsia="nl-NL"/>
                </w:rPr>
                <w:t>artikel 130 (en volgende) van het Wetboek van Vennootschappen</w:t>
              </w:r>
            </w:hyperlink>
            <w:r w:rsidRPr="00043B8D">
              <w:rPr>
                <w:rFonts w:cs="Tahoma"/>
                <w:bCs/>
                <w:lang w:eastAsia="nl-NL"/>
              </w:rPr>
              <w:t>;</w:t>
            </w:r>
          </w:p>
        </w:tc>
      </w:tr>
      <w:tr w:rsidR="00B41023" w:rsidRPr="00043B8D" w14:paraId="634C694F" w14:textId="77777777" w:rsidTr="004D49B3">
        <w:trPr>
          <w:cantSplit/>
          <w:trHeight w:val="20"/>
        </w:trPr>
        <w:tc>
          <w:tcPr>
            <w:tcW w:w="9284" w:type="dxa"/>
            <w:tcBorders>
              <w:top w:val="nil"/>
              <w:left w:val="nil"/>
              <w:bottom w:val="nil"/>
              <w:right w:val="nil"/>
            </w:tcBorders>
            <w:shd w:val="clear" w:color="auto" w:fill="auto"/>
            <w:noWrap/>
          </w:tcPr>
          <w:p w14:paraId="6A79F22C" w14:textId="77777777" w:rsidR="00B41023" w:rsidRPr="00043B8D" w:rsidRDefault="00B41023" w:rsidP="004D49B3">
            <w:pPr>
              <w:rPr>
                <w:rFonts w:cs="Tahoma"/>
                <w:lang w:eastAsia="nl-NL"/>
              </w:rPr>
            </w:pPr>
            <w:bookmarkStart w:id="2" w:name="RANGE!A1"/>
            <w:r w:rsidRPr="00043B8D">
              <w:rPr>
                <w:rFonts w:cs="Tahoma"/>
                <w:b/>
                <w:bCs/>
                <w:lang w:eastAsia="nl-NL"/>
              </w:rPr>
              <w:t>CREG:</w:t>
            </w:r>
            <w:r w:rsidRPr="00043B8D">
              <w:rPr>
                <w:rFonts w:cs="Tahoma"/>
                <w:lang w:eastAsia="nl-NL"/>
              </w:rPr>
              <w:t xml:space="preserve"> </w:t>
            </w:r>
            <w:hyperlink r:id="rId12" w:history="1">
              <w:r w:rsidRPr="00043B8D">
                <w:rPr>
                  <w:rStyle w:val="Hyperlink"/>
                  <w:rFonts w:cs="Tahoma"/>
                  <w:color w:val="auto"/>
                  <w:lang w:eastAsia="nl-NL"/>
                </w:rPr>
                <w:t>Commissie voor de Regulering van de Elektriciteit en het Gas</w:t>
              </w:r>
              <w:bookmarkEnd w:id="2"/>
            </w:hyperlink>
            <w:r w:rsidRPr="00043B8D">
              <w:rPr>
                <w:rFonts w:cs="Tahoma"/>
                <w:lang w:eastAsia="nl-NL"/>
              </w:rPr>
              <w:t>;</w:t>
            </w:r>
          </w:p>
        </w:tc>
      </w:tr>
      <w:tr w:rsidR="00B41023" w:rsidRPr="00043B8D" w14:paraId="5782E0DC" w14:textId="77777777" w:rsidTr="004D49B3">
        <w:trPr>
          <w:cantSplit/>
          <w:trHeight w:val="20"/>
        </w:trPr>
        <w:tc>
          <w:tcPr>
            <w:tcW w:w="9284" w:type="dxa"/>
            <w:tcBorders>
              <w:top w:val="nil"/>
              <w:left w:val="nil"/>
              <w:bottom w:val="nil"/>
              <w:right w:val="nil"/>
            </w:tcBorders>
            <w:shd w:val="clear" w:color="auto" w:fill="auto"/>
            <w:noWrap/>
          </w:tcPr>
          <w:p w14:paraId="0570E80D" w14:textId="77777777" w:rsidR="00B41023" w:rsidRPr="00043B8D" w:rsidRDefault="00B41023" w:rsidP="004D49B3">
            <w:pPr>
              <w:rPr>
                <w:rFonts w:cs="Tahoma"/>
                <w:b/>
                <w:bCs/>
                <w:lang w:eastAsia="nl-NL"/>
              </w:rPr>
            </w:pPr>
            <w:r w:rsidRPr="00043B8D">
              <w:rPr>
                <w:rFonts w:cs="Tahoma"/>
                <w:b/>
                <w:lang w:eastAsia="nl-NL"/>
              </w:rPr>
              <w:t xml:space="preserve">Directe kosten: </w:t>
            </w:r>
            <w:r w:rsidRPr="00043B8D">
              <w:rPr>
                <w:rFonts w:cs="Tahoma"/>
                <w:lang w:eastAsia="nl-NL"/>
              </w:rPr>
              <w:t>De kosten waarvoor bij de toerekening een direct verband kan gelegd worden met een dienst van de distributienetbeheerder;</w:t>
            </w:r>
          </w:p>
        </w:tc>
      </w:tr>
      <w:tr w:rsidR="00B41023" w:rsidRPr="00043B8D" w14:paraId="3F949961" w14:textId="77777777" w:rsidTr="004D49B3">
        <w:trPr>
          <w:cantSplit/>
          <w:trHeight w:val="20"/>
        </w:trPr>
        <w:tc>
          <w:tcPr>
            <w:tcW w:w="9284" w:type="dxa"/>
            <w:tcBorders>
              <w:top w:val="nil"/>
              <w:left w:val="nil"/>
              <w:bottom w:val="nil"/>
              <w:right w:val="nil"/>
            </w:tcBorders>
            <w:shd w:val="clear" w:color="auto" w:fill="auto"/>
            <w:noWrap/>
          </w:tcPr>
          <w:p w14:paraId="52F94338" w14:textId="1808F015" w:rsidR="00B41023" w:rsidRPr="00043B8D" w:rsidRDefault="00B41023" w:rsidP="004D49B3">
            <w:pPr>
              <w:rPr>
                <w:rFonts w:cs="Tahoma"/>
                <w:b/>
                <w:bCs/>
                <w:lang w:eastAsia="nl-NL"/>
              </w:rPr>
            </w:pPr>
            <w:r w:rsidRPr="00043B8D">
              <w:rPr>
                <w:rFonts w:cs="Tahoma"/>
                <w:b/>
                <w:bCs/>
                <w:lang w:eastAsia="nl-NL"/>
              </w:rPr>
              <w:t>Distributienetgebruiker</w:t>
            </w:r>
            <w:r w:rsidRPr="00043B8D">
              <w:rPr>
                <w:rFonts w:cs="Tahoma"/>
                <w:lang w:eastAsia="nl-NL"/>
              </w:rPr>
              <w:t>: Aardgasdistributienetgebruiker of elektriciteitsdistributienetgebruiker</w:t>
            </w:r>
            <w:r w:rsidR="00FD2ED4" w:rsidRPr="00043B8D">
              <w:rPr>
                <w:rFonts w:cs="Tahoma"/>
                <w:lang w:eastAsia="nl-NL"/>
              </w:rPr>
              <w:t>;</w:t>
            </w:r>
          </w:p>
        </w:tc>
      </w:tr>
      <w:tr w:rsidR="00B41023" w:rsidRPr="00043B8D" w14:paraId="4C198BA7" w14:textId="77777777" w:rsidTr="004D49B3">
        <w:trPr>
          <w:cantSplit/>
          <w:trHeight w:val="20"/>
        </w:trPr>
        <w:tc>
          <w:tcPr>
            <w:tcW w:w="9284" w:type="dxa"/>
            <w:tcBorders>
              <w:top w:val="nil"/>
              <w:left w:val="nil"/>
              <w:bottom w:val="nil"/>
              <w:right w:val="nil"/>
            </w:tcBorders>
            <w:shd w:val="clear" w:color="auto" w:fill="auto"/>
            <w:noWrap/>
          </w:tcPr>
          <w:p w14:paraId="42CCF681" w14:textId="77777777" w:rsidR="00B41023" w:rsidRPr="00043B8D" w:rsidRDefault="00B41023" w:rsidP="004D49B3">
            <w:pPr>
              <w:rPr>
                <w:rFonts w:cs="Tahoma"/>
                <w:b/>
                <w:bCs/>
                <w:lang w:eastAsia="nl-NL"/>
              </w:rPr>
            </w:pPr>
            <w:r w:rsidRPr="00043B8D">
              <w:rPr>
                <w:rFonts w:cs="Tahoma"/>
                <w:b/>
                <w:bCs/>
                <w:lang w:val="nl-BE" w:eastAsia="nl-NL"/>
              </w:rPr>
              <w:t>Dnb:</w:t>
            </w:r>
            <w:r w:rsidRPr="00043B8D">
              <w:rPr>
                <w:rFonts w:cs="Tahoma"/>
                <w:lang w:val="nl-BE" w:eastAsia="nl-NL"/>
              </w:rPr>
              <w:t xml:space="preserve"> Afkorting voor ‘distributienetbeheerder’;</w:t>
            </w:r>
          </w:p>
        </w:tc>
      </w:tr>
      <w:tr w:rsidR="00B41023" w:rsidRPr="00043B8D" w14:paraId="69371FBB" w14:textId="77777777" w:rsidTr="004D49B3">
        <w:trPr>
          <w:cantSplit/>
          <w:trHeight w:val="20"/>
        </w:trPr>
        <w:tc>
          <w:tcPr>
            <w:tcW w:w="9284" w:type="dxa"/>
            <w:tcBorders>
              <w:top w:val="nil"/>
              <w:left w:val="nil"/>
              <w:bottom w:val="nil"/>
              <w:right w:val="nil"/>
            </w:tcBorders>
            <w:shd w:val="clear" w:color="auto" w:fill="auto"/>
            <w:noWrap/>
          </w:tcPr>
          <w:p w14:paraId="0B0F68E0" w14:textId="77777777" w:rsidR="00B41023" w:rsidRPr="00043B8D" w:rsidRDefault="00B41023" w:rsidP="004D49B3">
            <w:pPr>
              <w:rPr>
                <w:rFonts w:cs="Tahoma"/>
                <w:b/>
                <w:bCs/>
                <w:lang w:val="nl-BE" w:eastAsia="nl-NL"/>
              </w:rPr>
            </w:pPr>
            <w:r w:rsidRPr="00043B8D">
              <w:rPr>
                <w:rFonts w:cs="Tahoma"/>
                <w:b/>
                <w:bCs/>
                <w:lang w:val="nl-BE" w:eastAsia="nl-NL"/>
              </w:rPr>
              <w:t>Doorvoer:</w:t>
            </w:r>
            <w:r w:rsidRPr="00043B8D">
              <w:rPr>
                <w:rFonts w:cs="Tahoma"/>
                <w:lang w:val="nl-BE" w:eastAsia="nl-NL"/>
              </w:rPr>
              <w:t xml:space="preserve"> Overdracht van een netto hoeveelheid energie over een bepaalde tijdsperiode tussen twee distributienetbeheerders via de koppelpunten tussen hun distributienetten;</w:t>
            </w:r>
          </w:p>
        </w:tc>
      </w:tr>
      <w:tr w:rsidR="00B41023" w:rsidRPr="00043B8D" w14:paraId="7C80D27B" w14:textId="77777777" w:rsidTr="004D49B3">
        <w:trPr>
          <w:cantSplit/>
          <w:trHeight w:val="20"/>
        </w:trPr>
        <w:tc>
          <w:tcPr>
            <w:tcW w:w="9284" w:type="dxa"/>
            <w:tcBorders>
              <w:top w:val="nil"/>
              <w:left w:val="nil"/>
              <w:bottom w:val="nil"/>
              <w:right w:val="nil"/>
            </w:tcBorders>
            <w:shd w:val="clear" w:color="auto" w:fill="auto"/>
            <w:noWrap/>
          </w:tcPr>
          <w:p w14:paraId="02C93848" w14:textId="77777777" w:rsidR="00B41023" w:rsidRPr="00043B8D" w:rsidRDefault="00B41023" w:rsidP="004D49B3">
            <w:pPr>
              <w:rPr>
                <w:rFonts w:cs="Tahoma"/>
                <w:b/>
                <w:bCs/>
                <w:lang w:eastAsia="nl-NL"/>
              </w:rPr>
            </w:pPr>
            <w:r w:rsidRPr="00043B8D">
              <w:rPr>
                <w:rFonts w:cs="Tahoma"/>
                <w:b/>
                <w:bCs/>
                <w:lang w:eastAsia="nl-NL"/>
              </w:rPr>
              <w:t>Energiebesluit:</w:t>
            </w:r>
            <w:r w:rsidRPr="00043B8D">
              <w:rPr>
                <w:rFonts w:cs="Tahoma"/>
                <w:lang w:eastAsia="nl-NL"/>
              </w:rPr>
              <w:t xml:space="preserve"> </w:t>
            </w:r>
            <w:hyperlink r:id="rId13" w:history="1">
              <w:r w:rsidRPr="00043B8D">
                <w:rPr>
                  <w:rStyle w:val="Hyperlink"/>
                  <w:color w:val="auto"/>
                </w:rPr>
                <w:t xml:space="preserve">Besluit van de Vlaamse Regering </w:t>
              </w:r>
              <w:r w:rsidRPr="00043B8D">
                <w:rPr>
                  <w:rStyle w:val="Hyperlink"/>
                  <w:rFonts w:cs="Tahoma"/>
                  <w:color w:val="auto"/>
                  <w:lang w:eastAsia="nl-NL"/>
                </w:rPr>
                <w:t>van 19 november 2010</w:t>
              </w:r>
            </w:hyperlink>
            <w:r w:rsidRPr="00043B8D">
              <w:rPr>
                <w:rFonts w:cs="Tahoma"/>
                <w:lang w:eastAsia="nl-NL"/>
              </w:rPr>
              <w:t xml:space="preserve"> </w:t>
            </w:r>
            <w:r w:rsidRPr="00043B8D">
              <w:t>houdende algemene bepalingen over het energiebeleid</w:t>
            </w:r>
            <w:r w:rsidRPr="00043B8D">
              <w:rPr>
                <w:rFonts w:cs="Tahoma"/>
                <w:lang w:eastAsia="nl-NL"/>
              </w:rPr>
              <w:t>;</w:t>
            </w:r>
          </w:p>
        </w:tc>
      </w:tr>
      <w:tr w:rsidR="00B41023" w:rsidRPr="00043B8D" w14:paraId="2B059ABE" w14:textId="77777777" w:rsidTr="004D49B3">
        <w:trPr>
          <w:cantSplit/>
          <w:trHeight w:val="20"/>
        </w:trPr>
        <w:tc>
          <w:tcPr>
            <w:tcW w:w="9284" w:type="dxa"/>
            <w:tcBorders>
              <w:top w:val="nil"/>
              <w:left w:val="nil"/>
              <w:bottom w:val="nil"/>
              <w:right w:val="nil"/>
            </w:tcBorders>
            <w:shd w:val="clear" w:color="auto" w:fill="auto"/>
            <w:noWrap/>
          </w:tcPr>
          <w:p w14:paraId="7517BEF4" w14:textId="77777777" w:rsidR="00B41023" w:rsidRPr="00043B8D" w:rsidRDefault="00B41023" w:rsidP="004D49B3">
            <w:pPr>
              <w:rPr>
                <w:rFonts w:cs="Tahoma"/>
                <w:b/>
                <w:bCs/>
                <w:lang w:eastAsia="nl-NL"/>
              </w:rPr>
            </w:pPr>
            <w:r w:rsidRPr="00043B8D">
              <w:rPr>
                <w:rFonts w:cs="Tahoma"/>
                <w:b/>
                <w:bCs/>
                <w:lang w:eastAsia="nl-NL"/>
              </w:rPr>
              <w:t>Energiedecreet:</w:t>
            </w:r>
            <w:r w:rsidRPr="00043B8D">
              <w:rPr>
                <w:rFonts w:cs="Tahoma"/>
                <w:lang w:eastAsia="nl-NL"/>
              </w:rPr>
              <w:t xml:space="preserve"> </w:t>
            </w:r>
            <w:hyperlink r:id="rId14" w:history="1">
              <w:r w:rsidRPr="00043B8D">
                <w:rPr>
                  <w:rStyle w:val="Hyperlink"/>
                  <w:color w:val="auto"/>
                </w:rPr>
                <w:t xml:space="preserve">Decreet </w:t>
              </w:r>
              <w:r w:rsidRPr="00043B8D">
                <w:rPr>
                  <w:rStyle w:val="Hyperlink"/>
                  <w:rFonts w:cs="Tahoma"/>
                  <w:color w:val="auto"/>
                  <w:lang w:eastAsia="nl-NL"/>
                </w:rPr>
                <w:t>van 8 mei 2009</w:t>
              </w:r>
            </w:hyperlink>
            <w:r w:rsidRPr="00043B8D">
              <w:rPr>
                <w:rFonts w:cs="Tahoma"/>
                <w:lang w:eastAsia="nl-NL"/>
              </w:rPr>
              <w:t xml:space="preserve"> </w:t>
            </w:r>
            <w:r w:rsidRPr="00043B8D">
              <w:t>houdende algemene bepalingen betreffende het energiebeleid</w:t>
            </w:r>
            <w:r w:rsidRPr="00043B8D">
              <w:rPr>
                <w:rFonts w:cs="Tahoma"/>
                <w:lang w:eastAsia="nl-NL"/>
              </w:rPr>
              <w:t>;</w:t>
            </w:r>
          </w:p>
        </w:tc>
      </w:tr>
      <w:tr w:rsidR="00B41023" w:rsidRPr="00043B8D" w14:paraId="670DD6A7" w14:textId="77777777" w:rsidTr="004D49B3">
        <w:trPr>
          <w:cantSplit/>
          <w:trHeight w:val="20"/>
        </w:trPr>
        <w:tc>
          <w:tcPr>
            <w:tcW w:w="9284" w:type="dxa"/>
            <w:tcBorders>
              <w:top w:val="nil"/>
              <w:left w:val="nil"/>
              <w:bottom w:val="nil"/>
              <w:right w:val="nil"/>
            </w:tcBorders>
            <w:shd w:val="clear" w:color="auto" w:fill="auto"/>
            <w:noWrap/>
          </w:tcPr>
          <w:p w14:paraId="110E277E" w14:textId="77777777" w:rsidR="00B41023" w:rsidRPr="00043B8D" w:rsidRDefault="00B41023" w:rsidP="004D49B3">
            <w:pPr>
              <w:rPr>
                <w:rFonts w:cs="Tahoma"/>
                <w:b/>
                <w:bCs/>
                <w:lang w:eastAsia="nl-NL"/>
              </w:rPr>
            </w:pPr>
            <w:bookmarkStart w:id="3" w:name="_Ref363572576" w:colFirst="0" w:colLast="-1"/>
            <w:r w:rsidRPr="00043B8D">
              <w:rPr>
                <w:rFonts w:cs="Tahoma"/>
                <w:b/>
                <w:bCs/>
                <w:lang w:eastAsia="nl-NL"/>
              </w:rPr>
              <w:t>Exogene kosten:</w:t>
            </w:r>
            <w:r w:rsidRPr="00043B8D">
              <w:rPr>
                <w:rFonts w:cs="Tahoma"/>
                <w:lang w:eastAsia="nl-NL"/>
              </w:rPr>
              <w:t xml:space="preserve"> Zoals bepaald in par. </w:t>
            </w:r>
            <w:r w:rsidRPr="00043B8D">
              <w:rPr>
                <w:rFonts w:cs="Tahoma"/>
                <w:lang w:eastAsia="nl-NL"/>
              </w:rPr>
              <w:fldChar w:fldCharType="begin"/>
            </w:r>
            <w:r w:rsidRPr="00043B8D">
              <w:rPr>
                <w:rFonts w:cs="Tahoma"/>
                <w:lang w:eastAsia="nl-NL"/>
              </w:rPr>
              <w:instrText xml:space="preserve"> REF _Ref363651894 \r \h  \* MERGEFORMAT </w:instrText>
            </w:r>
            <w:r w:rsidRPr="00043B8D">
              <w:rPr>
                <w:rFonts w:cs="Tahoma"/>
                <w:lang w:eastAsia="nl-NL"/>
              </w:rPr>
            </w:r>
            <w:r w:rsidRPr="00043B8D">
              <w:rPr>
                <w:rFonts w:cs="Tahoma"/>
                <w:lang w:eastAsia="nl-NL"/>
              </w:rPr>
              <w:fldChar w:fldCharType="separate"/>
            </w:r>
            <w:r w:rsidR="00B30F9B">
              <w:rPr>
                <w:rFonts w:cs="Tahoma"/>
                <w:lang w:eastAsia="nl-NL"/>
              </w:rPr>
              <w:t>5.4</w:t>
            </w:r>
            <w:r w:rsidRPr="00043B8D">
              <w:rPr>
                <w:rFonts w:cs="Tahoma"/>
                <w:lang w:eastAsia="nl-NL"/>
              </w:rPr>
              <w:fldChar w:fldCharType="end"/>
            </w:r>
            <w:r w:rsidRPr="00043B8D">
              <w:rPr>
                <w:rFonts w:cs="Tahoma"/>
                <w:lang w:eastAsia="nl-NL"/>
              </w:rPr>
              <w:t>;</w:t>
            </w:r>
          </w:p>
        </w:tc>
      </w:tr>
      <w:tr w:rsidR="00B41023" w:rsidRPr="00043B8D" w14:paraId="628D6C6E" w14:textId="77777777" w:rsidTr="004D49B3">
        <w:trPr>
          <w:cantSplit/>
          <w:trHeight w:val="1284"/>
        </w:trPr>
        <w:tc>
          <w:tcPr>
            <w:tcW w:w="9284" w:type="dxa"/>
            <w:tcBorders>
              <w:top w:val="nil"/>
              <w:left w:val="nil"/>
              <w:bottom w:val="nil"/>
              <w:right w:val="nil"/>
            </w:tcBorders>
            <w:shd w:val="clear" w:color="auto" w:fill="auto"/>
            <w:noWrap/>
          </w:tcPr>
          <w:p w14:paraId="18F0A242" w14:textId="77777777" w:rsidR="00B41023" w:rsidRPr="00043B8D" w:rsidRDefault="00B41023" w:rsidP="004D49B3">
            <w:pPr>
              <w:rPr>
                <w:rFonts w:cs="Tahoma"/>
                <w:bCs/>
                <w:lang w:eastAsia="nl-NL"/>
              </w:rPr>
            </w:pPr>
            <w:r w:rsidRPr="00043B8D">
              <w:rPr>
                <w:rFonts w:cs="Tahoma"/>
                <w:b/>
                <w:lang w:eastAsia="nl-NL"/>
              </w:rPr>
              <w:t xml:space="preserve">Geïmmobiliseerde groenestroom- en warmtekrachtcertificaten: </w:t>
            </w:r>
            <w:r w:rsidRPr="00043B8D">
              <w:rPr>
                <w:rFonts w:cs="Tahoma"/>
                <w:lang w:eastAsia="nl-NL"/>
              </w:rPr>
              <w:t>Groenestroom- en warmtekrachtcertificaten die onder toepassing van art 6.4.14/1 en art 6.4.14/2 van het Energiebesluit werden geïmmobiliseerd. De overige groenestroom- en warmtekrachtcertificaten worden in het vervolg van deze methodologie omschreven als niet-geïmmobiliseerde groenestroom- en warmtekrachtcertificaten;</w:t>
            </w:r>
          </w:p>
        </w:tc>
      </w:tr>
      <w:tr w:rsidR="00B41023" w:rsidRPr="00043B8D" w14:paraId="30C38E47" w14:textId="77777777" w:rsidTr="004D49B3">
        <w:trPr>
          <w:cantSplit/>
          <w:trHeight w:val="20"/>
        </w:trPr>
        <w:tc>
          <w:tcPr>
            <w:tcW w:w="9284" w:type="dxa"/>
            <w:tcBorders>
              <w:top w:val="nil"/>
              <w:left w:val="nil"/>
              <w:bottom w:val="nil"/>
              <w:right w:val="nil"/>
            </w:tcBorders>
            <w:shd w:val="clear" w:color="auto" w:fill="auto"/>
            <w:noWrap/>
          </w:tcPr>
          <w:p w14:paraId="6685A97A" w14:textId="77777777" w:rsidR="00B41023" w:rsidRPr="00043B8D" w:rsidRDefault="00B41023" w:rsidP="004D49B3">
            <w:pPr>
              <w:rPr>
                <w:rFonts w:cs="Tahoma"/>
                <w:bCs/>
                <w:lang w:eastAsia="nl-NL"/>
              </w:rPr>
            </w:pPr>
            <w:r w:rsidRPr="00043B8D">
              <w:rPr>
                <w:rFonts w:cs="Tahoma"/>
                <w:b/>
                <w:bCs/>
                <w:lang w:eastAsia="nl-NL"/>
              </w:rPr>
              <w:t>Gereguleerde materiële vaste activa:</w:t>
            </w:r>
            <w:r w:rsidRPr="00043B8D">
              <w:rPr>
                <w:rFonts w:cs="Tahoma"/>
                <w:bCs/>
                <w:lang w:eastAsia="nl-NL"/>
              </w:rPr>
              <w:t xml:space="preserve">  De materiële vaste activa die eigendom zijn van de distributienetbeheerder en een feitelijk economisch nut hebben voor de distributienetbeheerder bij de uitoefening van zijn gereguleerde activiteiten. Het louter juridisch eigenaar zijn van een materieel vast actief volstaat m.a.w. niet voor opname van het actief in het geheel van de gereguleerde materiële vaste activa;</w:t>
            </w:r>
          </w:p>
        </w:tc>
      </w:tr>
      <w:tr w:rsidR="00B41023" w:rsidRPr="00043B8D" w14:paraId="0ADB3CAF" w14:textId="77777777" w:rsidTr="004D49B3">
        <w:trPr>
          <w:cantSplit/>
          <w:trHeight w:val="20"/>
        </w:trPr>
        <w:tc>
          <w:tcPr>
            <w:tcW w:w="9284" w:type="dxa"/>
            <w:tcBorders>
              <w:top w:val="nil"/>
              <w:left w:val="nil"/>
              <w:bottom w:val="nil"/>
              <w:right w:val="nil"/>
            </w:tcBorders>
            <w:shd w:val="clear" w:color="auto" w:fill="auto"/>
            <w:noWrap/>
          </w:tcPr>
          <w:p w14:paraId="59361547" w14:textId="77777777" w:rsidR="00B41023" w:rsidRPr="00043B8D" w:rsidRDefault="00B41023" w:rsidP="004D49B3">
            <w:pPr>
              <w:rPr>
                <w:rFonts w:cs="Tahoma"/>
                <w:b/>
                <w:bCs/>
                <w:lang w:eastAsia="nl-NL"/>
              </w:rPr>
            </w:pPr>
            <w:r w:rsidRPr="00043B8D">
              <w:rPr>
                <w:rFonts w:cs="Tahoma"/>
                <w:b/>
                <w:bCs/>
                <w:lang w:eastAsia="nl-NL"/>
              </w:rPr>
              <w:t xml:space="preserve">Indirecte kosten: </w:t>
            </w:r>
            <w:r w:rsidRPr="00043B8D">
              <w:rPr>
                <w:rFonts w:cs="Tahoma"/>
                <w:bCs/>
                <w:lang w:eastAsia="nl-NL"/>
              </w:rPr>
              <w:t>De kosten waarvoor bij de toerekening geen direct verband kan gelegd worden met de dienst van de distributienetbeheerder en die verdeeld worden met een verdeelsleutel op basis van activiteiten en kostenplaatsen;</w:t>
            </w:r>
          </w:p>
        </w:tc>
      </w:tr>
      <w:tr w:rsidR="00B41023" w:rsidRPr="00043B8D" w14:paraId="62A71239" w14:textId="77777777" w:rsidTr="004D49B3">
        <w:trPr>
          <w:cantSplit/>
          <w:trHeight w:val="20"/>
        </w:trPr>
        <w:tc>
          <w:tcPr>
            <w:tcW w:w="9284" w:type="dxa"/>
            <w:tcBorders>
              <w:top w:val="nil"/>
              <w:left w:val="nil"/>
              <w:bottom w:val="nil"/>
              <w:right w:val="nil"/>
            </w:tcBorders>
            <w:shd w:val="clear" w:color="auto" w:fill="auto"/>
            <w:noWrap/>
          </w:tcPr>
          <w:p w14:paraId="17B3AAAB" w14:textId="77777777" w:rsidR="00B41023" w:rsidRPr="00043B8D" w:rsidRDefault="00B41023" w:rsidP="004D49B3">
            <w:pPr>
              <w:rPr>
                <w:rFonts w:cs="Tahoma"/>
                <w:bCs/>
                <w:lang w:eastAsia="nl-NL"/>
              </w:rPr>
            </w:pPr>
            <w:r w:rsidRPr="00043B8D">
              <w:rPr>
                <w:rFonts w:cs="Tahoma"/>
                <w:b/>
                <w:bCs/>
                <w:lang w:eastAsia="nl-NL"/>
              </w:rPr>
              <w:t xml:space="preserve">Invulinstructie: </w:t>
            </w:r>
            <w:r w:rsidRPr="00043B8D">
              <w:rPr>
                <w:rFonts w:cs="Tahoma"/>
                <w:bCs/>
                <w:lang w:eastAsia="nl-NL"/>
              </w:rPr>
              <w:t>Richtlijnen die meer duidelijkheid dienen te geven omtrent de interpretatie van de verschillende tabellen die in de rapporteringsmodellen zijn opgenomen en de wijze waarop ze door de distributienetbeheerders dienen te worden ingevuld;</w:t>
            </w:r>
          </w:p>
        </w:tc>
      </w:tr>
      <w:tr w:rsidR="00B41023" w:rsidRPr="00043B8D" w14:paraId="5DBCD9EC" w14:textId="77777777" w:rsidTr="004D49B3">
        <w:trPr>
          <w:cantSplit/>
          <w:trHeight w:val="20"/>
        </w:trPr>
        <w:tc>
          <w:tcPr>
            <w:tcW w:w="9284" w:type="dxa"/>
            <w:tcBorders>
              <w:top w:val="nil"/>
              <w:left w:val="nil"/>
              <w:bottom w:val="nil"/>
              <w:right w:val="nil"/>
            </w:tcBorders>
            <w:shd w:val="clear" w:color="auto" w:fill="auto"/>
            <w:noWrap/>
          </w:tcPr>
          <w:p w14:paraId="3E730613" w14:textId="65B6AED2" w:rsidR="00B41023" w:rsidRPr="00043B8D" w:rsidRDefault="00B41023" w:rsidP="00FE0367">
            <w:pPr>
              <w:rPr>
                <w:rFonts w:cs="Tahoma"/>
                <w:bCs/>
                <w:lang w:eastAsia="nl-NL"/>
              </w:rPr>
            </w:pPr>
            <w:r w:rsidRPr="00043B8D">
              <w:rPr>
                <w:rFonts w:cs="Tahoma"/>
                <w:b/>
                <w:bCs/>
                <w:lang w:eastAsia="nl-NL"/>
              </w:rPr>
              <w:t>Klantengroep:</w:t>
            </w:r>
            <w:r w:rsidRPr="00043B8D">
              <w:rPr>
                <w:rFonts w:cs="Tahoma"/>
                <w:bCs/>
                <w:lang w:eastAsia="nl-NL"/>
              </w:rPr>
              <w:t xml:space="preserve"> </w:t>
            </w:r>
            <w:r w:rsidR="00FE0367" w:rsidRPr="00043B8D">
              <w:rPr>
                <w:rFonts w:cs="Tahoma"/>
                <w:bCs/>
                <w:lang w:eastAsia="nl-NL"/>
              </w:rPr>
              <w:t>Iedere groep van distributienetgebruikers die elektriciteit injecteren en/of afnemen of aardgas injecteren en/of afnemen van het distributienet en zich kenmerkt door het type netwerk waarop de netgebruiker is aangesloten, het type aansluiting waarover hij beschikt, de automatische compensatie van afgenomen en geïnjecteerde elektriciteit of door het feit of hij al dan niet elektriciteit of aardgas injecteert op het netwerk waarop hij is aangesloten, met dien verstande dat één netgebruiker volgens zijn toegangspunten tot verschillende klantengroepen kan behoren</w:t>
            </w:r>
            <w:r w:rsidR="00E15256" w:rsidRPr="00043B8D">
              <w:rPr>
                <w:rFonts w:cs="Tahoma"/>
                <w:bCs/>
                <w:lang w:eastAsia="nl-NL"/>
              </w:rPr>
              <w:t>;</w:t>
            </w:r>
          </w:p>
        </w:tc>
      </w:tr>
      <w:tr w:rsidR="00B41023" w:rsidRPr="00043B8D" w14:paraId="11C7A402" w14:textId="77777777" w:rsidTr="004D49B3">
        <w:trPr>
          <w:cantSplit/>
          <w:trHeight w:val="20"/>
        </w:trPr>
        <w:tc>
          <w:tcPr>
            <w:tcW w:w="9284" w:type="dxa"/>
            <w:tcBorders>
              <w:top w:val="nil"/>
              <w:left w:val="nil"/>
              <w:bottom w:val="nil"/>
              <w:right w:val="nil"/>
            </w:tcBorders>
            <w:shd w:val="clear" w:color="auto" w:fill="auto"/>
            <w:noWrap/>
          </w:tcPr>
          <w:p w14:paraId="31011677" w14:textId="77777777" w:rsidR="00B41023" w:rsidRPr="00043B8D" w:rsidRDefault="00B41023" w:rsidP="004D49B3">
            <w:pPr>
              <w:rPr>
                <w:rFonts w:cs="Tahoma"/>
                <w:bCs/>
                <w:lang w:eastAsia="nl-NL"/>
              </w:rPr>
            </w:pPr>
            <w:r w:rsidRPr="00043B8D">
              <w:rPr>
                <w:rFonts w:cs="Tahoma"/>
                <w:b/>
                <w:bCs/>
                <w:lang w:eastAsia="nl-NL"/>
              </w:rPr>
              <w:t xml:space="preserve">Kostensoort: </w:t>
            </w:r>
            <w:r w:rsidRPr="00043B8D">
              <w:rPr>
                <w:rFonts w:cs="Tahoma"/>
                <w:bCs/>
                <w:lang w:eastAsia="nl-NL"/>
              </w:rPr>
              <w:t>Een verzameling van kosten gespecifieerd naar ontstaansbron in het bedrijfsproces;</w:t>
            </w:r>
          </w:p>
        </w:tc>
      </w:tr>
      <w:tr w:rsidR="00B41023" w:rsidRPr="00043B8D" w14:paraId="1187AD3D" w14:textId="77777777" w:rsidTr="004D49B3">
        <w:trPr>
          <w:cantSplit/>
          <w:trHeight w:val="20"/>
        </w:trPr>
        <w:tc>
          <w:tcPr>
            <w:tcW w:w="9284" w:type="dxa"/>
            <w:tcBorders>
              <w:top w:val="nil"/>
              <w:left w:val="nil"/>
              <w:bottom w:val="nil"/>
              <w:right w:val="nil"/>
            </w:tcBorders>
            <w:shd w:val="clear" w:color="auto" w:fill="auto"/>
            <w:noWrap/>
          </w:tcPr>
          <w:p w14:paraId="32EB8CDC" w14:textId="77777777" w:rsidR="00B41023" w:rsidRPr="00043B8D" w:rsidRDefault="00B41023" w:rsidP="004D49B3">
            <w:pPr>
              <w:rPr>
                <w:rFonts w:cs="Tahoma"/>
                <w:b/>
                <w:bCs/>
                <w:lang w:eastAsia="nl-NL"/>
              </w:rPr>
            </w:pPr>
            <w:r w:rsidRPr="00043B8D">
              <w:rPr>
                <w:rFonts w:cs="Tahoma"/>
                <w:b/>
                <w:bCs/>
                <w:lang w:eastAsia="nl-NL"/>
              </w:rPr>
              <w:t xml:space="preserve">MAR: </w:t>
            </w:r>
            <w:r w:rsidRPr="00043B8D">
              <w:rPr>
                <w:rFonts w:cs="Tahoma"/>
                <w:bCs/>
                <w:lang w:eastAsia="nl-NL"/>
              </w:rPr>
              <w:t>Minimumindeling van het Algemeen Rekeningenstelsel waarbij de rekeningen geordend zijn op basis van logische principes en de inhoud van de rekeningen nauwkeurig omschreven is. Deze minimumindeling werd vastgelegd door het koninklijk besluit van 12 september 1983 tot bepaling van de minimumindeling van een algemeen rekeningenstelsel;</w:t>
            </w:r>
          </w:p>
        </w:tc>
      </w:tr>
      <w:tr w:rsidR="00B41023" w:rsidRPr="00043B8D" w14:paraId="34350CBF" w14:textId="77777777" w:rsidTr="004D49B3">
        <w:trPr>
          <w:cantSplit/>
          <w:trHeight w:val="20"/>
        </w:trPr>
        <w:tc>
          <w:tcPr>
            <w:tcW w:w="9284" w:type="dxa"/>
            <w:tcBorders>
              <w:top w:val="nil"/>
              <w:left w:val="nil"/>
              <w:bottom w:val="nil"/>
              <w:right w:val="nil"/>
            </w:tcBorders>
            <w:shd w:val="clear" w:color="auto" w:fill="auto"/>
            <w:noWrap/>
          </w:tcPr>
          <w:p w14:paraId="1D0DC46B" w14:textId="77777777" w:rsidR="00B41023" w:rsidRPr="00043B8D" w:rsidRDefault="00B41023" w:rsidP="004D49B3">
            <w:pPr>
              <w:rPr>
                <w:rFonts w:cs="Tahoma"/>
                <w:b/>
                <w:bCs/>
                <w:lang w:eastAsia="nl-NL"/>
              </w:rPr>
            </w:pPr>
            <w:r w:rsidRPr="00043B8D">
              <w:rPr>
                <w:rFonts w:cs="Tahoma"/>
                <w:b/>
                <w:bCs/>
                <w:lang w:eastAsia="nl-NL"/>
              </w:rPr>
              <w:t xml:space="preserve">Meet- en telactiviteit: </w:t>
            </w:r>
            <w:r w:rsidRPr="00043B8D">
              <w:rPr>
                <w:rFonts w:cs="Tahoma"/>
                <w:bCs/>
                <w:lang w:eastAsia="nl-NL"/>
              </w:rPr>
              <w:t>Het verzamelen, verwerven, valideren, behandelen en uitwisselen van de meet- en telgegevens;</w:t>
            </w:r>
          </w:p>
        </w:tc>
      </w:tr>
      <w:tr w:rsidR="00B41023" w:rsidRPr="00043B8D" w14:paraId="3A7CBC51" w14:textId="77777777" w:rsidTr="004D49B3">
        <w:trPr>
          <w:cantSplit/>
          <w:trHeight w:val="20"/>
        </w:trPr>
        <w:tc>
          <w:tcPr>
            <w:tcW w:w="9284" w:type="dxa"/>
            <w:tcBorders>
              <w:top w:val="nil"/>
              <w:left w:val="nil"/>
              <w:bottom w:val="nil"/>
              <w:right w:val="nil"/>
            </w:tcBorders>
            <w:shd w:val="clear" w:color="auto" w:fill="auto"/>
            <w:noWrap/>
          </w:tcPr>
          <w:p w14:paraId="7236C6FD" w14:textId="77777777" w:rsidR="00B41023" w:rsidRPr="00043B8D" w:rsidRDefault="00B41023" w:rsidP="004D49B3">
            <w:pPr>
              <w:rPr>
                <w:rFonts w:cs="Tahoma"/>
                <w:b/>
                <w:bCs/>
                <w:lang w:eastAsia="nl-NL"/>
              </w:rPr>
            </w:pPr>
            <w:r w:rsidRPr="00043B8D">
              <w:rPr>
                <w:rFonts w:cs="Tahoma"/>
                <w:b/>
                <w:bCs/>
                <w:lang w:eastAsia="nl-NL"/>
              </w:rPr>
              <w:t>Niet-exogene kosten:</w:t>
            </w:r>
            <w:r w:rsidRPr="00043B8D">
              <w:rPr>
                <w:rFonts w:cs="Tahoma"/>
                <w:lang w:eastAsia="nl-NL"/>
              </w:rPr>
              <w:t xml:space="preserve"> Zoals bepaald in par. </w:t>
            </w:r>
            <w:r w:rsidRPr="00043B8D">
              <w:rPr>
                <w:rFonts w:cs="Tahoma"/>
                <w:lang w:eastAsia="nl-NL"/>
              </w:rPr>
              <w:fldChar w:fldCharType="begin"/>
            </w:r>
            <w:r w:rsidRPr="00043B8D">
              <w:rPr>
                <w:rFonts w:cs="Tahoma"/>
                <w:lang w:eastAsia="nl-NL"/>
              </w:rPr>
              <w:instrText xml:space="preserve"> REF _Ref363653859 \r \h  \* MERGEFORMAT </w:instrText>
            </w:r>
            <w:r w:rsidRPr="00043B8D">
              <w:rPr>
                <w:rFonts w:cs="Tahoma"/>
                <w:lang w:eastAsia="nl-NL"/>
              </w:rPr>
            </w:r>
            <w:r w:rsidRPr="00043B8D">
              <w:rPr>
                <w:rFonts w:cs="Tahoma"/>
                <w:lang w:eastAsia="nl-NL"/>
              </w:rPr>
              <w:fldChar w:fldCharType="separate"/>
            </w:r>
            <w:r w:rsidR="00B30F9B">
              <w:rPr>
                <w:rFonts w:cs="Tahoma"/>
                <w:lang w:eastAsia="nl-NL"/>
              </w:rPr>
              <w:t>5.3</w:t>
            </w:r>
            <w:r w:rsidRPr="00043B8D">
              <w:rPr>
                <w:rFonts w:cs="Tahoma"/>
                <w:lang w:eastAsia="nl-NL"/>
              </w:rPr>
              <w:fldChar w:fldCharType="end"/>
            </w:r>
            <w:r w:rsidRPr="00043B8D">
              <w:rPr>
                <w:rFonts w:cs="Tahoma"/>
                <w:lang w:eastAsia="nl-NL"/>
              </w:rPr>
              <w:t>;</w:t>
            </w:r>
          </w:p>
        </w:tc>
      </w:tr>
      <w:tr w:rsidR="00B41023" w:rsidRPr="00043B8D" w14:paraId="6BFF2F34" w14:textId="77777777" w:rsidTr="004D49B3">
        <w:trPr>
          <w:cantSplit/>
          <w:trHeight w:val="20"/>
        </w:trPr>
        <w:tc>
          <w:tcPr>
            <w:tcW w:w="9284" w:type="dxa"/>
            <w:tcBorders>
              <w:top w:val="nil"/>
              <w:left w:val="nil"/>
              <w:bottom w:val="nil"/>
              <w:right w:val="nil"/>
            </w:tcBorders>
            <w:shd w:val="clear" w:color="auto" w:fill="auto"/>
            <w:noWrap/>
          </w:tcPr>
          <w:p w14:paraId="5E51322F" w14:textId="2E54BA6B" w:rsidR="00B41023" w:rsidRPr="00043B8D" w:rsidRDefault="00B41023" w:rsidP="004D49B3">
            <w:pPr>
              <w:rPr>
                <w:rFonts w:cs="Tahoma"/>
                <w:lang w:val="nl-BE" w:eastAsia="nl-NL"/>
              </w:rPr>
            </w:pPr>
            <w:r w:rsidRPr="00043B8D">
              <w:rPr>
                <w:rFonts w:cs="Tahoma"/>
                <w:b/>
                <w:bCs/>
                <w:lang w:val="nl-BE" w:eastAsia="nl-NL"/>
              </w:rPr>
              <w:t>Niet-periodieke distributienettarieven:</w:t>
            </w:r>
            <w:r w:rsidRPr="00043B8D">
              <w:rPr>
                <w:rFonts w:cs="Tahoma"/>
                <w:lang w:val="nl-BE" w:eastAsia="nl-NL"/>
              </w:rPr>
              <w:t xml:space="preserve"> Distributienettarieven die éénmalig worden aangerekend en dit voor de activiteiten zoals bepaald in par. </w:t>
            </w:r>
            <w:r w:rsidRPr="00043B8D">
              <w:rPr>
                <w:rFonts w:cs="Tahoma"/>
                <w:lang w:val="nl-BE" w:eastAsia="nl-NL"/>
              </w:rPr>
              <w:fldChar w:fldCharType="begin"/>
            </w:r>
            <w:r w:rsidRPr="00043B8D">
              <w:rPr>
                <w:rFonts w:cs="Tahoma"/>
                <w:lang w:val="nl-BE" w:eastAsia="nl-NL"/>
              </w:rPr>
              <w:instrText xml:space="preserve"> REF _Ref390172032 \r \h </w:instrText>
            </w:r>
            <w:r w:rsidR="004D49B3" w:rsidRPr="00043B8D">
              <w:rPr>
                <w:rFonts w:cs="Tahoma"/>
                <w:lang w:val="nl-BE" w:eastAsia="nl-NL"/>
              </w:rPr>
              <w:instrText xml:space="preserve"> \* MERGEFORMAT </w:instrText>
            </w:r>
            <w:r w:rsidRPr="00043B8D">
              <w:rPr>
                <w:rFonts w:cs="Tahoma"/>
                <w:lang w:val="nl-BE" w:eastAsia="nl-NL"/>
              </w:rPr>
            </w:r>
            <w:r w:rsidRPr="00043B8D">
              <w:rPr>
                <w:rFonts w:cs="Tahoma"/>
                <w:lang w:val="nl-BE" w:eastAsia="nl-NL"/>
              </w:rPr>
              <w:fldChar w:fldCharType="separate"/>
            </w:r>
            <w:r w:rsidR="00B30F9B">
              <w:rPr>
                <w:rFonts w:cs="Tahoma"/>
                <w:lang w:val="nl-BE" w:eastAsia="nl-NL"/>
              </w:rPr>
              <w:t>6.1</w:t>
            </w:r>
            <w:r w:rsidRPr="00043B8D">
              <w:rPr>
                <w:rFonts w:cs="Tahoma"/>
                <w:lang w:val="nl-BE" w:eastAsia="nl-NL"/>
              </w:rPr>
              <w:fldChar w:fldCharType="end"/>
            </w:r>
            <w:r w:rsidRPr="00043B8D">
              <w:rPr>
                <w:rFonts w:cs="Tahoma"/>
                <w:lang w:val="nl-BE" w:eastAsia="nl-NL"/>
              </w:rPr>
              <w:t>;</w:t>
            </w:r>
          </w:p>
        </w:tc>
      </w:tr>
      <w:tr w:rsidR="00B41023" w:rsidRPr="00043B8D" w14:paraId="4A3C4B8D" w14:textId="77777777" w:rsidTr="004D49B3">
        <w:trPr>
          <w:cantSplit/>
          <w:trHeight w:val="20"/>
        </w:trPr>
        <w:tc>
          <w:tcPr>
            <w:tcW w:w="9284" w:type="dxa"/>
            <w:tcBorders>
              <w:top w:val="nil"/>
              <w:left w:val="nil"/>
              <w:bottom w:val="nil"/>
              <w:right w:val="nil"/>
            </w:tcBorders>
            <w:shd w:val="clear" w:color="auto" w:fill="auto"/>
            <w:noWrap/>
          </w:tcPr>
          <w:p w14:paraId="37C2E0F1" w14:textId="77777777" w:rsidR="00B41023" w:rsidRPr="00043B8D" w:rsidRDefault="00B41023" w:rsidP="004D49B3">
            <w:pPr>
              <w:rPr>
                <w:rFonts w:cs="Tahoma"/>
                <w:b/>
                <w:bCs/>
                <w:lang w:eastAsia="nl-NL"/>
              </w:rPr>
            </w:pPr>
            <w:r w:rsidRPr="00043B8D">
              <w:rPr>
                <w:rFonts w:cs="Tahoma"/>
                <w:b/>
                <w:bCs/>
                <w:lang w:eastAsia="nl-NL"/>
              </w:rPr>
              <w:t>Overige kosten:</w:t>
            </w:r>
            <w:r w:rsidRPr="00043B8D">
              <w:rPr>
                <w:rFonts w:cs="Tahoma"/>
                <w:lang w:eastAsia="nl-NL"/>
              </w:rPr>
              <w:t xml:space="preserve"> De categorie van kosten van distributienetbeheerders in hun gereguleerde activiteiten, die in de voorliggende tariefmethodologie door de VREG niet als exogene en ook niet als niet-exogene kosten worden beschouwd en behandeld, bijvoorbeeld de kosten van boetes;</w:t>
            </w:r>
          </w:p>
        </w:tc>
      </w:tr>
      <w:tr w:rsidR="00B41023" w:rsidRPr="00043B8D" w14:paraId="43E0A3AA" w14:textId="77777777" w:rsidTr="004D49B3">
        <w:trPr>
          <w:cantSplit/>
          <w:trHeight w:val="20"/>
        </w:trPr>
        <w:tc>
          <w:tcPr>
            <w:tcW w:w="9284" w:type="dxa"/>
            <w:tcBorders>
              <w:top w:val="nil"/>
              <w:left w:val="nil"/>
              <w:bottom w:val="nil"/>
              <w:right w:val="nil"/>
            </w:tcBorders>
            <w:shd w:val="clear" w:color="auto" w:fill="auto"/>
            <w:noWrap/>
          </w:tcPr>
          <w:p w14:paraId="062B3D70" w14:textId="77777777" w:rsidR="00B41023" w:rsidRPr="00043B8D" w:rsidRDefault="00B41023" w:rsidP="004D49B3">
            <w:pPr>
              <w:rPr>
                <w:rFonts w:cs="Tahoma"/>
                <w:b/>
                <w:bCs/>
                <w:lang w:eastAsia="nl-NL"/>
              </w:rPr>
            </w:pPr>
            <w:r w:rsidRPr="00043B8D">
              <w:rPr>
                <w:rFonts w:cs="Tahoma"/>
                <w:b/>
                <w:bCs/>
                <w:lang w:eastAsia="nl-NL"/>
              </w:rPr>
              <w:t>Overwinst:</w:t>
            </w:r>
            <w:r w:rsidRPr="00043B8D">
              <w:rPr>
                <w:rFonts w:cs="Tahoma"/>
                <w:lang w:eastAsia="nl-NL"/>
              </w:rPr>
              <w:t xml:space="preserve"> Het verschil tussen de werkelijke winst die een gereguleerde onderneming heeft gerealiseerd en wat wordt verondersteld haar marktconforme, billijke winst te zijn;</w:t>
            </w:r>
          </w:p>
        </w:tc>
      </w:tr>
      <w:tr w:rsidR="00B41023" w:rsidRPr="00043B8D" w14:paraId="69FBF709" w14:textId="77777777" w:rsidTr="004D49B3">
        <w:trPr>
          <w:cantSplit/>
          <w:trHeight w:val="20"/>
        </w:trPr>
        <w:tc>
          <w:tcPr>
            <w:tcW w:w="9284" w:type="dxa"/>
            <w:tcBorders>
              <w:top w:val="nil"/>
              <w:left w:val="nil"/>
              <w:bottom w:val="nil"/>
              <w:right w:val="nil"/>
            </w:tcBorders>
            <w:shd w:val="clear" w:color="auto" w:fill="auto"/>
            <w:noWrap/>
          </w:tcPr>
          <w:p w14:paraId="1BF39085" w14:textId="0380626E" w:rsidR="00B41023" w:rsidRPr="00043B8D" w:rsidRDefault="00B41023" w:rsidP="004D49B3">
            <w:pPr>
              <w:rPr>
                <w:rFonts w:cs="Tahoma"/>
                <w:lang w:val="nl-BE" w:eastAsia="nl-NL"/>
              </w:rPr>
            </w:pPr>
            <w:r w:rsidRPr="00043B8D">
              <w:rPr>
                <w:rFonts w:cs="Tahoma"/>
                <w:b/>
                <w:bCs/>
                <w:lang w:val="nl-BE" w:eastAsia="nl-NL"/>
              </w:rPr>
              <w:t>Periodieke distributienettarieven:</w:t>
            </w:r>
            <w:r w:rsidRPr="00043B8D">
              <w:rPr>
                <w:rFonts w:cs="Tahoma"/>
                <w:lang w:val="nl-BE" w:eastAsia="nl-NL"/>
              </w:rPr>
              <w:t xml:space="preserve"> Distributienettarieven die periodiek (maandelijks) worden aangerekend aan de distributienetgebruikers en dit voor de activiteiten zoals bepaald in par. </w:t>
            </w:r>
            <w:r w:rsidRPr="00043B8D">
              <w:rPr>
                <w:rFonts w:cs="Tahoma"/>
                <w:lang w:val="nl-BE" w:eastAsia="nl-NL"/>
              </w:rPr>
              <w:fldChar w:fldCharType="begin"/>
            </w:r>
            <w:r w:rsidRPr="00043B8D">
              <w:rPr>
                <w:rFonts w:cs="Tahoma"/>
                <w:lang w:val="nl-BE" w:eastAsia="nl-NL"/>
              </w:rPr>
              <w:instrText xml:space="preserve"> REF _Ref390172069 \r \h </w:instrText>
            </w:r>
            <w:r w:rsidR="004D49B3" w:rsidRPr="00043B8D">
              <w:rPr>
                <w:rFonts w:cs="Tahoma"/>
                <w:lang w:val="nl-BE" w:eastAsia="nl-NL"/>
              </w:rPr>
              <w:instrText xml:space="preserve"> \* MERGEFORMAT </w:instrText>
            </w:r>
            <w:r w:rsidRPr="00043B8D">
              <w:rPr>
                <w:rFonts w:cs="Tahoma"/>
                <w:lang w:val="nl-BE" w:eastAsia="nl-NL"/>
              </w:rPr>
            </w:r>
            <w:r w:rsidRPr="00043B8D">
              <w:rPr>
                <w:rFonts w:cs="Tahoma"/>
                <w:lang w:val="nl-BE" w:eastAsia="nl-NL"/>
              </w:rPr>
              <w:fldChar w:fldCharType="separate"/>
            </w:r>
            <w:r w:rsidR="00B30F9B">
              <w:rPr>
                <w:rFonts w:cs="Tahoma"/>
                <w:lang w:val="nl-BE" w:eastAsia="nl-NL"/>
              </w:rPr>
              <w:t>6.3</w:t>
            </w:r>
            <w:r w:rsidRPr="00043B8D">
              <w:rPr>
                <w:rFonts w:cs="Tahoma"/>
                <w:lang w:val="nl-BE" w:eastAsia="nl-NL"/>
              </w:rPr>
              <w:fldChar w:fldCharType="end"/>
            </w:r>
            <w:r w:rsidRPr="00043B8D">
              <w:rPr>
                <w:rFonts w:cs="Tahoma"/>
                <w:lang w:val="nl-BE" w:eastAsia="nl-NL"/>
              </w:rPr>
              <w:t>;</w:t>
            </w:r>
          </w:p>
        </w:tc>
      </w:tr>
      <w:tr w:rsidR="00B41023" w:rsidRPr="00043B8D" w14:paraId="12DE389C" w14:textId="77777777" w:rsidTr="004D49B3">
        <w:trPr>
          <w:cantSplit/>
          <w:trHeight w:val="20"/>
        </w:trPr>
        <w:tc>
          <w:tcPr>
            <w:tcW w:w="9284" w:type="dxa"/>
            <w:tcBorders>
              <w:top w:val="nil"/>
              <w:left w:val="nil"/>
              <w:bottom w:val="nil"/>
              <w:right w:val="nil"/>
            </w:tcBorders>
            <w:shd w:val="clear" w:color="auto" w:fill="auto"/>
            <w:noWrap/>
          </w:tcPr>
          <w:p w14:paraId="0241015F" w14:textId="27AFD9BD" w:rsidR="00B41023" w:rsidRPr="00043B8D" w:rsidRDefault="00B41023" w:rsidP="00436BD2">
            <w:pPr>
              <w:rPr>
                <w:rFonts w:cs="Tahoma"/>
                <w:lang w:val="nl-BE" w:eastAsia="nl-NL"/>
              </w:rPr>
            </w:pPr>
            <w:r w:rsidRPr="00043B8D">
              <w:rPr>
                <w:rFonts w:cs="Tahoma"/>
                <w:b/>
                <w:lang w:val="nl-BE" w:eastAsia="nl-NL"/>
              </w:rPr>
              <w:t>Prosument:</w:t>
            </w:r>
            <w:r w:rsidRPr="00043B8D">
              <w:rPr>
                <w:rFonts w:cs="Tahoma"/>
                <w:lang w:val="nl-BE" w:eastAsia="nl-NL"/>
              </w:rPr>
              <w:t xml:space="preserve"> </w:t>
            </w:r>
            <w:r w:rsidR="00E037CE" w:rsidRPr="00043B8D">
              <w:rPr>
                <w:rFonts w:cs="Tahoma"/>
                <w:lang w:val="nl-BE" w:eastAsia="nl-NL"/>
              </w:rPr>
              <w:t>E</w:t>
            </w:r>
            <w:r w:rsidRPr="00043B8D">
              <w:rPr>
                <w:rFonts w:cs="Tahoma"/>
                <w:lang w:val="nl-BE" w:eastAsia="nl-NL"/>
              </w:rPr>
              <w:t xml:space="preserve">lektriciteitsdistributienetgebruiker </w:t>
            </w:r>
            <w:r w:rsidR="00B55E03" w:rsidRPr="00043B8D">
              <w:rPr>
                <w:rFonts w:cs="Tahoma"/>
                <w:lang w:val="nl-BE" w:eastAsia="nl-NL"/>
              </w:rPr>
              <w:t xml:space="preserve">met toegangspunt voor afname </w:t>
            </w:r>
            <w:r w:rsidRPr="00043B8D">
              <w:rPr>
                <w:rFonts w:cs="Tahoma"/>
                <w:lang w:val="nl-BE" w:eastAsia="nl-NL"/>
              </w:rPr>
              <w:t>op het laagspanningsnet en met een decentrale productie-eenheid met een</w:t>
            </w:r>
            <w:r w:rsidR="00436BD2" w:rsidRPr="00043B8D">
              <w:rPr>
                <w:rFonts w:cs="Tahoma"/>
                <w:lang w:val="nl-BE" w:eastAsia="nl-NL"/>
              </w:rPr>
              <w:t xml:space="preserve"> </w:t>
            </w:r>
            <w:r w:rsidR="009967B6" w:rsidRPr="00043B8D">
              <w:rPr>
                <w:rFonts w:cs="Tahoma"/>
                <w:lang w:val="nl-BE" w:eastAsia="nl-NL"/>
              </w:rPr>
              <w:t>[</w:t>
            </w:r>
            <w:r w:rsidR="00436BD2" w:rsidRPr="00043B8D">
              <w:rPr>
                <w:rFonts w:cs="Tahoma"/>
                <w:lang w:val="nl-BE" w:eastAsia="nl-NL"/>
              </w:rPr>
              <w:t>maximaal</w:t>
            </w:r>
            <w:r w:rsidR="009967B6" w:rsidRPr="00043B8D">
              <w:rPr>
                <w:rFonts w:cs="Tahoma"/>
                <w:lang w:val="nl-BE" w:eastAsia="nl-NL"/>
              </w:rPr>
              <w:t>]</w:t>
            </w:r>
            <w:r w:rsidR="009967B6" w:rsidRPr="00043B8D">
              <w:rPr>
                <w:rStyle w:val="Voetnootmarkering"/>
                <w:rFonts w:cs="Tahoma"/>
                <w:lang w:val="nl-BE" w:eastAsia="nl-NL"/>
              </w:rPr>
              <w:footnoteReference w:id="2"/>
            </w:r>
            <w:r w:rsidR="00436BD2" w:rsidRPr="00043B8D">
              <w:rPr>
                <w:rFonts w:cs="Tahoma"/>
                <w:lang w:val="nl-BE" w:eastAsia="nl-NL"/>
              </w:rPr>
              <w:t xml:space="preserve"> </w:t>
            </w:r>
            <w:r w:rsidRPr="00043B8D">
              <w:rPr>
                <w:rFonts w:cs="Tahoma"/>
                <w:lang w:val="nl-BE" w:eastAsia="nl-NL"/>
              </w:rPr>
              <w:t>AC-vermogen kleiner dan of gelijk aan 10 kVA</w:t>
            </w:r>
            <w:r w:rsidR="009967B6" w:rsidRPr="00043B8D">
              <w:rPr>
                <w:rFonts w:cs="Tahoma"/>
                <w:lang w:val="nl-BE" w:eastAsia="nl-NL"/>
              </w:rPr>
              <w:t>[</w:t>
            </w:r>
            <w:r w:rsidR="00436BD2" w:rsidRPr="00043B8D">
              <w:rPr>
                <w:rStyle w:val="Voetnootmarkering"/>
                <w:rFonts w:cs="Tahoma"/>
                <w:lang w:val="nl-BE" w:eastAsia="nl-NL"/>
              </w:rPr>
              <w:footnoteReference w:id="3"/>
            </w:r>
            <w:r w:rsidR="009967B6" w:rsidRPr="00043B8D">
              <w:rPr>
                <w:rFonts w:cs="Tahoma"/>
                <w:lang w:val="nl-BE" w:eastAsia="nl-NL"/>
              </w:rPr>
              <w:t>]</w:t>
            </w:r>
            <w:r w:rsidR="009967B6" w:rsidRPr="00043B8D">
              <w:rPr>
                <w:rStyle w:val="Voetnootmarkering"/>
                <w:rFonts w:cs="Tahoma"/>
                <w:lang w:val="nl-BE" w:eastAsia="nl-NL"/>
              </w:rPr>
              <w:footnoteReference w:id="4"/>
            </w:r>
            <w:r w:rsidR="00E15256" w:rsidRPr="00043B8D">
              <w:rPr>
                <w:rFonts w:cs="Tahoma"/>
                <w:lang w:val="nl-BE" w:eastAsia="nl-NL"/>
              </w:rPr>
              <w:t xml:space="preserve"> die hem in staat stelt elektriciteit te injecteren op het elektriciteitsdistributienet</w:t>
            </w:r>
            <w:r w:rsidR="00FD2ED4" w:rsidRPr="00043B8D">
              <w:rPr>
                <w:rFonts w:cs="Tahoma"/>
                <w:lang w:val="nl-BE" w:eastAsia="nl-NL"/>
              </w:rPr>
              <w:t>;</w:t>
            </w:r>
          </w:p>
        </w:tc>
      </w:tr>
      <w:tr w:rsidR="00B41023" w:rsidRPr="00043B8D" w14:paraId="7C285D42" w14:textId="77777777" w:rsidTr="004D49B3">
        <w:trPr>
          <w:cantSplit/>
          <w:trHeight w:val="20"/>
        </w:trPr>
        <w:tc>
          <w:tcPr>
            <w:tcW w:w="9284" w:type="dxa"/>
            <w:tcBorders>
              <w:top w:val="nil"/>
              <w:left w:val="nil"/>
              <w:bottom w:val="nil"/>
              <w:right w:val="nil"/>
            </w:tcBorders>
            <w:shd w:val="clear" w:color="auto" w:fill="auto"/>
            <w:noWrap/>
          </w:tcPr>
          <w:p w14:paraId="722E7AC2" w14:textId="6F4CDB58" w:rsidR="00B41023" w:rsidRPr="00043B8D" w:rsidRDefault="00B41023" w:rsidP="004D49B3">
            <w:pPr>
              <w:rPr>
                <w:rFonts w:cs="Tahoma"/>
                <w:b/>
                <w:bCs/>
                <w:lang w:val="nl-BE" w:eastAsia="nl-NL"/>
              </w:rPr>
            </w:pPr>
            <w:r w:rsidRPr="00043B8D">
              <w:rPr>
                <w:rFonts w:cs="Tahoma"/>
                <w:b/>
                <w:lang w:val="nl-BE" w:eastAsia="nl-NL"/>
              </w:rPr>
              <w:t>Rapporteringsmodel:</w:t>
            </w:r>
            <w:r w:rsidRPr="00043B8D">
              <w:rPr>
                <w:rFonts w:cs="Tahoma"/>
                <w:lang w:val="nl-BE" w:eastAsia="nl-NL"/>
              </w:rPr>
              <w:t xml:space="preserve"> Het geheel van documenten, tabellen en gegevens zoals beschreven in par. </w:t>
            </w:r>
            <w:r w:rsidRPr="00043B8D">
              <w:rPr>
                <w:rFonts w:cs="Tahoma"/>
                <w:lang w:val="nl-BE" w:eastAsia="nl-NL"/>
              </w:rPr>
              <w:fldChar w:fldCharType="begin"/>
            </w:r>
            <w:r w:rsidRPr="00043B8D">
              <w:rPr>
                <w:rFonts w:cs="Tahoma"/>
                <w:lang w:val="nl-BE" w:eastAsia="nl-NL"/>
              </w:rPr>
              <w:instrText xml:space="preserve"> REF _Ref390427963 \r \h  \* MERGEFORMAT </w:instrText>
            </w:r>
            <w:r w:rsidRPr="00043B8D">
              <w:rPr>
                <w:rFonts w:cs="Tahoma"/>
                <w:lang w:val="nl-BE" w:eastAsia="nl-NL"/>
              </w:rPr>
            </w:r>
            <w:r w:rsidRPr="00043B8D">
              <w:rPr>
                <w:rFonts w:cs="Tahoma"/>
                <w:lang w:val="nl-BE" w:eastAsia="nl-NL"/>
              </w:rPr>
              <w:fldChar w:fldCharType="separate"/>
            </w:r>
            <w:r w:rsidR="00B30F9B">
              <w:rPr>
                <w:rFonts w:cs="Tahoma"/>
                <w:lang w:val="nl-BE" w:eastAsia="nl-NL"/>
              </w:rPr>
              <w:t>8</w:t>
            </w:r>
            <w:r w:rsidRPr="00043B8D">
              <w:rPr>
                <w:rFonts w:cs="Tahoma"/>
                <w:lang w:val="nl-BE" w:eastAsia="nl-NL"/>
              </w:rPr>
              <w:fldChar w:fldCharType="end"/>
            </w:r>
            <w:r w:rsidRPr="00043B8D">
              <w:rPr>
                <w:rFonts w:cs="Tahoma"/>
                <w:lang w:val="nl-BE" w:eastAsia="nl-NL"/>
              </w:rPr>
              <w:t xml:space="preserve"> en de bijhorende invulinstructie (par. </w:t>
            </w:r>
            <w:r w:rsidRPr="00043B8D">
              <w:rPr>
                <w:rFonts w:cs="Tahoma"/>
                <w:lang w:val="nl-BE" w:eastAsia="nl-NL"/>
              </w:rPr>
              <w:fldChar w:fldCharType="begin"/>
            </w:r>
            <w:r w:rsidRPr="00043B8D">
              <w:rPr>
                <w:rFonts w:cs="Tahoma"/>
                <w:lang w:val="nl-BE" w:eastAsia="nl-NL"/>
              </w:rPr>
              <w:instrText xml:space="preserve"> REF _Ref392233276 \r \h </w:instrText>
            </w:r>
            <w:r w:rsidR="004D49B3" w:rsidRPr="00043B8D">
              <w:rPr>
                <w:rFonts w:cs="Tahoma"/>
                <w:lang w:val="nl-BE" w:eastAsia="nl-NL"/>
              </w:rPr>
              <w:instrText xml:space="preserve"> \* MERGEFORMAT </w:instrText>
            </w:r>
            <w:r w:rsidRPr="00043B8D">
              <w:rPr>
                <w:rFonts w:cs="Tahoma"/>
                <w:lang w:val="nl-BE" w:eastAsia="nl-NL"/>
              </w:rPr>
            </w:r>
            <w:r w:rsidRPr="00043B8D">
              <w:rPr>
                <w:rFonts w:cs="Tahoma"/>
                <w:lang w:val="nl-BE" w:eastAsia="nl-NL"/>
              </w:rPr>
              <w:fldChar w:fldCharType="separate"/>
            </w:r>
            <w:r w:rsidR="00B30F9B">
              <w:rPr>
                <w:rFonts w:cs="Tahoma"/>
                <w:lang w:val="nl-BE" w:eastAsia="nl-NL"/>
              </w:rPr>
              <w:t>10.1</w:t>
            </w:r>
            <w:r w:rsidRPr="00043B8D">
              <w:rPr>
                <w:rFonts w:cs="Tahoma"/>
                <w:lang w:val="nl-BE" w:eastAsia="nl-NL"/>
              </w:rPr>
              <w:fldChar w:fldCharType="end"/>
            </w:r>
            <w:r w:rsidRPr="00043B8D">
              <w:rPr>
                <w:rFonts w:cs="Tahoma"/>
                <w:lang w:val="nl-BE" w:eastAsia="nl-NL"/>
              </w:rPr>
              <w:t>);</w:t>
            </w:r>
          </w:p>
        </w:tc>
      </w:tr>
      <w:tr w:rsidR="00B41023" w:rsidRPr="00043B8D" w14:paraId="02771C65" w14:textId="77777777" w:rsidTr="004D49B3">
        <w:trPr>
          <w:cantSplit/>
          <w:trHeight w:val="20"/>
        </w:trPr>
        <w:tc>
          <w:tcPr>
            <w:tcW w:w="9284" w:type="dxa"/>
            <w:tcBorders>
              <w:top w:val="nil"/>
              <w:left w:val="nil"/>
              <w:bottom w:val="nil"/>
              <w:right w:val="nil"/>
            </w:tcBorders>
            <w:shd w:val="clear" w:color="auto" w:fill="auto"/>
            <w:noWrap/>
          </w:tcPr>
          <w:p w14:paraId="338EA5B0" w14:textId="77777777" w:rsidR="00B41023" w:rsidRPr="00043B8D" w:rsidRDefault="00B41023" w:rsidP="004D49B3">
            <w:pPr>
              <w:rPr>
                <w:rFonts w:cs="Tahoma"/>
                <w:b/>
                <w:bCs/>
                <w:lang w:eastAsia="nl-NL"/>
              </w:rPr>
            </w:pPr>
            <w:r w:rsidRPr="00043B8D">
              <w:rPr>
                <w:rFonts w:cs="Tahoma"/>
                <w:b/>
                <w:bCs/>
                <w:lang w:eastAsia="nl-NL"/>
              </w:rPr>
              <w:t>Regulatoir actief (-passief):</w:t>
            </w:r>
            <w:r w:rsidRPr="00043B8D">
              <w:rPr>
                <w:rFonts w:cs="Tahoma"/>
                <w:lang w:eastAsia="nl-NL"/>
              </w:rPr>
              <w:t xml:space="preserve"> De regulatoire rekeningen onder de vorige tariefmethodologieën, volgens de tarieven-KB’s 2008 en voorheen. Voor een meer gedetailleerde bespreking verwijzen we naar par. </w:t>
            </w:r>
            <w:r w:rsidRPr="00043B8D">
              <w:rPr>
                <w:rFonts w:cs="Tahoma"/>
                <w:lang w:eastAsia="nl-NL"/>
              </w:rPr>
              <w:fldChar w:fldCharType="begin"/>
            </w:r>
            <w:r w:rsidRPr="00043B8D">
              <w:rPr>
                <w:rFonts w:cs="Tahoma"/>
                <w:lang w:eastAsia="nl-NL"/>
              </w:rPr>
              <w:instrText xml:space="preserve"> REF _Ref390688406 \r \h  \* MERGEFORMAT </w:instrText>
            </w:r>
            <w:r w:rsidRPr="00043B8D">
              <w:rPr>
                <w:rFonts w:cs="Tahoma"/>
                <w:lang w:eastAsia="nl-NL"/>
              </w:rPr>
            </w:r>
            <w:r w:rsidRPr="00043B8D">
              <w:rPr>
                <w:rFonts w:cs="Tahoma"/>
                <w:lang w:eastAsia="nl-NL"/>
              </w:rPr>
              <w:fldChar w:fldCharType="separate"/>
            </w:r>
            <w:r w:rsidR="00B30F9B">
              <w:rPr>
                <w:rFonts w:cs="Tahoma"/>
                <w:lang w:eastAsia="nl-NL"/>
              </w:rPr>
              <w:t>5.5</w:t>
            </w:r>
            <w:r w:rsidRPr="00043B8D">
              <w:rPr>
                <w:rFonts w:cs="Tahoma"/>
                <w:lang w:eastAsia="nl-NL"/>
              </w:rPr>
              <w:fldChar w:fldCharType="end"/>
            </w:r>
            <w:r w:rsidRPr="00043B8D">
              <w:rPr>
                <w:rFonts w:cs="Tahoma"/>
                <w:lang w:eastAsia="nl-NL"/>
              </w:rPr>
              <w:t>;</w:t>
            </w:r>
          </w:p>
        </w:tc>
      </w:tr>
      <w:tr w:rsidR="00B41023" w:rsidRPr="00043B8D" w14:paraId="58A3A31D" w14:textId="77777777" w:rsidTr="004D49B3">
        <w:trPr>
          <w:cantSplit/>
          <w:trHeight w:val="20"/>
        </w:trPr>
        <w:tc>
          <w:tcPr>
            <w:tcW w:w="9284" w:type="dxa"/>
            <w:tcBorders>
              <w:top w:val="nil"/>
              <w:left w:val="nil"/>
              <w:bottom w:val="nil"/>
              <w:right w:val="nil"/>
            </w:tcBorders>
            <w:shd w:val="clear" w:color="auto" w:fill="auto"/>
            <w:noWrap/>
          </w:tcPr>
          <w:p w14:paraId="2E88FECC" w14:textId="77777777" w:rsidR="00B41023" w:rsidRPr="00043B8D" w:rsidRDefault="00B41023" w:rsidP="004D49B3">
            <w:pPr>
              <w:rPr>
                <w:rFonts w:cs="Tahoma"/>
                <w:bCs/>
                <w:lang w:eastAsia="nl-NL"/>
              </w:rPr>
            </w:pPr>
            <w:r w:rsidRPr="00043B8D">
              <w:rPr>
                <w:rFonts w:cs="Tahoma"/>
                <w:b/>
                <w:bCs/>
                <w:lang w:eastAsia="nl-NL"/>
              </w:rPr>
              <w:t>Regulatoir risico:</w:t>
            </w:r>
            <w:r w:rsidRPr="00043B8D">
              <w:rPr>
                <w:rFonts w:cs="Tahoma"/>
                <w:bCs/>
                <w:lang w:eastAsia="nl-NL"/>
              </w:rPr>
              <w:t xml:space="preserve"> het risico dat een wijziging in de wetgeving of de regulering materiële impact heeft op de waarde van een aandeel, een bedrijf, een sector of een markt;</w:t>
            </w:r>
          </w:p>
        </w:tc>
      </w:tr>
      <w:tr w:rsidR="00B41023" w:rsidRPr="00043B8D" w14:paraId="05053D9E" w14:textId="77777777" w:rsidTr="004D49B3">
        <w:trPr>
          <w:cantSplit/>
          <w:trHeight w:val="20"/>
        </w:trPr>
        <w:tc>
          <w:tcPr>
            <w:tcW w:w="9284" w:type="dxa"/>
            <w:tcBorders>
              <w:top w:val="nil"/>
              <w:left w:val="nil"/>
              <w:bottom w:val="nil"/>
              <w:right w:val="nil"/>
            </w:tcBorders>
            <w:shd w:val="clear" w:color="auto" w:fill="auto"/>
            <w:noWrap/>
          </w:tcPr>
          <w:p w14:paraId="18B57990" w14:textId="77777777" w:rsidR="00B41023" w:rsidRPr="00043B8D" w:rsidRDefault="00B41023" w:rsidP="004D49B3">
            <w:pPr>
              <w:rPr>
                <w:rFonts w:cs="Tahoma"/>
                <w:b/>
                <w:bCs/>
                <w:lang w:eastAsia="nl-NL"/>
              </w:rPr>
            </w:pPr>
            <w:r w:rsidRPr="00043B8D">
              <w:rPr>
                <w:rFonts w:cs="Tahoma"/>
                <w:b/>
                <w:bCs/>
                <w:lang w:eastAsia="nl-NL"/>
              </w:rPr>
              <w:t xml:space="preserve">Regulatoire rekeningen: </w:t>
            </w:r>
            <w:r w:rsidRPr="00043B8D">
              <w:rPr>
                <w:rFonts w:cs="Tahoma"/>
                <w:lang w:eastAsia="nl-NL"/>
              </w:rPr>
              <w:t xml:space="preserve">Kosten en opbrengsten die van de resultatenrekening van de distributienetbeheerder werden overgeboekt naar de balans in het kader van het vaststellen van een boekhoudkundig resultaat volgens een tariefmethodologie. Deze term is zowel van toepassing onder de huidige tariefmethodologie als onder de vorige tariefmethodologieën (o.a. volgens de tarieven-KB’s 2008). Onder de huidige tariefmethodologie worden deze regulatoire rekeningen als ‘regulatoire saldi’ gedefinieerd, terwijl deze onder de vorige tariefmethodologieën als ‘regulatoir actief (-passief)’ werden gedefinieerd. Voor een meer gedetailleerde bespreking verwijzen we naar par. </w:t>
            </w:r>
            <w:r w:rsidRPr="00043B8D">
              <w:rPr>
                <w:rFonts w:cs="Tahoma"/>
                <w:lang w:eastAsia="nl-NL"/>
              </w:rPr>
              <w:fldChar w:fldCharType="begin"/>
            </w:r>
            <w:r w:rsidRPr="00043B8D">
              <w:rPr>
                <w:rFonts w:cs="Tahoma"/>
                <w:lang w:eastAsia="nl-NL"/>
              </w:rPr>
              <w:instrText xml:space="preserve"> REF _Ref390688079 \r \h  \* MERGEFORMAT </w:instrText>
            </w:r>
            <w:r w:rsidRPr="00043B8D">
              <w:rPr>
                <w:rFonts w:cs="Tahoma"/>
                <w:lang w:eastAsia="nl-NL"/>
              </w:rPr>
            </w:r>
            <w:r w:rsidRPr="00043B8D">
              <w:rPr>
                <w:rFonts w:cs="Tahoma"/>
                <w:lang w:eastAsia="nl-NL"/>
              </w:rPr>
              <w:fldChar w:fldCharType="separate"/>
            </w:r>
            <w:r w:rsidR="00B30F9B">
              <w:rPr>
                <w:rFonts w:cs="Tahoma"/>
                <w:lang w:eastAsia="nl-NL"/>
              </w:rPr>
              <w:t>5.5</w:t>
            </w:r>
            <w:r w:rsidRPr="00043B8D">
              <w:rPr>
                <w:rFonts w:cs="Tahoma"/>
                <w:lang w:eastAsia="nl-NL"/>
              </w:rPr>
              <w:fldChar w:fldCharType="end"/>
            </w:r>
            <w:r w:rsidRPr="00043B8D">
              <w:rPr>
                <w:rFonts w:cs="Tahoma"/>
                <w:lang w:eastAsia="nl-NL"/>
              </w:rPr>
              <w:t>;</w:t>
            </w:r>
          </w:p>
        </w:tc>
      </w:tr>
      <w:tr w:rsidR="00B41023" w:rsidRPr="00043B8D" w14:paraId="2E8EF646" w14:textId="77777777" w:rsidTr="004D49B3">
        <w:trPr>
          <w:cantSplit/>
          <w:trHeight w:val="20"/>
        </w:trPr>
        <w:tc>
          <w:tcPr>
            <w:tcW w:w="9284" w:type="dxa"/>
            <w:tcBorders>
              <w:top w:val="nil"/>
              <w:left w:val="nil"/>
              <w:bottom w:val="nil"/>
              <w:right w:val="nil"/>
            </w:tcBorders>
            <w:shd w:val="clear" w:color="auto" w:fill="auto"/>
            <w:noWrap/>
          </w:tcPr>
          <w:p w14:paraId="351981A2" w14:textId="77777777" w:rsidR="00B41023" w:rsidRPr="00043B8D" w:rsidRDefault="00B41023" w:rsidP="004D49B3">
            <w:pPr>
              <w:rPr>
                <w:rFonts w:cs="Tahoma"/>
                <w:b/>
                <w:bCs/>
                <w:lang w:eastAsia="nl-NL"/>
              </w:rPr>
            </w:pPr>
            <w:r w:rsidRPr="00043B8D">
              <w:rPr>
                <w:rFonts w:cs="Tahoma"/>
                <w:b/>
                <w:bCs/>
                <w:lang w:eastAsia="nl-NL"/>
              </w:rPr>
              <w:t>Regulatoire saldi:</w:t>
            </w:r>
            <w:r w:rsidRPr="00043B8D">
              <w:rPr>
                <w:rFonts w:cs="Tahoma"/>
                <w:lang w:eastAsia="nl-NL"/>
              </w:rPr>
              <w:t xml:space="preserve"> De regulatoire rekeningen onder de tariefmethodologie toegepast door de VREG vanaf 2015.</w:t>
            </w:r>
            <w:r w:rsidRPr="00043B8D">
              <w:rPr>
                <w:rFonts w:cs="Tahoma"/>
                <w:b/>
                <w:bCs/>
                <w:lang w:eastAsia="nl-NL"/>
              </w:rPr>
              <w:t xml:space="preserve"> </w:t>
            </w:r>
            <w:r w:rsidRPr="00043B8D">
              <w:rPr>
                <w:rFonts w:cs="Tahoma"/>
                <w:lang w:eastAsia="nl-NL"/>
              </w:rPr>
              <w:t xml:space="preserve">Voor een meer gedetailleerde bespreking verwijzen we naar par. </w:t>
            </w:r>
            <w:r w:rsidRPr="00043B8D">
              <w:rPr>
                <w:rFonts w:cs="Tahoma"/>
                <w:lang w:eastAsia="nl-NL"/>
              </w:rPr>
              <w:fldChar w:fldCharType="begin"/>
            </w:r>
            <w:r w:rsidRPr="00043B8D">
              <w:rPr>
                <w:rFonts w:cs="Tahoma"/>
                <w:lang w:eastAsia="nl-NL"/>
              </w:rPr>
              <w:instrText xml:space="preserve"> REF _Ref390688079 \r \h  \* MERGEFORMAT </w:instrText>
            </w:r>
            <w:r w:rsidRPr="00043B8D">
              <w:rPr>
                <w:rFonts w:cs="Tahoma"/>
                <w:lang w:eastAsia="nl-NL"/>
              </w:rPr>
            </w:r>
            <w:r w:rsidRPr="00043B8D">
              <w:rPr>
                <w:rFonts w:cs="Tahoma"/>
                <w:lang w:eastAsia="nl-NL"/>
              </w:rPr>
              <w:fldChar w:fldCharType="separate"/>
            </w:r>
            <w:r w:rsidR="00B30F9B">
              <w:rPr>
                <w:rFonts w:cs="Tahoma"/>
                <w:lang w:eastAsia="nl-NL"/>
              </w:rPr>
              <w:t>5.5</w:t>
            </w:r>
            <w:r w:rsidRPr="00043B8D">
              <w:rPr>
                <w:rFonts w:cs="Tahoma"/>
                <w:lang w:eastAsia="nl-NL"/>
              </w:rPr>
              <w:fldChar w:fldCharType="end"/>
            </w:r>
            <w:r w:rsidRPr="00043B8D">
              <w:rPr>
                <w:rFonts w:cs="Tahoma"/>
                <w:lang w:eastAsia="nl-NL"/>
              </w:rPr>
              <w:t>;</w:t>
            </w:r>
          </w:p>
        </w:tc>
      </w:tr>
      <w:tr w:rsidR="00B41023" w:rsidRPr="00043B8D" w14:paraId="0C3976AD" w14:textId="77777777" w:rsidTr="004D49B3">
        <w:trPr>
          <w:cantSplit/>
          <w:trHeight w:val="20"/>
        </w:trPr>
        <w:tc>
          <w:tcPr>
            <w:tcW w:w="9284" w:type="dxa"/>
            <w:tcBorders>
              <w:top w:val="nil"/>
              <w:left w:val="nil"/>
              <w:bottom w:val="nil"/>
              <w:right w:val="nil"/>
            </w:tcBorders>
            <w:shd w:val="clear" w:color="auto" w:fill="auto"/>
            <w:noWrap/>
          </w:tcPr>
          <w:p w14:paraId="3D8AADC7" w14:textId="77777777" w:rsidR="00B41023" w:rsidRPr="00043B8D" w:rsidRDefault="00B41023" w:rsidP="004D49B3">
            <w:pPr>
              <w:rPr>
                <w:rFonts w:cs="Tahoma"/>
                <w:b/>
                <w:bCs/>
                <w:lang w:eastAsia="nl-NL"/>
              </w:rPr>
            </w:pPr>
            <w:r w:rsidRPr="00043B8D">
              <w:rPr>
                <w:rFonts w:cs="Tahoma"/>
                <w:b/>
                <w:bCs/>
                <w:lang w:eastAsia="nl-NL"/>
              </w:rPr>
              <w:t>Reguleringsperiode:</w:t>
            </w:r>
            <w:r w:rsidRPr="00043B8D">
              <w:rPr>
                <w:rFonts w:cs="Tahoma"/>
                <w:lang w:eastAsia="nl-NL"/>
              </w:rPr>
              <w:t xml:space="preserve"> Opeenvolgende kalenderjaren waarvoor de periodieke distributienettarieven volgens een tariefmethodologie worden bepaald, de eerstvolgende periode verloopt over de kalenderjaren 2015-2016;</w:t>
            </w:r>
          </w:p>
        </w:tc>
      </w:tr>
      <w:tr w:rsidR="00B41023" w:rsidRPr="00043B8D" w14:paraId="419059AC" w14:textId="77777777" w:rsidTr="004D49B3">
        <w:trPr>
          <w:cantSplit/>
          <w:trHeight w:val="20"/>
        </w:trPr>
        <w:tc>
          <w:tcPr>
            <w:tcW w:w="9284" w:type="dxa"/>
            <w:tcBorders>
              <w:top w:val="nil"/>
              <w:left w:val="nil"/>
              <w:bottom w:val="nil"/>
              <w:right w:val="nil"/>
            </w:tcBorders>
            <w:shd w:val="clear" w:color="auto" w:fill="auto"/>
            <w:noWrap/>
          </w:tcPr>
          <w:p w14:paraId="138A73FD" w14:textId="77777777" w:rsidR="00B41023" w:rsidRPr="00043B8D" w:rsidRDefault="00B41023" w:rsidP="004D49B3">
            <w:pPr>
              <w:rPr>
                <w:rFonts w:cs="Tahoma"/>
                <w:b/>
                <w:bCs/>
                <w:lang w:eastAsia="nl-NL"/>
              </w:rPr>
            </w:pPr>
            <w:r w:rsidRPr="00043B8D">
              <w:rPr>
                <w:rFonts w:cs="Tahoma"/>
                <w:b/>
                <w:bCs/>
                <w:lang w:eastAsia="nl-NL"/>
              </w:rPr>
              <w:t>Rekenvolume</w:t>
            </w:r>
            <w:r w:rsidRPr="00043B8D">
              <w:rPr>
                <w:rFonts w:cs="Tahoma"/>
                <w:lang w:eastAsia="nl-NL"/>
              </w:rPr>
              <w:t>: De afzetvolumes van de tariefdragers (bijvoorbeeld het aantal kWh afgenomen, het aantal toegangspunten,…) waarmee de toegelaten inkomsten uit periodieke distributienettarieven voor een bepaald jaar worden vertaald naar periodieke distributienettarieven voor dat jaar;</w:t>
            </w:r>
          </w:p>
        </w:tc>
      </w:tr>
      <w:tr w:rsidR="00B41023" w:rsidRPr="00043B8D" w14:paraId="25D84F3E" w14:textId="77777777" w:rsidTr="004D49B3">
        <w:trPr>
          <w:cantSplit/>
          <w:trHeight w:val="20"/>
        </w:trPr>
        <w:tc>
          <w:tcPr>
            <w:tcW w:w="9284" w:type="dxa"/>
            <w:tcBorders>
              <w:top w:val="nil"/>
              <w:left w:val="nil"/>
              <w:bottom w:val="nil"/>
              <w:right w:val="nil"/>
            </w:tcBorders>
            <w:shd w:val="clear" w:color="auto" w:fill="auto"/>
            <w:noWrap/>
          </w:tcPr>
          <w:p w14:paraId="59CCEE21" w14:textId="77777777" w:rsidR="00B41023" w:rsidRPr="00043B8D" w:rsidRDefault="00B41023" w:rsidP="004D49B3">
            <w:pPr>
              <w:rPr>
                <w:rFonts w:cs="Tahoma"/>
                <w:b/>
                <w:bCs/>
                <w:lang w:eastAsia="nl-NL"/>
              </w:rPr>
            </w:pPr>
            <w:r w:rsidRPr="00043B8D">
              <w:rPr>
                <w:rFonts w:cs="Tahoma"/>
                <w:b/>
                <w:bCs/>
                <w:lang w:eastAsia="nl-NL"/>
              </w:rPr>
              <w:t>Richtlijn 2009/28/EG:</w:t>
            </w:r>
            <w:r w:rsidRPr="00043B8D">
              <w:rPr>
                <w:rFonts w:cs="Tahoma"/>
                <w:lang w:eastAsia="nl-NL"/>
              </w:rPr>
              <w:t xml:space="preserve"> Richtlijn 2009/28/EG van het Europees Parlement en de Raad van 23 april 2009 ter bevordering van het gebruik van energie uit hernieuwbare bronnen en houdende wijziging en intrekking van Richtlijn 2001/77/EG en Richtlijn 2003/30/EG;</w:t>
            </w:r>
          </w:p>
        </w:tc>
      </w:tr>
      <w:tr w:rsidR="00B41023" w:rsidRPr="00043B8D" w14:paraId="11A1CAC2" w14:textId="77777777" w:rsidTr="004D49B3">
        <w:trPr>
          <w:cantSplit/>
          <w:trHeight w:val="20"/>
        </w:trPr>
        <w:tc>
          <w:tcPr>
            <w:tcW w:w="9284" w:type="dxa"/>
            <w:tcBorders>
              <w:top w:val="nil"/>
              <w:left w:val="nil"/>
              <w:bottom w:val="nil"/>
              <w:right w:val="nil"/>
            </w:tcBorders>
            <w:shd w:val="clear" w:color="auto" w:fill="auto"/>
            <w:noWrap/>
          </w:tcPr>
          <w:p w14:paraId="7664BC89" w14:textId="77777777" w:rsidR="00B41023" w:rsidRPr="00043B8D" w:rsidRDefault="00B41023" w:rsidP="004D49B3">
            <w:pPr>
              <w:rPr>
                <w:rFonts w:cs="Tahoma"/>
                <w:lang w:eastAsia="nl-NL"/>
              </w:rPr>
            </w:pPr>
            <w:r w:rsidRPr="00043B8D">
              <w:rPr>
                <w:rFonts w:cs="Tahoma"/>
                <w:b/>
                <w:lang w:eastAsia="nl-NL"/>
              </w:rPr>
              <w:t>Richtlijn 2009/72/EG</w:t>
            </w:r>
            <w:r w:rsidRPr="00043B8D">
              <w:rPr>
                <w:rFonts w:cs="Tahoma"/>
                <w:lang w:eastAsia="nl-NL"/>
              </w:rPr>
              <w:t>: Richtlijn 2009/72/EG van het Europees Parlement en de Raad van 13 juli 2009 betreffende gemeenschappelijke regels voor de interne markt voor elektriciteit en tot intrekking van richtlijn 2003/54/EG;</w:t>
            </w:r>
          </w:p>
        </w:tc>
      </w:tr>
      <w:tr w:rsidR="00B41023" w:rsidRPr="00043B8D" w14:paraId="2F54EFD4" w14:textId="77777777" w:rsidTr="004D49B3">
        <w:trPr>
          <w:cantSplit/>
          <w:trHeight w:val="20"/>
        </w:trPr>
        <w:tc>
          <w:tcPr>
            <w:tcW w:w="9284" w:type="dxa"/>
            <w:tcBorders>
              <w:top w:val="nil"/>
              <w:left w:val="nil"/>
              <w:bottom w:val="nil"/>
              <w:right w:val="nil"/>
            </w:tcBorders>
            <w:shd w:val="clear" w:color="auto" w:fill="auto"/>
            <w:noWrap/>
          </w:tcPr>
          <w:p w14:paraId="06EC390A" w14:textId="77777777" w:rsidR="00B41023" w:rsidRPr="00043B8D" w:rsidRDefault="00B41023" w:rsidP="004D49B3">
            <w:pPr>
              <w:rPr>
                <w:rFonts w:cs="Tahoma"/>
                <w:lang w:eastAsia="nl-NL"/>
              </w:rPr>
            </w:pPr>
            <w:r w:rsidRPr="00043B8D">
              <w:rPr>
                <w:rFonts w:cs="Tahoma"/>
                <w:b/>
                <w:lang w:eastAsia="nl-NL"/>
              </w:rPr>
              <w:t>Richtlijn 2009/73/EG</w:t>
            </w:r>
            <w:r w:rsidRPr="00043B8D">
              <w:rPr>
                <w:rFonts w:cs="Tahoma"/>
                <w:lang w:eastAsia="nl-NL"/>
              </w:rPr>
              <w:t xml:space="preserve">: Richtlijn 2009/73/EG van het Europees Parlement en de Raad van 13  juli 2009 betreffende gemeenschappelijke regels voor de interne markt voor aardgas en tot intrekking van Richtlijn 2003/55/EG;  </w:t>
            </w:r>
          </w:p>
        </w:tc>
      </w:tr>
      <w:tr w:rsidR="00B41023" w:rsidRPr="00043B8D" w14:paraId="46141199" w14:textId="77777777" w:rsidTr="004D49B3">
        <w:trPr>
          <w:cantSplit/>
          <w:trHeight w:val="20"/>
        </w:trPr>
        <w:tc>
          <w:tcPr>
            <w:tcW w:w="9284" w:type="dxa"/>
            <w:tcBorders>
              <w:top w:val="nil"/>
              <w:left w:val="nil"/>
              <w:bottom w:val="nil"/>
              <w:right w:val="nil"/>
            </w:tcBorders>
            <w:shd w:val="clear" w:color="auto" w:fill="auto"/>
            <w:noWrap/>
          </w:tcPr>
          <w:p w14:paraId="68815E85" w14:textId="77777777" w:rsidR="00B41023" w:rsidRPr="00043B8D" w:rsidRDefault="00B41023" w:rsidP="004D49B3">
            <w:pPr>
              <w:rPr>
                <w:rFonts w:cs="Tahoma"/>
                <w:b/>
                <w:bCs/>
                <w:lang w:val="nl-BE" w:eastAsia="nl-NL"/>
              </w:rPr>
            </w:pPr>
            <w:r w:rsidRPr="00043B8D">
              <w:rPr>
                <w:rFonts w:cs="Tahoma"/>
                <w:b/>
                <w:bCs/>
                <w:lang w:val="nl-BE" w:eastAsia="nl-NL"/>
              </w:rPr>
              <w:t>Sector:</w:t>
            </w:r>
            <w:r w:rsidRPr="00043B8D">
              <w:rPr>
                <w:rFonts w:cs="Tahoma"/>
                <w:lang w:val="nl-BE" w:eastAsia="nl-NL"/>
              </w:rPr>
              <w:t xml:space="preserve"> De groep van alle distributienetbeheerders binnen eenzelfde gereguleerde activiteit (elektriciteit- of aardgasdistributie);</w:t>
            </w:r>
          </w:p>
        </w:tc>
      </w:tr>
      <w:tr w:rsidR="00B41023" w:rsidRPr="00043B8D" w14:paraId="4A3FB890" w14:textId="77777777" w:rsidTr="004D49B3">
        <w:trPr>
          <w:cantSplit/>
          <w:trHeight w:val="20"/>
        </w:trPr>
        <w:tc>
          <w:tcPr>
            <w:tcW w:w="9284" w:type="dxa"/>
            <w:tcBorders>
              <w:top w:val="nil"/>
              <w:left w:val="nil"/>
              <w:bottom w:val="nil"/>
              <w:right w:val="nil"/>
            </w:tcBorders>
            <w:shd w:val="clear" w:color="auto" w:fill="auto"/>
            <w:noWrap/>
          </w:tcPr>
          <w:p w14:paraId="0AF3E909" w14:textId="77777777" w:rsidR="00B41023" w:rsidRPr="00043B8D" w:rsidRDefault="00B41023" w:rsidP="004D49B3">
            <w:pPr>
              <w:rPr>
                <w:rFonts w:cs="Tahoma"/>
                <w:b/>
                <w:bCs/>
                <w:lang w:val="nl-BE" w:eastAsia="nl-NL"/>
              </w:rPr>
            </w:pPr>
            <w:r w:rsidRPr="00043B8D">
              <w:rPr>
                <w:rFonts w:cs="Tahoma"/>
                <w:b/>
                <w:bCs/>
                <w:lang w:val="nl-BE" w:eastAsia="nl-NL"/>
              </w:rPr>
              <w:t>Sectorinkomsten:</w:t>
            </w:r>
            <w:r w:rsidRPr="00043B8D">
              <w:rPr>
                <w:rFonts w:cs="Tahoma"/>
                <w:lang w:val="nl-BE" w:eastAsia="nl-NL"/>
              </w:rPr>
              <w:t xml:space="preserve"> Inkomsten gesommeerd over alle distributienetbeheerders binnen eenzelfde gereguleerde activiteit (elektriciteit- of aardgasdistributie);</w:t>
            </w:r>
          </w:p>
        </w:tc>
      </w:tr>
      <w:tr w:rsidR="00B41023" w:rsidRPr="00043B8D" w14:paraId="3399C2E4" w14:textId="77777777" w:rsidTr="004D49B3">
        <w:trPr>
          <w:cantSplit/>
          <w:trHeight w:val="20"/>
        </w:trPr>
        <w:tc>
          <w:tcPr>
            <w:tcW w:w="9284" w:type="dxa"/>
            <w:tcBorders>
              <w:top w:val="nil"/>
              <w:left w:val="nil"/>
              <w:bottom w:val="nil"/>
              <w:right w:val="nil"/>
            </w:tcBorders>
            <w:shd w:val="clear" w:color="auto" w:fill="auto"/>
            <w:noWrap/>
          </w:tcPr>
          <w:p w14:paraId="0998524B" w14:textId="77777777" w:rsidR="00B41023" w:rsidRPr="00043B8D" w:rsidRDefault="00B41023" w:rsidP="004D49B3">
            <w:pPr>
              <w:rPr>
                <w:rFonts w:cs="Tahoma"/>
                <w:lang w:val="nl-BE" w:eastAsia="nl-NL"/>
              </w:rPr>
            </w:pPr>
            <w:r w:rsidRPr="00043B8D">
              <w:rPr>
                <w:rFonts w:cs="Tahoma"/>
                <w:b/>
                <w:bCs/>
                <w:lang w:val="nl-BE" w:eastAsia="nl-NL"/>
              </w:rPr>
              <w:t>Sectorkosten:</w:t>
            </w:r>
            <w:r w:rsidRPr="00043B8D">
              <w:rPr>
                <w:rFonts w:cs="Tahoma"/>
                <w:lang w:val="nl-BE" w:eastAsia="nl-NL"/>
              </w:rPr>
              <w:t xml:space="preserve"> Kosten gesommeerd over alle distributienetbeheerders binnen eenzelfde gereguleerde activiteit (elektriciteit- of aardgasdistributie);</w:t>
            </w:r>
          </w:p>
        </w:tc>
      </w:tr>
      <w:tr w:rsidR="00B41023" w:rsidRPr="00043B8D" w14:paraId="3964D336" w14:textId="77777777" w:rsidTr="004D49B3">
        <w:trPr>
          <w:cantSplit/>
          <w:trHeight w:val="20"/>
        </w:trPr>
        <w:tc>
          <w:tcPr>
            <w:tcW w:w="9284" w:type="dxa"/>
            <w:tcBorders>
              <w:top w:val="nil"/>
              <w:left w:val="nil"/>
              <w:bottom w:val="nil"/>
              <w:right w:val="nil"/>
            </w:tcBorders>
            <w:shd w:val="clear" w:color="auto" w:fill="auto"/>
            <w:noWrap/>
          </w:tcPr>
          <w:p w14:paraId="2CD66EC9" w14:textId="77777777" w:rsidR="00B41023" w:rsidRPr="00043B8D" w:rsidRDefault="00B41023" w:rsidP="004D49B3">
            <w:pPr>
              <w:rPr>
                <w:rFonts w:cs="Tahoma"/>
                <w:b/>
                <w:bCs/>
                <w:lang w:val="nl-BE" w:eastAsia="nl-NL"/>
              </w:rPr>
            </w:pPr>
            <w:r w:rsidRPr="00043B8D">
              <w:rPr>
                <w:rFonts w:cs="Tahoma"/>
                <w:b/>
                <w:lang w:val="nl-BE" w:eastAsia="nl-NL"/>
              </w:rPr>
              <w:t xml:space="preserve">Solidarisering: </w:t>
            </w:r>
            <w:r w:rsidRPr="00043B8D">
              <w:rPr>
                <w:rFonts w:cs="Tahoma"/>
                <w:lang w:val="nl-BE" w:eastAsia="nl-NL"/>
              </w:rPr>
              <w:t xml:space="preserve">De jaarlijkse verrekening van de kosten van de groenestroom- en warmtekrachtcertificaten tussen de distributienetbeheerders onderling, zoals beschreven in respectievelijk </w:t>
            </w:r>
            <w:r w:rsidRPr="00043B8D">
              <w:t>art 7.1.6. § 2 en art 7.1.7 § 2 van het Energiedecree</w:t>
            </w:r>
            <w:r w:rsidRPr="00043B8D">
              <w:rPr>
                <w:rFonts w:cs="Tahoma"/>
                <w:lang w:val="nl-BE" w:eastAsia="nl-NL"/>
              </w:rPr>
              <w:t>t;</w:t>
            </w:r>
          </w:p>
        </w:tc>
      </w:tr>
      <w:tr w:rsidR="00B41023" w:rsidRPr="00043B8D" w14:paraId="7911E1F3" w14:textId="77777777" w:rsidTr="004D49B3">
        <w:trPr>
          <w:cantSplit/>
          <w:trHeight w:val="20"/>
        </w:trPr>
        <w:tc>
          <w:tcPr>
            <w:tcW w:w="9284" w:type="dxa"/>
            <w:tcBorders>
              <w:top w:val="nil"/>
              <w:left w:val="nil"/>
              <w:bottom w:val="nil"/>
              <w:right w:val="nil"/>
            </w:tcBorders>
            <w:shd w:val="clear" w:color="auto" w:fill="auto"/>
            <w:noWrap/>
          </w:tcPr>
          <w:p w14:paraId="6C078F50" w14:textId="77777777" w:rsidR="00B41023" w:rsidRPr="00043B8D" w:rsidRDefault="00B41023" w:rsidP="004D49B3">
            <w:pPr>
              <w:rPr>
                <w:rFonts w:cs="Tahoma"/>
                <w:b/>
                <w:bCs/>
                <w:lang w:val="nl-BE" w:eastAsia="nl-NL"/>
              </w:rPr>
            </w:pPr>
            <w:r w:rsidRPr="00043B8D">
              <w:rPr>
                <w:rFonts w:cs="Tahoma"/>
                <w:b/>
                <w:bCs/>
                <w:lang w:eastAsia="nl-NL"/>
              </w:rPr>
              <w:t>Stakeholder:</w:t>
            </w:r>
            <w:r w:rsidRPr="00043B8D">
              <w:rPr>
                <w:rFonts w:cs="Tahoma"/>
                <w:lang w:eastAsia="nl-NL"/>
              </w:rPr>
              <w:t xml:space="preserve"> Een belanghebbende, persoon of organisatie, die invloed ondervindt van de distributienettarieven;</w:t>
            </w:r>
          </w:p>
        </w:tc>
      </w:tr>
      <w:tr w:rsidR="00B41023" w:rsidRPr="00043B8D" w14:paraId="737F6538" w14:textId="77777777" w:rsidTr="004D49B3">
        <w:trPr>
          <w:cantSplit/>
          <w:trHeight w:val="20"/>
        </w:trPr>
        <w:tc>
          <w:tcPr>
            <w:tcW w:w="9284" w:type="dxa"/>
            <w:tcBorders>
              <w:top w:val="nil"/>
              <w:left w:val="nil"/>
              <w:bottom w:val="nil"/>
              <w:right w:val="nil"/>
            </w:tcBorders>
            <w:shd w:val="clear" w:color="auto" w:fill="auto"/>
            <w:noWrap/>
          </w:tcPr>
          <w:p w14:paraId="3E162B14" w14:textId="405A970B" w:rsidR="00B41023" w:rsidRPr="00043B8D" w:rsidRDefault="00B41023" w:rsidP="008107EE">
            <w:pPr>
              <w:rPr>
                <w:rFonts w:cs="Tahoma"/>
                <w:bCs/>
                <w:lang w:eastAsia="nl-NL"/>
              </w:rPr>
            </w:pPr>
            <w:r w:rsidRPr="00043B8D">
              <w:rPr>
                <w:rFonts w:cs="Tahoma"/>
                <w:b/>
                <w:lang w:eastAsia="nl-NL"/>
              </w:rPr>
              <w:t xml:space="preserve">Strafrechtelijke geldboete: </w:t>
            </w:r>
            <w:r w:rsidRPr="00043B8D">
              <w:rPr>
                <w:rFonts w:cs="Tahoma"/>
                <w:lang w:eastAsia="nl-NL"/>
              </w:rPr>
              <w:t>Een boete in de zin van het Strafwetboek.</w:t>
            </w:r>
            <w:r w:rsidRPr="00043B8D">
              <w:rPr>
                <w:rFonts w:cs="Tahoma"/>
                <w:b/>
                <w:lang w:eastAsia="nl-NL"/>
              </w:rPr>
              <w:t xml:space="preserve"> </w:t>
            </w:r>
            <w:r w:rsidRPr="00043B8D">
              <w:rPr>
                <w:rFonts w:cs="Tahoma"/>
                <w:lang w:eastAsia="nl-NL"/>
              </w:rPr>
              <w:t>De strafrechtelijke geldboete is een patrimoniale straf die bestaat uit de inning van een geldsom ten voordele van de Staat</w:t>
            </w:r>
            <w:r w:rsidR="00FD2ED4" w:rsidRPr="00043B8D">
              <w:rPr>
                <w:rFonts w:cs="Tahoma"/>
                <w:lang w:eastAsia="nl-NL"/>
              </w:rPr>
              <w:t>;</w:t>
            </w:r>
          </w:p>
        </w:tc>
      </w:tr>
      <w:tr w:rsidR="00B41023" w:rsidRPr="00043B8D" w14:paraId="366A8CC7" w14:textId="77777777" w:rsidTr="004D49B3">
        <w:trPr>
          <w:cantSplit/>
          <w:trHeight w:val="20"/>
        </w:trPr>
        <w:tc>
          <w:tcPr>
            <w:tcW w:w="9284" w:type="dxa"/>
            <w:tcBorders>
              <w:top w:val="nil"/>
              <w:left w:val="nil"/>
              <w:bottom w:val="nil"/>
              <w:right w:val="nil"/>
            </w:tcBorders>
            <w:shd w:val="clear" w:color="auto" w:fill="auto"/>
            <w:noWrap/>
          </w:tcPr>
          <w:p w14:paraId="795B1611" w14:textId="54D95895" w:rsidR="00B41023" w:rsidRPr="00043B8D" w:rsidRDefault="00B41023" w:rsidP="00621059">
            <w:pPr>
              <w:rPr>
                <w:rFonts w:cs="Tahoma"/>
                <w:lang w:eastAsia="nl-NL"/>
              </w:rPr>
            </w:pPr>
            <w:r w:rsidRPr="00043B8D">
              <w:rPr>
                <w:rFonts w:cs="Tahoma"/>
                <w:b/>
                <w:bCs/>
                <w:lang w:eastAsia="nl-NL"/>
              </w:rPr>
              <w:t>Tariefdrager:</w:t>
            </w:r>
            <w:r w:rsidRPr="00043B8D">
              <w:rPr>
                <w:rFonts w:cs="Tahoma"/>
                <w:lang w:eastAsia="nl-NL"/>
              </w:rPr>
              <w:t xml:space="preserve"> Objectieve, meetbare eenheid waarvoor er een distributienettarief bestaat (bijvoorbeeld de hoeveelheid kWh </w:t>
            </w:r>
            <w:r w:rsidR="00DB4DD1" w:rsidRPr="00043B8D">
              <w:rPr>
                <w:rFonts w:cs="Tahoma"/>
                <w:lang w:eastAsia="nl-NL"/>
              </w:rPr>
              <w:t xml:space="preserve">actieve </w:t>
            </w:r>
            <w:r w:rsidRPr="00043B8D">
              <w:rPr>
                <w:rFonts w:cs="Tahoma"/>
                <w:lang w:eastAsia="nl-NL"/>
              </w:rPr>
              <w:t xml:space="preserve">energie afgenomen door een </w:t>
            </w:r>
            <w:r w:rsidR="00DB4DD1" w:rsidRPr="00043B8D">
              <w:rPr>
                <w:rFonts w:cs="Tahoma"/>
                <w:lang w:eastAsia="nl-NL"/>
              </w:rPr>
              <w:t>elektriciteits</w:t>
            </w:r>
            <w:r w:rsidRPr="00043B8D">
              <w:rPr>
                <w:rFonts w:cs="Tahoma"/>
                <w:lang w:eastAsia="nl-NL"/>
              </w:rPr>
              <w:t>distributienetgebruiker bij het distributienettarief EUR/kWh);</w:t>
            </w:r>
          </w:p>
        </w:tc>
      </w:tr>
      <w:tr w:rsidR="00B41023" w:rsidRPr="00043B8D" w14:paraId="23D3EC68" w14:textId="77777777" w:rsidTr="004D49B3">
        <w:trPr>
          <w:cantSplit/>
          <w:trHeight w:val="20"/>
        </w:trPr>
        <w:tc>
          <w:tcPr>
            <w:tcW w:w="9284" w:type="dxa"/>
            <w:tcBorders>
              <w:top w:val="nil"/>
              <w:left w:val="nil"/>
              <w:bottom w:val="nil"/>
              <w:right w:val="nil"/>
            </w:tcBorders>
            <w:shd w:val="clear" w:color="auto" w:fill="auto"/>
            <w:noWrap/>
          </w:tcPr>
          <w:p w14:paraId="30A778D9" w14:textId="3C2550FF" w:rsidR="00B41023" w:rsidRPr="00043B8D" w:rsidRDefault="00B41023" w:rsidP="004D49B3">
            <w:pPr>
              <w:rPr>
                <w:rFonts w:cs="Tahoma"/>
                <w:b/>
                <w:bCs/>
                <w:lang w:eastAsia="nl-NL"/>
              </w:rPr>
            </w:pPr>
            <w:r w:rsidRPr="00043B8D">
              <w:rPr>
                <w:rFonts w:cs="Tahoma"/>
                <w:b/>
                <w:lang w:eastAsia="nl-NL"/>
              </w:rPr>
              <w:t xml:space="preserve">Tariefperiode: </w:t>
            </w:r>
            <w:r w:rsidRPr="00043B8D">
              <w:rPr>
                <w:rFonts w:cs="Tahoma"/>
                <w:lang w:eastAsia="nl-NL"/>
              </w:rPr>
              <w:t>Periode waarin het algemeen netgebruik systematisch betrekkelijk hoog (piekuren) dan wel betrekkelijk laag (daluren, zoals tijden</w:t>
            </w:r>
            <w:r w:rsidR="00DB4DD1" w:rsidRPr="00043B8D">
              <w:rPr>
                <w:rFonts w:cs="Tahoma"/>
                <w:lang w:eastAsia="nl-NL"/>
              </w:rPr>
              <w:t>s</w:t>
            </w:r>
            <w:r w:rsidRPr="00043B8D">
              <w:rPr>
                <w:rFonts w:cs="Tahoma"/>
                <w:lang w:eastAsia="nl-NL"/>
              </w:rPr>
              <w:t xml:space="preserve"> de nacht en het weekend) is;</w:t>
            </w:r>
          </w:p>
        </w:tc>
      </w:tr>
      <w:tr w:rsidR="00B41023" w:rsidRPr="00043B8D" w14:paraId="57038AE6" w14:textId="77777777" w:rsidTr="004D49B3">
        <w:trPr>
          <w:cantSplit/>
          <w:trHeight w:val="20"/>
        </w:trPr>
        <w:tc>
          <w:tcPr>
            <w:tcW w:w="9284" w:type="dxa"/>
            <w:tcBorders>
              <w:top w:val="nil"/>
              <w:left w:val="nil"/>
              <w:bottom w:val="nil"/>
              <w:right w:val="nil"/>
            </w:tcBorders>
            <w:shd w:val="clear" w:color="auto" w:fill="auto"/>
            <w:noWrap/>
          </w:tcPr>
          <w:p w14:paraId="142127E0" w14:textId="77777777" w:rsidR="00B41023" w:rsidRPr="00043B8D" w:rsidRDefault="00B41023" w:rsidP="004D49B3">
            <w:pPr>
              <w:rPr>
                <w:rFonts w:cs="Tahoma"/>
                <w:bCs/>
                <w:lang w:eastAsia="nl-NL"/>
              </w:rPr>
            </w:pPr>
            <w:r w:rsidRPr="00043B8D">
              <w:rPr>
                <w:rFonts w:cs="Tahoma"/>
                <w:b/>
                <w:bCs/>
                <w:lang w:eastAsia="nl-NL"/>
              </w:rPr>
              <w:t xml:space="preserve">Tariefvoorstel: </w:t>
            </w:r>
            <w:r w:rsidRPr="00043B8D">
              <w:rPr>
                <w:rFonts w:cs="Tahoma"/>
                <w:bCs/>
                <w:lang w:eastAsia="nl-NL"/>
              </w:rPr>
              <w:t>Het voorstel van een distributienetbeheerder omvattende alle distributienettarieven voor het volgende jaar die hij aan de VREG ter goedkeuring dient voor te leggen;</w:t>
            </w:r>
          </w:p>
        </w:tc>
      </w:tr>
      <w:tr w:rsidR="00B41023" w:rsidRPr="00043B8D" w14:paraId="680CA391" w14:textId="77777777" w:rsidTr="004D49B3">
        <w:trPr>
          <w:cantSplit/>
          <w:trHeight w:val="20"/>
        </w:trPr>
        <w:tc>
          <w:tcPr>
            <w:tcW w:w="9284" w:type="dxa"/>
            <w:tcBorders>
              <w:top w:val="nil"/>
              <w:left w:val="nil"/>
              <w:bottom w:val="nil"/>
              <w:right w:val="nil"/>
            </w:tcBorders>
            <w:shd w:val="clear" w:color="auto" w:fill="auto"/>
            <w:noWrap/>
          </w:tcPr>
          <w:p w14:paraId="3DF4812E" w14:textId="0CDE6506" w:rsidR="00B41023" w:rsidRPr="00043B8D" w:rsidRDefault="00B41023" w:rsidP="002F1C84">
            <w:pPr>
              <w:rPr>
                <w:rFonts w:cs="Tahoma"/>
                <w:b/>
                <w:bCs/>
                <w:lang w:eastAsia="nl-NL"/>
              </w:rPr>
            </w:pPr>
            <w:r w:rsidRPr="00043B8D">
              <w:rPr>
                <w:rFonts w:cs="Tahoma"/>
                <w:b/>
                <w:bCs/>
                <w:lang w:eastAsia="nl-NL"/>
              </w:rPr>
              <w:t>Tarieven-KB’s 2008:</w:t>
            </w:r>
            <w:r w:rsidRPr="00043B8D">
              <w:rPr>
                <w:rFonts w:cs="Tahoma"/>
                <w:lang w:eastAsia="nl-NL"/>
              </w:rPr>
              <w:t xml:space="preserve"> </w:t>
            </w:r>
            <w:r w:rsidR="002F1C84" w:rsidRPr="00043B8D">
              <w:rPr>
                <w:rFonts w:cs="Tahoma"/>
                <w:lang w:eastAsia="nl-NL"/>
              </w:rPr>
              <w:t xml:space="preserve">Het </w:t>
            </w:r>
            <w:r w:rsidR="00135580" w:rsidRPr="00043B8D">
              <w:rPr>
                <w:rFonts w:cs="Tahoma"/>
                <w:lang w:eastAsia="nl-NL"/>
              </w:rPr>
              <w:t>bij w</w:t>
            </w:r>
            <w:r w:rsidR="002F1C84" w:rsidRPr="00043B8D">
              <w:rPr>
                <w:rFonts w:cs="Tahoma"/>
                <w:lang w:eastAsia="nl-NL"/>
              </w:rPr>
              <w:t xml:space="preserve">et van 8 januari 2012 opgeheven </w:t>
            </w:r>
            <w:r w:rsidR="00135580" w:rsidRPr="00043B8D">
              <w:rPr>
                <w:rFonts w:cs="Tahoma"/>
                <w:lang w:eastAsia="nl-NL"/>
              </w:rPr>
              <w:t>k</w:t>
            </w:r>
            <w:r w:rsidRPr="00043B8D">
              <w:rPr>
                <w:rFonts w:cs="Tahoma"/>
                <w:lang w:eastAsia="nl-NL"/>
              </w:rPr>
              <w:t>oninklijk besluit van 2 september 2008 betreffende de regels met betrekking tot de vaststelling van en de controle op het totaalinkomen en de billijke winstmarge, de algemene tariefstructuur, het saldo tussen kosten en ontvangsten en de basisprincipes en procedures inzake het voorstel en de goedkeuring van de tarieven, van de rapportering en kostenbeheersing door de beheerders van distributienetten voor elektriciteit</w:t>
            </w:r>
            <w:r w:rsidR="000C1713" w:rsidRPr="00043B8D">
              <w:rPr>
                <w:rFonts w:cs="Tahoma"/>
                <w:lang w:eastAsia="nl-NL"/>
              </w:rPr>
              <w:t>, zoals bekrachtigd door de wet van 15 december 2009 houdende bekrachtiging van diverse koninklijke besluiten genomen krachtens de wet van 29 april 1999 betreffende de organisatie van de elektriciteitsmarkt en de wet van 12 april 1965 betreffende het vervoer van gasachtige producten en andere door middel van leidingen</w:t>
            </w:r>
            <w:r w:rsidR="002F1C84" w:rsidRPr="00043B8D">
              <w:rPr>
                <w:rFonts w:cs="Tahoma"/>
                <w:lang w:eastAsia="nl-NL"/>
              </w:rPr>
              <w:t xml:space="preserve">, </w:t>
            </w:r>
            <w:r w:rsidRPr="00043B8D">
              <w:rPr>
                <w:rFonts w:cs="Tahoma"/>
                <w:lang w:eastAsia="nl-NL"/>
              </w:rPr>
              <w:t xml:space="preserve">en het </w:t>
            </w:r>
            <w:r w:rsidR="00135580" w:rsidRPr="00043B8D">
              <w:rPr>
                <w:rFonts w:cs="Tahoma"/>
                <w:lang w:eastAsia="nl-NL"/>
              </w:rPr>
              <w:t>bij w</w:t>
            </w:r>
            <w:r w:rsidR="002F1C84" w:rsidRPr="00043B8D">
              <w:rPr>
                <w:rFonts w:cs="Tahoma"/>
                <w:lang w:eastAsia="nl-NL"/>
              </w:rPr>
              <w:t xml:space="preserve">et van 8 januari 2012 </w:t>
            </w:r>
            <w:r w:rsidRPr="00043B8D">
              <w:rPr>
                <w:rFonts w:cs="Tahoma"/>
                <w:lang w:eastAsia="nl-NL"/>
              </w:rPr>
              <w:t>opgeheven</w:t>
            </w:r>
            <w:r w:rsidR="00135580" w:rsidRPr="00043B8D">
              <w:rPr>
                <w:rFonts w:cs="Tahoma"/>
                <w:lang w:eastAsia="nl-NL"/>
              </w:rPr>
              <w:t xml:space="preserve"> k</w:t>
            </w:r>
            <w:r w:rsidRPr="00043B8D">
              <w:rPr>
                <w:rFonts w:cs="Tahoma"/>
                <w:lang w:eastAsia="nl-NL"/>
              </w:rPr>
              <w:t>oninklijk besluit van 2 september 2008 betreffende de regels met betrekking tot de vaststelling van en de controle op het totaal inkomen en de billijke winstmarge, de algemene tariefstructuur, het saldo tussen kosten en ontvangsten en de basisprincipes en procedures inzake het voorstel en de goedkeuring van de tarieven, van de rapportering en kostenbeheersing door de beheerders van de distributienetten voor aardgas</w:t>
            </w:r>
            <w:r w:rsidR="002F1C84" w:rsidRPr="00043B8D">
              <w:rPr>
                <w:rFonts w:cs="Tahoma"/>
                <w:lang w:eastAsia="nl-NL"/>
              </w:rPr>
              <w:t>, zoals bekrachtigd bij wet van 15 december 2009 houdende bekrachtiging van diverse koninklijke besluiten genomen krachtens de wet van 29 april 1999 betreffende de organisatie van de elektriciteitsmarkt en de wet van 12 april 1965 betreffende het vervoer van gasachtige producten en andere door middel van leidingen</w:t>
            </w:r>
            <w:r w:rsidRPr="00043B8D">
              <w:rPr>
                <w:rFonts w:cs="Tahoma"/>
                <w:lang w:eastAsia="nl-NL"/>
              </w:rPr>
              <w:t>;</w:t>
            </w:r>
          </w:p>
        </w:tc>
      </w:tr>
      <w:tr w:rsidR="00B41023" w:rsidRPr="00043B8D" w14:paraId="3D3309E2" w14:textId="77777777" w:rsidTr="004D49B3">
        <w:trPr>
          <w:cantSplit/>
          <w:trHeight w:val="20"/>
        </w:trPr>
        <w:tc>
          <w:tcPr>
            <w:tcW w:w="9284" w:type="dxa"/>
            <w:tcBorders>
              <w:top w:val="nil"/>
              <w:left w:val="nil"/>
              <w:bottom w:val="nil"/>
              <w:right w:val="nil"/>
            </w:tcBorders>
            <w:shd w:val="clear" w:color="auto" w:fill="auto"/>
            <w:noWrap/>
          </w:tcPr>
          <w:p w14:paraId="47EBD40E" w14:textId="77777777" w:rsidR="00B41023" w:rsidRPr="00043B8D" w:rsidRDefault="00B41023" w:rsidP="004D49B3">
            <w:pPr>
              <w:rPr>
                <w:rFonts w:cs="Tahoma"/>
                <w:b/>
                <w:bCs/>
                <w:lang w:eastAsia="nl-NL"/>
              </w:rPr>
            </w:pPr>
            <w:r w:rsidRPr="00043B8D">
              <w:rPr>
                <w:rFonts w:cs="Tahoma"/>
                <w:b/>
                <w:bCs/>
                <w:lang w:eastAsia="nl-NL"/>
              </w:rPr>
              <w:t xml:space="preserve">Technisch reglement distributie elektriciteit: </w:t>
            </w:r>
            <w:r w:rsidRPr="00043B8D">
              <w:rPr>
                <w:rFonts w:cs="Tahoma"/>
                <w:bCs/>
                <w:lang w:eastAsia="nl-NL"/>
              </w:rPr>
              <w:t>Door de VREG opgestelde technisch reglement voor het beheer van het elektriciteitsdistributienet conform artikel 4.2.1. van het Energiedecreet (beschikbaar op www.vreg.be);</w:t>
            </w:r>
          </w:p>
        </w:tc>
      </w:tr>
      <w:tr w:rsidR="00B41023" w:rsidRPr="00043B8D" w14:paraId="5A8F0C4B" w14:textId="77777777" w:rsidTr="004D49B3">
        <w:trPr>
          <w:cantSplit/>
          <w:trHeight w:val="20"/>
        </w:trPr>
        <w:tc>
          <w:tcPr>
            <w:tcW w:w="9284" w:type="dxa"/>
            <w:tcBorders>
              <w:top w:val="nil"/>
              <w:left w:val="nil"/>
              <w:bottom w:val="nil"/>
              <w:right w:val="nil"/>
            </w:tcBorders>
            <w:shd w:val="clear" w:color="auto" w:fill="auto"/>
            <w:noWrap/>
          </w:tcPr>
          <w:p w14:paraId="6A0EF30C" w14:textId="77777777" w:rsidR="00B41023" w:rsidRPr="00043B8D" w:rsidRDefault="00B41023" w:rsidP="004D49B3">
            <w:pPr>
              <w:rPr>
                <w:rFonts w:cs="Tahoma"/>
                <w:bCs/>
                <w:lang w:eastAsia="nl-NL"/>
              </w:rPr>
            </w:pPr>
            <w:r w:rsidRPr="00043B8D">
              <w:rPr>
                <w:rFonts w:cs="Tahoma"/>
                <w:b/>
                <w:bCs/>
                <w:lang w:eastAsia="nl-NL"/>
              </w:rPr>
              <w:t xml:space="preserve">Technisch reglement distributie gas: </w:t>
            </w:r>
            <w:r w:rsidRPr="00043B8D">
              <w:rPr>
                <w:rFonts w:cs="Tahoma"/>
                <w:bCs/>
                <w:lang w:eastAsia="nl-NL"/>
              </w:rPr>
              <w:t>Door de VREG opgestelde technisch reglement voor het beheer van het aardgasdistributienet conform artikel 4.2.1. van het Energiedecreet (beschikbaar op www.vreg.be);</w:t>
            </w:r>
          </w:p>
        </w:tc>
      </w:tr>
      <w:tr w:rsidR="00B41023" w:rsidRPr="00043B8D" w14:paraId="315E198B" w14:textId="77777777" w:rsidTr="004D49B3">
        <w:trPr>
          <w:cantSplit/>
          <w:trHeight w:val="20"/>
        </w:trPr>
        <w:tc>
          <w:tcPr>
            <w:tcW w:w="9284" w:type="dxa"/>
            <w:tcBorders>
              <w:top w:val="nil"/>
              <w:left w:val="nil"/>
              <w:bottom w:val="nil"/>
              <w:right w:val="nil"/>
            </w:tcBorders>
            <w:shd w:val="clear" w:color="auto" w:fill="auto"/>
            <w:noWrap/>
          </w:tcPr>
          <w:p w14:paraId="3CD77988" w14:textId="77777777" w:rsidR="00B41023" w:rsidRPr="00043B8D" w:rsidRDefault="00B41023" w:rsidP="004D49B3">
            <w:pPr>
              <w:rPr>
                <w:rFonts w:cs="Tahoma"/>
                <w:b/>
                <w:bCs/>
                <w:lang w:eastAsia="nl-NL"/>
              </w:rPr>
            </w:pPr>
            <w:r w:rsidRPr="00043B8D">
              <w:rPr>
                <w:rFonts w:cs="Tahoma"/>
                <w:b/>
                <w:bCs/>
                <w:lang w:eastAsia="nl-NL"/>
              </w:rPr>
              <w:t xml:space="preserve">Uitbreidingsinvesteringen: </w:t>
            </w:r>
            <w:r w:rsidRPr="00043B8D">
              <w:rPr>
                <w:rFonts w:cs="Tahoma"/>
                <w:bCs/>
                <w:lang w:eastAsia="nl-NL"/>
              </w:rPr>
              <w:t xml:space="preserve">De investeringen die </w:t>
            </w:r>
            <w:r w:rsidRPr="00043B8D">
              <w:rPr>
                <w:lang w:val="nl-BE"/>
              </w:rPr>
              <w:t>betrekking hebben op de aansluiting van nieuwe netgebruikers op het distributienet en versterkingen van het bestaande net om te kunnen voldoen aan een algemene toename van het volume aan vervoerde energie;</w:t>
            </w:r>
          </w:p>
        </w:tc>
      </w:tr>
      <w:tr w:rsidR="00B41023" w:rsidRPr="00043B8D" w14:paraId="57109C77" w14:textId="77777777" w:rsidTr="004D49B3">
        <w:trPr>
          <w:cantSplit/>
          <w:trHeight w:val="20"/>
        </w:trPr>
        <w:tc>
          <w:tcPr>
            <w:tcW w:w="9284" w:type="dxa"/>
            <w:tcBorders>
              <w:top w:val="nil"/>
              <w:left w:val="nil"/>
              <w:bottom w:val="nil"/>
              <w:right w:val="nil"/>
            </w:tcBorders>
            <w:shd w:val="clear" w:color="auto" w:fill="auto"/>
            <w:noWrap/>
          </w:tcPr>
          <w:p w14:paraId="0206B9C0" w14:textId="77777777" w:rsidR="00B41023" w:rsidRPr="00043B8D" w:rsidRDefault="00B41023" w:rsidP="004D49B3">
            <w:pPr>
              <w:rPr>
                <w:rFonts w:cs="Tahoma"/>
                <w:b/>
                <w:bCs/>
                <w:lang w:eastAsia="nl-NL"/>
              </w:rPr>
            </w:pPr>
            <w:r w:rsidRPr="00043B8D">
              <w:rPr>
                <w:rFonts w:cs="Tahoma"/>
                <w:b/>
                <w:bCs/>
                <w:lang w:eastAsia="nl-NL"/>
              </w:rPr>
              <w:t xml:space="preserve">VEA: </w:t>
            </w:r>
            <w:hyperlink r:id="rId15" w:history="1">
              <w:r w:rsidRPr="00043B8D">
                <w:rPr>
                  <w:rStyle w:val="Hyperlink"/>
                  <w:rFonts w:cs="Tahoma"/>
                  <w:bCs/>
                  <w:color w:val="auto"/>
                  <w:lang w:eastAsia="nl-NL"/>
                </w:rPr>
                <w:t>Vlaams Energieagentschap</w:t>
              </w:r>
            </w:hyperlink>
            <w:r w:rsidRPr="00043B8D">
              <w:rPr>
                <w:rFonts w:cs="Tahoma"/>
                <w:bCs/>
                <w:lang w:eastAsia="nl-NL"/>
              </w:rPr>
              <w:t>;</w:t>
            </w:r>
          </w:p>
        </w:tc>
      </w:tr>
      <w:tr w:rsidR="00B41023" w:rsidRPr="00043B8D" w14:paraId="0AA43955" w14:textId="77777777" w:rsidTr="004D49B3">
        <w:trPr>
          <w:cantSplit/>
          <w:trHeight w:val="20"/>
        </w:trPr>
        <w:tc>
          <w:tcPr>
            <w:tcW w:w="9284" w:type="dxa"/>
            <w:tcBorders>
              <w:top w:val="nil"/>
              <w:left w:val="nil"/>
              <w:bottom w:val="nil"/>
              <w:right w:val="nil"/>
            </w:tcBorders>
            <w:shd w:val="clear" w:color="auto" w:fill="auto"/>
            <w:noWrap/>
          </w:tcPr>
          <w:p w14:paraId="334F7765" w14:textId="77777777" w:rsidR="00B41023" w:rsidRPr="00043B8D" w:rsidRDefault="00B41023" w:rsidP="004D49B3">
            <w:pPr>
              <w:rPr>
                <w:rFonts w:cs="Tahoma"/>
                <w:bCs/>
                <w:lang w:eastAsia="nl-NL"/>
              </w:rPr>
            </w:pPr>
            <w:r w:rsidRPr="00043B8D">
              <w:rPr>
                <w:rFonts w:cs="Tahoma"/>
                <w:b/>
                <w:bCs/>
                <w:lang w:eastAsia="nl-NL"/>
              </w:rPr>
              <w:t xml:space="preserve">Verdeelsleutel: </w:t>
            </w:r>
            <w:r w:rsidRPr="00043B8D">
              <w:rPr>
                <w:rFonts w:cs="Tahoma"/>
                <w:bCs/>
                <w:lang w:eastAsia="nl-NL"/>
              </w:rPr>
              <w:t>Elke sleutel gebruikt voor de toewijzing van kosten aan prestaties wanneer er geen rechtstreeks oorzakelijk verband bestaat en/of gemeten kan worden tussen de kosten en de prestaties;</w:t>
            </w:r>
          </w:p>
        </w:tc>
      </w:tr>
      <w:tr w:rsidR="00B41023" w:rsidRPr="00043B8D" w14:paraId="5AD57C08" w14:textId="77777777" w:rsidTr="004D49B3">
        <w:trPr>
          <w:cantSplit/>
          <w:trHeight w:val="20"/>
        </w:trPr>
        <w:tc>
          <w:tcPr>
            <w:tcW w:w="9284" w:type="dxa"/>
            <w:tcBorders>
              <w:top w:val="nil"/>
              <w:left w:val="nil"/>
              <w:bottom w:val="nil"/>
              <w:right w:val="nil"/>
            </w:tcBorders>
            <w:shd w:val="clear" w:color="auto" w:fill="auto"/>
            <w:noWrap/>
          </w:tcPr>
          <w:p w14:paraId="59382AF9" w14:textId="1E28E840" w:rsidR="00B41023" w:rsidRPr="00043B8D" w:rsidRDefault="00B41023" w:rsidP="004D49B3">
            <w:pPr>
              <w:rPr>
                <w:rFonts w:cs="Tahoma"/>
                <w:bCs/>
                <w:lang w:eastAsia="nl-NL"/>
              </w:rPr>
            </w:pPr>
            <w:r w:rsidRPr="00043B8D">
              <w:rPr>
                <w:rFonts w:cs="Tahoma"/>
                <w:b/>
                <w:bCs/>
                <w:lang w:eastAsia="nl-NL"/>
              </w:rPr>
              <w:t xml:space="preserve">Vervaardigingsprijs: </w:t>
            </w:r>
            <w:r w:rsidRPr="00043B8D">
              <w:rPr>
                <w:rFonts w:cs="Tahoma"/>
                <w:bCs/>
                <w:lang w:eastAsia="nl-NL"/>
              </w:rPr>
              <w:t>Dit begrip is van toepassing op intern vervaardigde activa waarbij alle directe kosten mogen geactiveerd worden</w:t>
            </w:r>
            <w:r w:rsidR="00143DC2" w:rsidRPr="00043B8D">
              <w:rPr>
                <w:rFonts w:cs="Tahoma"/>
                <w:bCs/>
                <w:lang w:eastAsia="nl-NL"/>
              </w:rPr>
              <w:t>;</w:t>
            </w:r>
          </w:p>
        </w:tc>
      </w:tr>
      <w:tr w:rsidR="00B41023" w:rsidRPr="00043B8D" w14:paraId="76D18D95" w14:textId="77777777" w:rsidTr="004D49B3">
        <w:trPr>
          <w:cantSplit/>
          <w:trHeight w:val="20"/>
        </w:trPr>
        <w:tc>
          <w:tcPr>
            <w:tcW w:w="9284" w:type="dxa"/>
            <w:tcBorders>
              <w:top w:val="nil"/>
              <w:left w:val="nil"/>
              <w:bottom w:val="nil"/>
              <w:right w:val="nil"/>
            </w:tcBorders>
            <w:shd w:val="clear" w:color="auto" w:fill="auto"/>
            <w:noWrap/>
          </w:tcPr>
          <w:p w14:paraId="4B04161F" w14:textId="77777777" w:rsidR="00B41023" w:rsidRPr="00043B8D" w:rsidRDefault="00B41023" w:rsidP="004D49B3">
            <w:pPr>
              <w:rPr>
                <w:rFonts w:cs="Tahoma"/>
                <w:b/>
                <w:bCs/>
                <w:lang w:eastAsia="nl-NL"/>
              </w:rPr>
            </w:pPr>
            <w:r w:rsidRPr="00043B8D">
              <w:rPr>
                <w:rFonts w:cs="Tahoma"/>
                <w:b/>
                <w:bCs/>
                <w:lang w:eastAsia="nl-NL"/>
              </w:rPr>
              <w:t xml:space="preserve">Vervangingsinvesteringen: </w:t>
            </w:r>
            <w:r w:rsidRPr="00043B8D">
              <w:rPr>
                <w:rFonts w:cs="Tahoma"/>
                <w:bCs/>
                <w:lang w:eastAsia="nl-NL"/>
              </w:rPr>
              <w:t>Hebben betrekking op het vervangen van activa aan het einde van hun levensduur, investeringen in apparatuur voor de controle van het net en het verzamelen van informatie, verplaatsing van netten en investeringen ten behoeve van het milieu en maatregelen die worden genomen om leveringskwaliteit te verbeteren;</w:t>
            </w:r>
          </w:p>
        </w:tc>
      </w:tr>
      <w:tr w:rsidR="00B41023" w:rsidRPr="00043B8D" w14:paraId="6694F862" w14:textId="77777777" w:rsidTr="004D49B3">
        <w:trPr>
          <w:cantSplit/>
          <w:trHeight w:val="20"/>
        </w:trPr>
        <w:tc>
          <w:tcPr>
            <w:tcW w:w="9284" w:type="dxa"/>
            <w:tcBorders>
              <w:top w:val="nil"/>
              <w:left w:val="nil"/>
              <w:bottom w:val="nil"/>
              <w:right w:val="nil"/>
            </w:tcBorders>
            <w:shd w:val="clear" w:color="auto" w:fill="auto"/>
            <w:noWrap/>
          </w:tcPr>
          <w:p w14:paraId="603183AA" w14:textId="77777777" w:rsidR="00B41023" w:rsidRPr="00043B8D" w:rsidRDefault="00B41023" w:rsidP="004D49B3">
            <w:pPr>
              <w:rPr>
                <w:rFonts w:cs="Tahoma"/>
                <w:lang w:eastAsia="nl-NL"/>
              </w:rPr>
            </w:pPr>
            <w:r w:rsidRPr="00043B8D">
              <w:rPr>
                <w:rFonts w:cs="Tahoma"/>
                <w:b/>
                <w:bCs/>
                <w:lang w:eastAsia="nl-NL"/>
              </w:rPr>
              <w:t>Volumerisico:</w:t>
            </w:r>
            <w:r w:rsidRPr="00043B8D">
              <w:rPr>
                <w:rFonts w:cs="Tahoma"/>
                <w:lang w:eastAsia="nl-NL"/>
              </w:rPr>
              <w:t xml:space="preserve"> Het risico over de mate waarin de inkomsten uit de periodieke distributienettarieven zullen afwijken van de verwachte inkomsten, ten gevolge van verschillen tussen werkelijke en verwachte afzetvolumes voor de tariefdragers;</w:t>
            </w:r>
          </w:p>
        </w:tc>
      </w:tr>
      <w:tr w:rsidR="00143DC2" w:rsidRPr="00043B8D" w14:paraId="28609447" w14:textId="77777777" w:rsidTr="004D49B3">
        <w:trPr>
          <w:cantSplit/>
          <w:trHeight w:val="20"/>
        </w:trPr>
        <w:tc>
          <w:tcPr>
            <w:tcW w:w="9284" w:type="dxa"/>
            <w:tcBorders>
              <w:top w:val="nil"/>
              <w:left w:val="nil"/>
              <w:bottom w:val="nil"/>
              <w:right w:val="nil"/>
            </w:tcBorders>
            <w:shd w:val="clear" w:color="auto" w:fill="auto"/>
            <w:noWrap/>
          </w:tcPr>
          <w:p w14:paraId="4386E088" w14:textId="66DBF05C" w:rsidR="00143DC2" w:rsidRPr="00043B8D" w:rsidRDefault="00143DC2" w:rsidP="00DB4DD1">
            <w:pPr>
              <w:rPr>
                <w:rFonts w:cs="Tahoma"/>
                <w:b/>
                <w:bCs/>
                <w:lang w:eastAsia="nl-NL"/>
              </w:rPr>
            </w:pPr>
            <w:r w:rsidRPr="00043B8D">
              <w:rPr>
                <w:rFonts w:cs="Tahoma"/>
                <w:b/>
                <w:bCs/>
                <w:lang w:eastAsia="nl-NL"/>
              </w:rPr>
              <w:t xml:space="preserve">Volumeverschil: </w:t>
            </w:r>
            <w:r w:rsidRPr="00043B8D">
              <w:rPr>
                <w:rFonts w:cs="Tahoma"/>
                <w:bCs/>
                <w:lang w:eastAsia="nl-NL"/>
              </w:rPr>
              <w:t>Het verschil</w:t>
            </w:r>
            <w:r w:rsidR="000F07A6" w:rsidRPr="00043B8D">
              <w:rPr>
                <w:rFonts w:cs="Tahoma"/>
                <w:bCs/>
                <w:lang w:eastAsia="nl-NL"/>
              </w:rPr>
              <w:t xml:space="preserve">, na afloop van een </w:t>
            </w:r>
            <w:r w:rsidR="007A7584" w:rsidRPr="00043B8D">
              <w:rPr>
                <w:rFonts w:cs="Tahoma"/>
                <w:bCs/>
                <w:lang w:eastAsia="nl-NL"/>
              </w:rPr>
              <w:t>periode</w:t>
            </w:r>
            <w:r w:rsidR="000F07A6" w:rsidRPr="00043B8D">
              <w:rPr>
                <w:rFonts w:cs="Tahoma"/>
                <w:bCs/>
                <w:lang w:eastAsia="nl-NL"/>
              </w:rPr>
              <w:t>,</w:t>
            </w:r>
            <w:r w:rsidRPr="00043B8D">
              <w:rPr>
                <w:rFonts w:cs="Tahoma"/>
                <w:bCs/>
                <w:lang w:eastAsia="nl-NL"/>
              </w:rPr>
              <w:t xml:space="preserve"> tussen de werkelijke en de </w:t>
            </w:r>
            <w:r w:rsidR="00DB4DD1" w:rsidRPr="00043B8D">
              <w:rPr>
                <w:rFonts w:cs="Tahoma"/>
                <w:bCs/>
                <w:lang w:eastAsia="nl-NL"/>
              </w:rPr>
              <w:t xml:space="preserve">gebudgetteerde </w:t>
            </w:r>
            <w:r w:rsidR="00407FC7" w:rsidRPr="00043B8D">
              <w:rPr>
                <w:rFonts w:cs="Tahoma"/>
                <w:bCs/>
                <w:lang w:eastAsia="nl-NL"/>
              </w:rPr>
              <w:t>opbrengsten</w:t>
            </w:r>
            <w:r w:rsidRPr="00043B8D">
              <w:rPr>
                <w:rFonts w:cs="Tahoma"/>
                <w:bCs/>
                <w:lang w:eastAsia="nl-NL"/>
              </w:rPr>
              <w:t xml:space="preserve"> uit de </w:t>
            </w:r>
            <w:r w:rsidR="00407FC7" w:rsidRPr="00043B8D">
              <w:rPr>
                <w:rFonts w:cs="Tahoma"/>
                <w:bCs/>
                <w:lang w:eastAsia="nl-NL"/>
              </w:rPr>
              <w:t xml:space="preserve">inning van de </w:t>
            </w:r>
            <w:r w:rsidRPr="00043B8D">
              <w:rPr>
                <w:rFonts w:cs="Tahoma"/>
                <w:bCs/>
                <w:lang w:eastAsia="nl-NL"/>
              </w:rPr>
              <w:t>periodieke distributienettarieven;</w:t>
            </w:r>
          </w:p>
        </w:tc>
      </w:tr>
      <w:tr w:rsidR="00B41023" w:rsidRPr="00043B8D" w14:paraId="19B6CFE3" w14:textId="77777777" w:rsidTr="004D49B3">
        <w:trPr>
          <w:cantSplit/>
          <w:trHeight w:val="20"/>
        </w:trPr>
        <w:tc>
          <w:tcPr>
            <w:tcW w:w="9284" w:type="dxa"/>
            <w:tcBorders>
              <w:top w:val="nil"/>
              <w:left w:val="nil"/>
              <w:bottom w:val="nil"/>
              <w:right w:val="nil"/>
            </w:tcBorders>
            <w:shd w:val="clear" w:color="auto" w:fill="auto"/>
            <w:noWrap/>
          </w:tcPr>
          <w:p w14:paraId="7C09A974" w14:textId="77777777" w:rsidR="00B41023" w:rsidRPr="00043B8D" w:rsidRDefault="00B41023" w:rsidP="004D49B3">
            <w:pPr>
              <w:rPr>
                <w:rFonts w:cs="Tahoma"/>
                <w:bCs/>
                <w:lang w:eastAsia="nl-NL"/>
              </w:rPr>
            </w:pPr>
            <w:r w:rsidRPr="00043B8D">
              <w:rPr>
                <w:rFonts w:cs="Tahoma"/>
                <w:b/>
                <w:lang w:eastAsia="nl-NL"/>
              </w:rPr>
              <w:t xml:space="preserve">Waarderingsregels: </w:t>
            </w:r>
            <w:r w:rsidRPr="00043B8D">
              <w:rPr>
                <w:rFonts w:cs="Tahoma"/>
                <w:lang w:eastAsia="nl-NL"/>
              </w:rPr>
              <w:t>Elke onderneming bepaalt de regels die gelden voor de waardering van de inventaris en de jaarrekening. De vaststelling van de waarderingsregels moet rekening houden met de eigen kenmerken van de onderneming en is essentieel de verantwoordelijkheid van het bestuursorgaan van de onderneming. Dit bestuursorgaan zal naargelang de rechtsvorm van de onderneming de raad van bestuur zijn, de zaakvoerder, de ondernemer, de overheid, enz. De waarderingsregels moeten bovendien worden samengevat in de toelichting van de jaarrekening op een wijze die voldoende nauwkeurig is om een inzicht te verkrijgen in de toegepaste waarderingsmethoden.</w:t>
            </w:r>
          </w:p>
        </w:tc>
      </w:tr>
      <w:bookmarkEnd w:id="3"/>
    </w:tbl>
    <w:p w14:paraId="2621F7AD" w14:textId="72A53998" w:rsidR="00403209" w:rsidRPr="00043B8D" w:rsidRDefault="001C12A6">
      <w:pPr>
        <w:jc w:val="left"/>
      </w:pPr>
      <w:r w:rsidRPr="00043B8D">
        <w:br w:type="page"/>
      </w:r>
    </w:p>
    <w:p w14:paraId="00276C09" w14:textId="77777777" w:rsidR="00130F8F" w:rsidRPr="00043B8D" w:rsidRDefault="00174672" w:rsidP="00A06773">
      <w:pPr>
        <w:pStyle w:val="Kop1"/>
      </w:pPr>
      <w:bookmarkStart w:id="4" w:name="_Toc454186644"/>
      <w:r w:rsidRPr="00043B8D">
        <w:t>Inleiding</w:t>
      </w:r>
      <w:bookmarkEnd w:id="4"/>
      <w:r w:rsidRPr="00043B8D">
        <w:t xml:space="preserve"> </w:t>
      </w:r>
    </w:p>
    <w:p w14:paraId="036853FD" w14:textId="77777777" w:rsidR="00130F8F" w:rsidRPr="00043B8D" w:rsidRDefault="00130F8F" w:rsidP="00130F8F"/>
    <w:p w14:paraId="3DD2C3F6" w14:textId="77777777" w:rsidR="00671E13" w:rsidRPr="00043B8D" w:rsidRDefault="00762262" w:rsidP="00130F8F">
      <w:r w:rsidRPr="00043B8D">
        <w:t>D</w:t>
      </w:r>
      <w:r w:rsidR="0051722B" w:rsidRPr="00043B8D">
        <w:t xml:space="preserve">eze tekst </w:t>
      </w:r>
      <w:r w:rsidRPr="00043B8D">
        <w:t xml:space="preserve">omvat </w:t>
      </w:r>
      <w:r w:rsidR="00DF7AF6" w:rsidRPr="00043B8D">
        <w:t xml:space="preserve">de </w:t>
      </w:r>
      <w:r w:rsidR="00FC4D38" w:rsidRPr="00043B8D">
        <w:t xml:space="preserve">definitieve </w:t>
      </w:r>
      <w:r w:rsidR="00DF7AF6" w:rsidRPr="00043B8D">
        <w:t>methodologie t</w:t>
      </w:r>
      <w:r w:rsidR="00DB4DD1" w:rsidRPr="00043B8D">
        <w:t>er</w:t>
      </w:r>
      <w:r w:rsidR="00DF7AF6" w:rsidRPr="00043B8D">
        <w:t xml:space="preserve"> vaststelling van de </w:t>
      </w:r>
      <w:r w:rsidR="00F815AD" w:rsidRPr="00043B8D">
        <w:t xml:space="preserve">Vlaamse </w:t>
      </w:r>
      <w:r w:rsidR="00DF7AF6" w:rsidRPr="00043B8D">
        <w:t xml:space="preserve">distributienettarieven voor elektriciteit en gas </w:t>
      </w:r>
      <w:r w:rsidRPr="00043B8D">
        <w:t xml:space="preserve">voor de </w:t>
      </w:r>
      <w:r w:rsidR="00AB7BFA" w:rsidRPr="00043B8D">
        <w:t>kalenderjaren 2015 en 2016</w:t>
      </w:r>
      <w:r w:rsidR="002C70E7" w:rsidRPr="00043B8D">
        <w:t>, die samen de eerstvolgende reguleringsperiode omvatten</w:t>
      </w:r>
      <w:r w:rsidR="00AB7BFA" w:rsidRPr="00043B8D">
        <w:t xml:space="preserve">. Zij kwam tot stand na een </w:t>
      </w:r>
      <w:r w:rsidR="002C70E7" w:rsidRPr="00043B8D">
        <w:t xml:space="preserve">eerste </w:t>
      </w:r>
      <w:r w:rsidR="00AB7BFA" w:rsidRPr="00043B8D">
        <w:t>publieke consultatie van de VREG over een voorstel van tariefmethodologie die werd opgestart op 7 oktober 2013</w:t>
      </w:r>
      <w:r w:rsidR="00DB4DD1" w:rsidRPr="00043B8D">
        <w:t xml:space="preserve"> en liep tot 6 december 2013</w:t>
      </w:r>
      <w:r w:rsidR="001E5034" w:rsidRPr="00043B8D">
        <w:t xml:space="preserve">, gevolgd door </w:t>
      </w:r>
      <w:r w:rsidR="002D4DCC" w:rsidRPr="00043B8D">
        <w:t xml:space="preserve">een </w:t>
      </w:r>
      <w:r w:rsidR="00DB4DD1" w:rsidRPr="00043B8D">
        <w:t xml:space="preserve">aanvullende, </w:t>
      </w:r>
      <w:r w:rsidR="002D4DCC" w:rsidRPr="00043B8D">
        <w:t xml:space="preserve">kleinere </w:t>
      </w:r>
      <w:r w:rsidR="00403209" w:rsidRPr="00043B8D">
        <w:t xml:space="preserve">publieke </w:t>
      </w:r>
      <w:r w:rsidR="002D4DCC" w:rsidRPr="00043B8D">
        <w:t xml:space="preserve">consultatie </w:t>
      </w:r>
      <w:r w:rsidR="007D247E" w:rsidRPr="00043B8D">
        <w:t>van 27 februari</w:t>
      </w:r>
      <w:r w:rsidR="00DB4DD1" w:rsidRPr="00043B8D">
        <w:t xml:space="preserve"> </w:t>
      </w:r>
      <w:r w:rsidR="007D247E" w:rsidRPr="00043B8D">
        <w:t>2014 tot en met 30</w:t>
      </w:r>
      <w:r w:rsidR="00DB4DD1" w:rsidRPr="00043B8D">
        <w:t xml:space="preserve"> april </w:t>
      </w:r>
      <w:r w:rsidR="002D4DCC" w:rsidRPr="00043B8D">
        <w:t>2014</w:t>
      </w:r>
      <w:r w:rsidR="00FC4D38" w:rsidRPr="00043B8D">
        <w:t xml:space="preserve"> en finaal gevolgd door een publieke consultatie omtrent de tariefmethodologie lopende van 15 juli 2014 tot en met 31 augustus 2014</w:t>
      </w:r>
      <w:r w:rsidR="002D4DCC" w:rsidRPr="00043B8D">
        <w:rPr>
          <w:rStyle w:val="Voetnootmarkering"/>
        </w:rPr>
        <w:footnoteReference w:id="5"/>
      </w:r>
      <w:r w:rsidR="003B0C5B" w:rsidRPr="00043B8D">
        <w:t xml:space="preserve">. Naar aanleiding van de </w:t>
      </w:r>
      <w:r w:rsidR="008724BE" w:rsidRPr="00043B8D">
        <w:t xml:space="preserve">door stakeholders  ingediende </w:t>
      </w:r>
      <w:r w:rsidR="00B1084B" w:rsidRPr="00043B8D">
        <w:t>zienswijzen</w:t>
      </w:r>
      <w:r w:rsidR="003B0C5B" w:rsidRPr="00043B8D">
        <w:t xml:space="preserve"> </w:t>
      </w:r>
      <w:r w:rsidR="00B1084B" w:rsidRPr="00043B8D">
        <w:t xml:space="preserve">op deze </w:t>
      </w:r>
      <w:r w:rsidR="00FC4D38" w:rsidRPr="00043B8D">
        <w:t xml:space="preserve">laatste publieke </w:t>
      </w:r>
      <w:r w:rsidR="00B1084B" w:rsidRPr="00043B8D">
        <w:t xml:space="preserve">consultatie </w:t>
      </w:r>
      <w:r w:rsidR="003B0C5B" w:rsidRPr="00043B8D">
        <w:t xml:space="preserve">kon de VREG de voorgestelde tariefmethodologie vertalen </w:t>
      </w:r>
      <w:r w:rsidR="008724BE" w:rsidRPr="00043B8D">
        <w:t>naar</w:t>
      </w:r>
      <w:r w:rsidR="00FC4D38" w:rsidRPr="00043B8D">
        <w:t xml:space="preserve"> een definitieve tekst en</w:t>
      </w:r>
      <w:r w:rsidR="008724BE" w:rsidRPr="00043B8D">
        <w:t xml:space="preserve"> </w:t>
      </w:r>
      <w:r w:rsidR="003B0C5B" w:rsidRPr="00043B8D">
        <w:t xml:space="preserve">een </w:t>
      </w:r>
      <w:r w:rsidR="00FC4D38" w:rsidRPr="00043B8D">
        <w:t xml:space="preserve">definitief </w:t>
      </w:r>
      <w:r w:rsidR="003B0C5B" w:rsidRPr="00043B8D">
        <w:t>rapporterings</w:t>
      </w:r>
      <w:r w:rsidR="008724BE" w:rsidRPr="00043B8D">
        <w:t>- en berekenings</w:t>
      </w:r>
      <w:r w:rsidR="003B0C5B" w:rsidRPr="00043B8D">
        <w:t>model.</w:t>
      </w:r>
    </w:p>
    <w:p w14:paraId="7E72BC6A" w14:textId="77777777" w:rsidR="00671E13" w:rsidRPr="00043B8D" w:rsidRDefault="00671E13" w:rsidP="00130F8F"/>
    <w:p w14:paraId="12B32A71" w14:textId="5039B430" w:rsidR="00671E13" w:rsidRPr="00043B8D" w:rsidRDefault="009967B6" w:rsidP="00671E13">
      <w:r w:rsidRPr="00043B8D">
        <w:t>[</w:t>
      </w:r>
      <w:r w:rsidR="00671E13" w:rsidRPr="00043B8D">
        <w:t>De tariefmethodologie werd geüpdatet i.h.k.v. de vaststelling van de distributienettarieven voor 2016 na een publieke consultatie die liep van 9 juli 2015 t.e.m. 8 september 2015.</w:t>
      </w:r>
      <w:r w:rsidRPr="00043B8D">
        <w:t>]</w:t>
      </w:r>
      <w:r w:rsidRPr="00043B8D">
        <w:rPr>
          <w:rStyle w:val="Voetnootmarkering"/>
        </w:rPr>
        <w:footnoteReference w:id="6"/>
      </w:r>
    </w:p>
    <w:p w14:paraId="546AC5A9" w14:textId="59B48C2F" w:rsidR="00E12BFC" w:rsidRPr="00043B8D" w:rsidRDefault="003B0C5B" w:rsidP="00130F8F">
      <w:r w:rsidRPr="00043B8D">
        <w:t xml:space="preserve"> </w:t>
      </w:r>
    </w:p>
    <w:p w14:paraId="1F2DC7D0" w14:textId="77777777" w:rsidR="00E12BFC" w:rsidRPr="00043B8D" w:rsidRDefault="00E12BFC">
      <w:pPr>
        <w:jc w:val="left"/>
      </w:pPr>
      <w:r w:rsidRPr="00043B8D">
        <w:br w:type="page"/>
      </w:r>
    </w:p>
    <w:p w14:paraId="16AF4291" w14:textId="77777777" w:rsidR="00A06773" w:rsidRPr="00043B8D" w:rsidRDefault="00A223C1" w:rsidP="007A23DD">
      <w:pPr>
        <w:pStyle w:val="Kop1"/>
      </w:pPr>
      <w:bookmarkStart w:id="5" w:name="_Toc454186645"/>
      <w:r w:rsidRPr="00043B8D">
        <w:t>T</w:t>
      </w:r>
      <w:r w:rsidR="00A06773" w:rsidRPr="00043B8D">
        <w:t>oepassingsgebied</w:t>
      </w:r>
      <w:bookmarkEnd w:id="5"/>
    </w:p>
    <w:p w14:paraId="5C996993" w14:textId="77777777" w:rsidR="00A06773" w:rsidRPr="00043B8D" w:rsidRDefault="00A06773" w:rsidP="00130F8F"/>
    <w:p w14:paraId="04740F63" w14:textId="77777777" w:rsidR="007A23DD" w:rsidRPr="00043B8D" w:rsidRDefault="007A23DD" w:rsidP="00474BD0">
      <w:pPr>
        <w:pStyle w:val="Kop2"/>
      </w:pPr>
      <w:bookmarkStart w:id="6" w:name="_Toc454186646"/>
      <w:r w:rsidRPr="00043B8D">
        <w:t>Distributienetbeheerders</w:t>
      </w:r>
      <w:bookmarkEnd w:id="6"/>
    </w:p>
    <w:p w14:paraId="737EFA6A" w14:textId="77777777" w:rsidR="007A23DD" w:rsidRPr="00043B8D" w:rsidRDefault="007A23DD" w:rsidP="00130F8F"/>
    <w:p w14:paraId="1976D5F9" w14:textId="1EAEBDC6" w:rsidR="002448AE" w:rsidRPr="00043B8D" w:rsidRDefault="002448AE" w:rsidP="00435B44">
      <w:r w:rsidRPr="00043B8D">
        <w:t xml:space="preserve">Deze tariefmethodologie </w:t>
      </w:r>
      <w:r w:rsidR="00BB6FDF" w:rsidRPr="00043B8D">
        <w:t xml:space="preserve">resulteert in de </w:t>
      </w:r>
      <w:r w:rsidRPr="00043B8D">
        <w:t xml:space="preserve">Vlaamse distributienettarieven voor elektriciteit en aardgas van de </w:t>
      </w:r>
      <w:r w:rsidR="00D64C45" w:rsidRPr="00043B8D">
        <w:t>elektriciteits- en aardgas</w:t>
      </w:r>
      <w:r w:rsidRPr="00043B8D">
        <w:t>distributienetbeheerders actief in het Vlaams Gewest</w:t>
      </w:r>
      <w:r w:rsidR="00435B44" w:rsidRPr="00043B8D">
        <w:t xml:space="preserve"> […]</w:t>
      </w:r>
      <w:r w:rsidR="00435B44" w:rsidRPr="00043B8D">
        <w:rPr>
          <w:rStyle w:val="Voetnootmarkering"/>
        </w:rPr>
        <w:footnoteReference w:id="7"/>
      </w:r>
      <w:r w:rsidR="00435B44" w:rsidRPr="00043B8D">
        <w:t>.</w:t>
      </w:r>
    </w:p>
    <w:p w14:paraId="7EFB7470" w14:textId="77777777" w:rsidR="00903AA8" w:rsidRPr="00043B8D" w:rsidRDefault="00903AA8" w:rsidP="00130F8F"/>
    <w:p w14:paraId="0FAEFBBB" w14:textId="493C8BB7" w:rsidR="00523CE3" w:rsidRPr="00043B8D" w:rsidRDefault="003B6257" w:rsidP="00523CE3">
      <w:r w:rsidRPr="00043B8D">
        <w:t xml:space="preserve">In </w:t>
      </w:r>
      <w:r w:rsidR="00523CE3" w:rsidRPr="00043B8D">
        <w:t xml:space="preserve">de </w:t>
      </w:r>
      <w:r w:rsidR="00E12BFC" w:rsidRPr="00043B8D">
        <w:t xml:space="preserve">22 enclaves van de </w:t>
      </w:r>
      <w:r w:rsidR="00523CE3" w:rsidRPr="00043B8D">
        <w:t>gemeente Baarle-Hertog</w:t>
      </w:r>
      <w:r w:rsidR="00E12BFC" w:rsidRPr="00043B8D">
        <w:t xml:space="preserve"> </w:t>
      </w:r>
      <w:r w:rsidR="00523CE3" w:rsidRPr="00043B8D">
        <w:t>op Nederlands grondgebied</w:t>
      </w:r>
      <w:r w:rsidRPr="00043B8D">
        <w:t xml:space="preserve"> </w:t>
      </w:r>
      <w:r w:rsidR="00CB7BF0" w:rsidRPr="00043B8D">
        <w:t xml:space="preserve">treedt </w:t>
      </w:r>
      <w:r w:rsidRPr="00043B8D">
        <w:t xml:space="preserve">Enexis </w:t>
      </w:r>
      <w:r w:rsidR="00CB7BF0" w:rsidRPr="00043B8D">
        <w:t xml:space="preserve">BV op als </w:t>
      </w:r>
      <w:r w:rsidR="006434D3" w:rsidRPr="00043B8D">
        <w:t>aardgas</w:t>
      </w:r>
      <w:r w:rsidRPr="00043B8D">
        <w:t>distributienetbeheerder</w:t>
      </w:r>
      <w:r w:rsidR="00523CE3" w:rsidRPr="00043B8D">
        <w:t xml:space="preserve">. Binnen deze enclaves bevinden zich enclaves van het Nederlandse Baarle-Nassau. </w:t>
      </w:r>
      <w:r w:rsidR="00CB7BF0" w:rsidRPr="00043B8D">
        <w:t xml:space="preserve">Het </w:t>
      </w:r>
      <w:r w:rsidR="00DB4DD1" w:rsidRPr="00043B8D">
        <w:t>lokale aardgas</w:t>
      </w:r>
      <w:r w:rsidR="00CB7BF0" w:rsidRPr="00043B8D">
        <w:t xml:space="preserve">distributienet is </w:t>
      </w:r>
      <w:r w:rsidR="00DB4DD1" w:rsidRPr="00043B8D">
        <w:t xml:space="preserve">dan ook </w:t>
      </w:r>
      <w:r w:rsidR="00CB7BF0" w:rsidRPr="00043B8D">
        <w:t xml:space="preserve">sterk </w:t>
      </w:r>
      <w:r w:rsidR="00523CE3" w:rsidRPr="00043B8D">
        <w:t>verweven</w:t>
      </w:r>
      <w:r w:rsidR="00CB7BF0" w:rsidRPr="00043B8D">
        <w:t xml:space="preserve"> met dit van </w:t>
      </w:r>
      <w:r w:rsidR="00523CE3" w:rsidRPr="00043B8D">
        <w:t>Nederland</w:t>
      </w:r>
      <w:r w:rsidR="00CB7BF0" w:rsidRPr="00043B8D">
        <w:t>.</w:t>
      </w:r>
      <w:r w:rsidR="00523CE3" w:rsidRPr="00043B8D">
        <w:t xml:space="preserve"> De VREG laat de Autoriteit Consument en Markt in Nederland (ACM) de toezichthoudende rol </w:t>
      </w:r>
      <w:r w:rsidR="00DB4DD1" w:rsidRPr="00043B8D">
        <w:t xml:space="preserve">blijven </w:t>
      </w:r>
      <w:r w:rsidR="00523CE3" w:rsidRPr="00043B8D">
        <w:t xml:space="preserve">uitoefenen voor </w:t>
      </w:r>
      <w:r w:rsidR="00CF795F" w:rsidRPr="00043B8D">
        <w:t xml:space="preserve">de </w:t>
      </w:r>
      <w:r w:rsidR="007806AA" w:rsidRPr="00043B8D">
        <w:t>aardgas</w:t>
      </w:r>
      <w:r w:rsidR="00B41023" w:rsidRPr="00043B8D">
        <w:t xml:space="preserve">distributienetgebruikers </w:t>
      </w:r>
      <w:r w:rsidR="00DB4DD1" w:rsidRPr="00043B8D">
        <w:t>in de enclaves</w:t>
      </w:r>
      <w:r w:rsidR="00523CE3" w:rsidRPr="00043B8D">
        <w:t xml:space="preserve"> </w:t>
      </w:r>
      <w:r w:rsidR="00CF795F" w:rsidRPr="00043B8D">
        <w:t xml:space="preserve">aangesloten bij Enexis, </w:t>
      </w:r>
      <w:r w:rsidR="00523CE3" w:rsidRPr="00043B8D">
        <w:t xml:space="preserve">inclusief de vaststelling van de tariefstructuren en tarieven. </w:t>
      </w:r>
      <w:r w:rsidR="00C2524B" w:rsidRPr="00043B8D">
        <w:t xml:space="preserve">De door ACM toegepaste tariefmethodologie </w:t>
      </w:r>
      <w:r w:rsidR="00523CE3" w:rsidRPr="00043B8D">
        <w:t>beschouwt de VREG als</w:t>
      </w:r>
      <w:r w:rsidR="00C2524B" w:rsidRPr="00043B8D">
        <w:t xml:space="preserve"> een </w:t>
      </w:r>
      <w:r w:rsidR="00523CE3" w:rsidRPr="00043B8D">
        <w:t xml:space="preserve">volwaardig alternatief </w:t>
      </w:r>
      <w:r w:rsidR="00C2524B" w:rsidRPr="00043B8D">
        <w:t xml:space="preserve">met voldoende incentives voor de </w:t>
      </w:r>
      <w:r w:rsidR="007806AA" w:rsidRPr="00043B8D">
        <w:t>aardgas</w:t>
      </w:r>
      <w:r w:rsidR="00C2524B" w:rsidRPr="00043B8D">
        <w:t>distributienetbeheerder tot kostenefficiënt netbeheer.</w:t>
      </w:r>
      <w:r w:rsidR="00694480" w:rsidRPr="00043B8D">
        <w:t xml:space="preserve"> Per briefwisseling</w:t>
      </w:r>
      <w:r w:rsidR="005B3B65" w:rsidRPr="00043B8D">
        <w:rPr>
          <w:rStyle w:val="Voetnootmarkering"/>
        </w:rPr>
        <w:footnoteReference w:id="8"/>
      </w:r>
      <w:r w:rsidR="00694480" w:rsidRPr="00043B8D">
        <w:t xml:space="preserve"> werd </w:t>
      </w:r>
      <w:r w:rsidR="00403209" w:rsidRPr="00043B8D">
        <w:t xml:space="preserve">door de VREG </w:t>
      </w:r>
      <w:r w:rsidR="00694480" w:rsidRPr="00043B8D">
        <w:t>contact opgenomen met de ACM teneinde</w:t>
      </w:r>
      <w:r w:rsidR="005B3B65" w:rsidRPr="00043B8D">
        <w:t xml:space="preserve"> voor Enexis</w:t>
      </w:r>
      <w:r w:rsidR="00694480" w:rsidRPr="00043B8D">
        <w:t xml:space="preserve"> tot een afspraak te komen voor de periode vanaf 01/01/2015</w:t>
      </w:r>
      <w:r w:rsidR="005B3B65" w:rsidRPr="00043B8D">
        <w:t>.</w:t>
      </w:r>
    </w:p>
    <w:p w14:paraId="46FBDEF8" w14:textId="77777777" w:rsidR="00523CE3" w:rsidRPr="00043B8D" w:rsidRDefault="00523CE3" w:rsidP="00130F8F"/>
    <w:p w14:paraId="47A5A61C" w14:textId="77777777" w:rsidR="00BA67B0" w:rsidRPr="00043B8D" w:rsidRDefault="00BA67B0" w:rsidP="00474BD0">
      <w:pPr>
        <w:pStyle w:val="Kop2"/>
      </w:pPr>
      <w:bookmarkStart w:id="7" w:name="_Toc454186647"/>
      <w:r w:rsidRPr="00043B8D">
        <w:t>Gewestgrensoverschrijdende distributienetbeheerders</w:t>
      </w:r>
      <w:bookmarkEnd w:id="7"/>
    </w:p>
    <w:p w14:paraId="38E26E18" w14:textId="77777777" w:rsidR="00BA67B0" w:rsidRPr="00043B8D" w:rsidRDefault="00BA67B0" w:rsidP="00130F8F"/>
    <w:p w14:paraId="61A6541A" w14:textId="7420019F" w:rsidR="003B0C5B" w:rsidRPr="00043B8D" w:rsidRDefault="00EF4651" w:rsidP="00AA640A">
      <w:r w:rsidRPr="00043B8D">
        <w:t xml:space="preserve">De </w:t>
      </w:r>
      <w:r w:rsidR="00E37C82" w:rsidRPr="00043B8D">
        <w:t>[…]</w:t>
      </w:r>
      <w:r w:rsidR="00E37C82" w:rsidRPr="00043B8D">
        <w:rPr>
          <w:rStyle w:val="Voetnootmarkering"/>
        </w:rPr>
        <w:footnoteReference w:id="9"/>
      </w:r>
      <w:r w:rsidRPr="00043B8D">
        <w:t xml:space="preserve"> gewestgrensoverschrijdende distributienetbeheerders opereren </w:t>
      </w:r>
      <w:r w:rsidR="00A223C1" w:rsidRPr="00043B8D">
        <w:t xml:space="preserve">zowel </w:t>
      </w:r>
      <w:r w:rsidRPr="00043B8D">
        <w:t xml:space="preserve">in het Vlaamse </w:t>
      </w:r>
      <w:r w:rsidR="00A223C1" w:rsidRPr="00043B8D">
        <w:t xml:space="preserve">als </w:t>
      </w:r>
      <w:r w:rsidRPr="00043B8D">
        <w:t xml:space="preserve">het Waalse Gewest. Hun activa, passiva, kosten en opbrengsten </w:t>
      </w:r>
      <w:r w:rsidR="00A223C1" w:rsidRPr="00043B8D">
        <w:t xml:space="preserve">m.b.t. de elektriciteits- en aardgasdistributie worden ten behoeve van de tariefmethodologie </w:t>
      </w:r>
      <w:r w:rsidRPr="00043B8D">
        <w:t xml:space="preserve">verdeeld </w:t>
      </w:r>
      <w:r w:rsidR="00A223C1" w:rsidRPr="00043B8D">
        <w:t>tussen de gewesten op basis van welbepaalde objectieve</w:t>
      </w:r>
      <w:r w:rsidR="00271AFD" w:rsidRPr="00043B8D">
        <w:t>,</w:t>
      </w:r>
      <w:r w:rsidR="00A223C1" w:rsidRPr="00043B8D">
        <w:t xml:space="preserve"> transparante </w:t>
      </w:r>
      <w:r w:rsidR="00271AFD" w:rsidRPr="00043B8D">
        <w:t xml:space="preserve">en niet-discriminatoire </w:t>
      </w:r>
      <w:r w:rsidR="00A223C1" w:rsidRPr="00043B8D">
        <w:t>criteri</w:t>
      </w:r>
      <w:r w:rsidR="007817C0" w:rsidRPr="00043B8D">
        <w:t>a (zie</w:t>
      </w:r>
      <w:r w:rsidR="00453D0C" w:rsidRPr="00043B8D">
        <w:t xml:space="preserve"> </w:t>
      </w:r>
      <w:hyperlink w:anchor="_Bijlage_3:_Verdeelsleutels" w:history="1">
        <w:r w:rsidR="004A59D2" w:rsidRPr="00043B8D">
          <w:rPr>
            <w:rStyle w:val="Hyperlink"/>
            <w:color w:val="auto"/>
          </w:rPr>
          <w:t>bijlage 3</w:t>
        </w:r>
      </w:hyperlink>
      <w:r w:rsidR="007817C0" w:rsidRPr="00043B8D">
        <w:t>)</w:t>
      </w:r>
      <w:r w:rsidR="00A223C1" w:rsidRPr="00043B8D">
        <w:t xml:space="preserve">. </w:t>
      </w:r>
      <w:r w:rsidR="00453D0C" w:rsidRPr="00043B8D">
        <w:t xml:space="preserve"> De verdeling van deze data over beide gewesten wordt aan de hand van een </w:t>
      </w:r>
      <w:r w:rsidR="00044EBD" w:rsidRPr="00043B8D">
        <w:t>[…]</w:t>
      </w:r>
      <w:r w:rsidR="00044EBD" w:rsidRPr="00043B8D">
        <w:rPr>
          <w:rStyle w:val="Voetnootmarkering"/>
        </w:rPr>
        <w:footnoteReference w:id="10"/>
      </w:r>
      <w:r w:rsidR="00044EBD" w:rsidRPr="00043B8D">
        <w:t xml:space="preserve"> [</w:t>
      </w:r>
      <w:r w:rsidR="00BE10DE" w:rsidRPr="00043B8D">
        <w:t>rapport van feitelijke bevindingen</w:t>
      </w:r>
      <w:r w:rsidR="00044EBD" w:rsidRPr="00043B8D">
        <w:t>]</w:t>
      </w:r>
      <w:r w:rsidR="00044EBD" w:rsidRPr="00043B8D">
        <w:rPr>
          <w:rStyle w:val="Voetnootmarkering"/>
        </w:rPr>
        <w:footnoteReference w:id="11"/>
      </w:r>
      <w:r w:rsidR="00453D0C" w:rsidRPr="00043B8D">
        <w:t xml:space="preserve"> door de commissaris </w:t>
      </w:r>
      <w:r w:rsidR="00044EBD" w:rsidRPr="00043B8D">
        <w:t>[…]</w:t>
      </w:r>
      <w:r w:rsidR="00044EBD" w:rsidRPr="00043B8D">
        <w:rPr>
          <w:rStyle w:val="Voetnootmarkering"/>
        </w:rPr>
        <w:footnoteReference w:id="12"/>
      </w:r>
      <w:r w:rsidR="00044EBD" w:rsidRPr="00043B8D">
        <w:t xml:space="preserve"> </w:t>
      </w:r>
      <w:r w:rsidR="00BE10DE" w:rsidRPr="00043B8D">
        <w:t xml:space="preserve">aan de VREG gerapporteerd (zie par </w:t>
      </w:r>
      <w:r w:rsidR="00BE10DE" w:rsidRPr="00043B8D">
        <w:fldChar w:fldCharType="begin"/>
      </w:r>
      <w:r w:rsidR="00BE10DE" w:rsidRPr="00043B8D">
        <w:instrText xml:space="preserve"> REF _Ref392233276 \r \h </w:instrText>
      </w:r>
      <w:r w:rsidR="00916C57" w:rsidRPr="00043B8D">
        <w:instrText xml:space="preserve"> \* MERGEFORMAT </w:instrText>
      </w:r>
      <w:r w:rsidR="00BE10DE" w:rsidRPr="00043B8D">
        <w:fldChar w:fldCharType="separate"/>
      </w:r>
      <w:r w:rsidR="00B30F9B">
        <w:t>10.1</w:t>
      </w:r>
      <w:r w:rsidR="00BE10DE" w:rsidRPr="00043B8D">
        <w:fldChar w:fldCharType="end"/>
      </w:r>
      <w:r w:rsidR="00BE10DE" w:rsidRPr="00043B8D">
        <w:t>)</w:t>
      </w:r>
      <w:r w:rsidR="00A223C1" w:rsidRPr="00043B8D">
        <w:t>.</w:t>
      </w:r>
      <w:r w:rsidR="00044EBD" w:rsidRPr="00043B8D">
        <w:t xml:space="preserve"> […]</w:t>
      </w:r>
      <w:r w:rsidR="00044EBD" w:rsidRPr="00043B8D">
        <w:rPr>
          <w:rStyle w:val="Voetnootmarkering"/>
        </w:rPr>
        <w:footnoteReference w:id="13"/>
      </w:r>
      <w:r w:rsidR="003B0C5B" w:rsidRPr="00043B8D">
        <w:br w:type="page"/>
      </w:r>
    </w:p>
    <w:p w14:paraId="44F54AED" w14:textId="77777777" w:rsidR="00A60E4E" w:rsidRPr="00043B8D" w:rsidRDefault="00A60E4E" w:rsidP="0074125F">
      <w:pPr>
        <w:pStyle w:val="Kop1"/>
      </w:pPr>
      <w:bookmarkStart w:id="8" w:name="_Ref390159364"/>
      <w:bookmarkStart w:id="9" w:name="_Toc454186648"/>
      <w:r w:rsidRPr="00043B8D">
        <w:t>Economische regulering van distributienetbeheerders</w:t>
      </w:r>
      <w:bookmarkEnd w:id="8"/>
      <w:bookmarkEnd w:id="9"/>
      <w:r w:rsidRPr="00043B8D">
        <w:t xml:space="preserve"> </w:t>
      </w:r>
    </w:p>
    <w:p w14:paraId="11484C01" w14:textId="77777777" w:rsidR="00EF06A9" w:rsidRPr="00043B8D" w:rsidRDefault="00EF06A9" w:rsidP="00EF06A9"/>
    <w:p w14:paraId="59A65A00" w14:textId="65C1D36C" w:rsidR="00A07883" w:rsidRPr="00043B8D" w:rsidRDefault="00A07883" w:rsidP="005251E2">
      <w:pPr>
        <w:pStyle w:val="Kop2"/>
        <w:numPr>
          <w:ilvl w:val="1"/>
          <w:numId w:val="24"/>
        </w:numPr>
      </w:pPr>
      <w:bookmarkStart w:id="10" w:name="_Toc389652820"/>
      <w:bookmarkStart w:id="11" w:name="_Toc389652867"/>
      <w:bookmarkStart w:id="12" w:name="_Toc389665053"/>
      <w:bookmarkStart w:id="13" w:name="_Toc389665100"/>
      <w:bookmarkStart w:id="14" w:name="_Toc389665148"/>
      <w:bookmarkStart w:id="15" w:name="_Toc389665197"/>
      <w:bookmarkStart w:id="16" w:name="_Toc389806959"/>
      <w:bookmarkStart w:id="17" w:name="_Toc389832786"/>
      <w:bookmarkStart w:id="18" w:name="_Toc389833674"/>
      <w:bookmarkStart w:id="19" w:name="_Toc390163206"/>
      <w:bookmarkStart w:id="20" w:name="_Toc390170057"/>
      <w:bookmarkStart w:id="21" w:name="_Toc390170112"/>
      <w:bookmarkStart w:id="22" w:name="_Toc390171703"/>
      <w:bookmarkStart w:id="23" w:name="_Toc390240891"/>
      <w:bookmarkStart w:id="24" w:name="_Toc390246156"/>
      <w:bookmarkStart w:id="25" w:name="_Toc390266629"/>
      <w:bookmarkStart w:id="26" w:name="_Toc390266695"/>
      <w:bookmarkStart w:id="27" w:name="_Toc390267735"/>
      <w:bookmarkStart w:id="28" w:name="_Toc390333357"/>
      <w:bookmarkStart w:id="29" w:name="_Toc390335093"/>
      <w:bookmarkStart w:id="30" w:name="_Toc390336410"/>
      <w:bookmarkStart w:id="31" w:name="_Toc390344721"/>
      <w:bookmarkStart w:id="32" w:name="_Toc390344812"/>
      <w:bookmarkStart w:id="33" w:name="_Toc390344891"/>
      <w:bookmarkStart w:id="34" w:name="_Toc390345126"/>
      <w:bookmarkStart w:id="35" w:name="_Toc390355241"/>
      <w:bookmarkStart w:id="36" w:name="_Toc390415366"/>
      <w:bookmarkStart w:id="37" w:name="_Toc390419370"/>
      <w:bookmarkStart w:id="38" w:name="_Toc390419439"/>
      <w:bookmarkStart w:id="39" w:name="_Toc390422212"/>
      <w:bookmarkStart w:id="40" w:name="_Toc390429238"/>
      <w:bookmarkStart w:id="41" w:name="_Toc390765246"/>
      <w:bookmarkStart w:id="42" w:name="_Toc390931289"/>
      <w:bookmarkStart w:id="43" w:name="_Toc390933362"/>
      <w:bookmarkStart w:id="44" w:name="_Toc390947743"/>
      <w:bookmarkStart w:id="45" w:name="_Toc390948441"/>
      <w:bookmarkStart w:id="46" w:name="_Toc391901655"/>
      <w:bookmarkStart w:id="47" w:name="_Toc391901734"/>
      <w:bookmarkStart w:id="48" w:name="_Toc391901838"/>
      <w:bookmarkStart w:id="49" w:name="_Toc391971129"/>
      <w:bookmarkStart w:id="50" w:name="_Toc391971934"/>
      <w:bookmarkStart w:id="51" w:name="_Toc391999529"/>
      <w:bookmarkStart w:id="52" w:name="_Toc392057015"/>
      <w:bookmarkStart w:id="53" w:name="_Toc392058085"/>
      <w:bookmarkStart w:id="54" w:name="_Toc392059005"/>
      <w:bookmarkStart w:id="55" w:name="_Toc392059088"/>
      <w:bookmarkStart w:id="56" w:name="_Toc392233034"/>
      <w:bookmarkStart w:id="57" w:name="_Toc392484754"/>
      <w:bookmarkStart w:id="58" w:name="_Toc392498948"/>
      <w:bookmarkStart w:id="59" w:name="_Toc392584546"/>
      <w:bookmarkStart w:id="60" w:name="_Toc392585933"/>
      <w:bookmarkStart w:id="61" w:name="_Toc392589697"/>
      <w:bookmarkStart w:id="62" w:name="_Toc392589839"/>
      <w:bookmarkStart w:id="63" w:name="_Toc392589928"/>
      <w:bookmarkStart w:id="64" w:name="_Toc390163207"/>
      <w:bookmarkStart w:id="65" w:name="_Toc390170058"/>
      <w:bookmarkStart w:id="66" w:name="_Toc390170113"/>
      <w:bookmarkStart w:id="67" w:name="_Toc390171704"/>
      <w:bookmarkStart w:id="68" w:name="_Toc390240892"/>
      <w:bookmarkStart w:id="69" w:name="_Toc390246157"/>
      <w:bookmarkStart w:id="70" w:name="_Toc390266630"/>
      <w:bookmarkStart w:id="71" w:name="_Toc390266696"/>
      <w:bookmarkStart w:id="72" w:name="_Toc390267736"/>
      <w:bookmarkStart w:id="73" w:name="_Toc390333358"/>
      <w:bookmarkStart w:id="74" w:name="_Toc390335094"/>
      <w:bookmarkStart w:id="75" w:name="_Toc390336411"/>
      <w:bookmarkStart w:id="76" w:name="_Toc390344722"/>
      <w:bookmarkStart w:id="77" w:name="_Toc390344813"/>
      <w:bookmarkStart w:id="78" w:name="_Toc390344892"/>
      <w:bookmarkStart w:id="79" w:name="_Toc390345127"/>
      <w:bookmarkStart w:id="80" w:name="_Toc390355242"/>
      <w:bookmarkStart w:id="81" w:name="_Toc390415367"/>
      <w:bookmarkStart w:id="82" w:name="_Toc390419371"/>
      <w:bookmarkStart w:id="83" w:name="_Toc390419440"/>
      <w:bookmarkStart w:id="84" w:name="_Toc390422213"/>
      <w:bookmarkStart w:id="85" w:name="_Toc390429239"/>
      <w:bookmarkStart w:id="86" w:name="_Toc390765247"/>
      <w:bookmarkStart w:id="87" w:name="_Toc390931290"/>
      <w:bookmarkStart w:id="88" w:name="_Toc390933363"/>
      <w:bookmarkStart w:id="89" w:name="_Toc390947744"/>
      <w:bookmarkStart w:id="90" w:name="_Toc390948442"/>
      <w:bookmarkStart w:id="91" w:name="_Toc391901656"/>
      <w:bookmarkStart w:id="92" w:name="_Toc391901735"/>
      <w:bookmarkStart w:id="93" w:name="_Toc391901839"/>
      <w:bookmarkStart w:id="94" w:name="_Toc391971130"/>
      <w:bookmarkStart w:id="95" w:name="_Toc391971935"/>
      <w:bookmarkStart w:id="96" w:name="_Toc391999530"/>
      <w:bookmarkStart w:id="97" w:name="_Toc392057016"/>
      <w:bookmarkStart w:id="98" w:name="_Toc392058086"/>
      <w:bookmarkStart w:id="99" w:name="_Toc392059006"/>
      <w:bookmarkStart w:id="100" w:name="_Toc392059089"/>
      <w:bookmarkStart w:id="101" w:name="_Toc392233035"/>
      <w:bookmarkStart w:id="102" w:name="_Toc392484755"/>
      <w:bookmarkStart w:id="103" w:name="_Toc392498949"/>
      <w:bookmarkStart w:id="104" w:name="_Toc392584547"/>
      <w:bookmarkStart w:id="105" w:name="_Toc392585934"/>
      <w:bookmarkStart w:id="106" w:name="_Toc392589698"/>
      <w:bookmarkStart w:id="107" w:name="_Toc392589840"/>
      <w:bookmarkStart w:id="108" w:name="_Toc392589929"/>
      <w:bookmarkStart w:id="109" w:name="_Toc390163208"/>
      <w:bookmarkStart w:id="110" w:name="_Toc390170059"/>
      <w:bookmarkStart w:id="111" w:name="_Toc390170114"/>
      <w:bookmarkStart w:id="112" w:name="_Toc390171705"/>
      <w:bookmarkStart w:id="113" w:name="_Toc390240893"/>
      <w:bookmarkStart w:id="114" w:name="_Toc390246158"/>
      <w:bookmarkStart w:id="115" w:name="_Toc390266631"/>
      <w:bookmarkStart w:id="116" w:name="_Toc390266697"/>
      <w:bookmarkStart w:id="117" w:name="_Toc390267737"/>
      <w:bookmarkStart w:id="118" w:name="_Toc390333359"/>
      <w:bookmarkStart w:id="119" w:name="_Toc390335095"/>
      <w:bookmarkStart w:id="120" w:name="_Toc390336412"/>
      <w:bookmarkStart w:id="121" w:name="_Toc390344723"/>
      <w:bookmarkStart w:id="122" w:name="_Toc390344814"/>
      <w:bookmarkStart w:id="123" w:name="_Toc390344893"/>
      <w:bookmarkStart w:id="124" w:name="_Toc390345128"/>
      <w:bookmarkStart w:id="125" w:name="_Toc390355243"/>
      <w:bookmarkStart w:id="126" w:name="_Toc390415368"/>
      <w:bookmarkStart w:id="127" w:name="_Toc390419372"/>
      <w:bookmarkStart w:id="128" w:name="_Toc390419441"/>
      <w:bookmarkStart w:id="129" w:name="_Toc390422214"/>
      <w:bookmarkStart w:id="130" w:name="_Toc390429240"/>
      <w:bookmarkStart w:id="131" w:name="_Toc390765248"/>
      <w:bookmarkStart w:id="132" w:name="_Toc390931291"/>
      <w:bookmarkStart w:id="133" w:name="_Toc390933364"/>
      <w:bookmarkStart w:id="134" w:name="_Toc390947745"/>
      <w:bookmarkStart w:id="135" w:name="_Toc390948443"/>
      <w:bookmarkStart w:id="136" w:name="_Toc391901657"/>
      <w:bookmarkStart w:id="137" w:name="_Toc391901736"/>
      <w:bookmarkStart w:id="138" w:name="_Toc391901840"/>
      <w:bookmarkStart w:id="139" w:name="_Toc391971131"/>
      <w:bookmarkStart w:id="140" w:name="_Toc391971936"/>
      <w:bookmarkStart w:id="141" w:name="_Toc391999531"/>
      <w:bookmarkStart w:id="142" w:name="_Toc392057017"/>
      <w:bookmarkStart w:id="143" w:name="_Toc392058087"/>
      <w:bookmarkStart w:id="144" w:name="_Toc392059007"/>
      <w:bookmarkStart w:id="145" w:name="_Toc392059090"/>
      <w:bookmarkStart w:id="146" w:name="_Toc392233036"/>
      <w:bookmarkStart w:id="147" w:name="_Toc392484756"/>
      <w:bookmarkStart w:id="148" w:name="_Toc392498950"/>
      <w:bookmarkStart w:id="149" w:name="_Toc392584548"/>
      <w:bookmarkStart w:id="150" w:name="_Toc392585935"/>
      <w:bookmarkStart w:id="151" w:name="_Toc392589699"/>
      <w:bookmarkStart w:id="152" w:name="_Toc392589841"/>
      <w:bookmarkStart w:id="153" w:name="_Toc392589930"/>
      <w:bookmarkStart w:id="154" w:name="_Toc390163209"/>
      <w:bookmarkStart w:id="155" w:name="_Toc390170060"/>
      <w:bookmarkStart w:id="156" w:name="_Toc390170115"/>
      <w:bookmarkStart w:id="157" w:name="_Toc390171706"/>
      <w:bookmarkStart w:id="158" w:name="_Toc390240894"/>
      <w:bookmarkStart w:id="159" w:name="_Toc390246159"/>
      <w:bookmarkStart w:id="160" w:name="_Toc390266632"/>
      <w:bookmarkStart w:id="161" w:name="_Toc390266698"/>
      <w:bookmarkStart w:id="162" w:name="_Toc390267738"/>
      <w:bookmarkStart w:id="163" w:name="_Toc390333360"/>
      <w:bookmarkStart w:id="164" w:name="_Toc390335096"/>
      <w:bookmarkStart w:id="165" w:name="_Toc390336413"/>
      <w:bookmarkStart w:id="166" w:name="_Toc390344724"/>
      <w:bookmarkStart w:id="167" w:name="_Toc390344815"/>
      <w:bookmarkStart w:id="168" w:name="_Toc390344894"/>
      <w:bookmarkStart w:id="169" w:name="_Toc390345129"/>
      <w:bookmarkStart w:id="170" w:name="_Toc390355244"/>
      <w:bookmarkStart w:id="171" w:name="_Toc390415369"/>
      <w:bookmarkStart w:id="172" w:name="_Toc390419373"/>
      <w:bookmarkStart w:id="173" w:name="_Toc390419442"/>
      <w:bookmarkStart w:id="174" w:name="_Toc390422215"/>
      <w:bookmarkStart w:id="175" w:name="_Toc390429241"/>
      <w:bookmarkStart w:id="176" w:name="_Toc390765249"/>
      <w:bookmarkStart w:id="177" w:name="_Toc390931292"/>
      <w:bookmarkStart w:id="178" w:name="_Toc390933365"/>
      <w:bookmarkStart w:id="179" w:name="_Toc390947746"/>
      <w:bookmarkStart w:id="180" w:name="_Toc390948444"/>
      <w:bookmarkStart w:id="181" w:name="_Toc391901658"/>
      <w:bookmarkStart w:id="182" w:name="_Toc391901737"/>
      <w:bookmarkStart w:id="183" w:name="_Toc391901841"/>
      <w:bookmarkStart w:id="184" w:name="_Toc391971132"/>
      <w:bookmarkStart w:id="185" w:name="_Toc391971937"/>
      <w:bookmarkStart w:id="186" w:name="_Toc391999532"/>
      <w:bookmarkStart w:id="187" w:name="_Toc392057018"/>
      <w:bookmarkStart w:id="188" w:name="_Toc392058088"/>
      <w:bookmarkStart w:id="189" w:name="_Toc392059008"/>
      <w:bookmarkStart w:id="190" w:name="_Toc392059091"/>
      <w:bookmarkStart w:id="191" w:name="_Toc392233037"/>
      <w:bookmarkStart w:id="192" w:name="_Toc392484757"/>
      <w:bookmarkStart w:id="193" w:name="_Toc392498951"/>
      <w:bookmarkStart w:id="194" w:name="_Toc392584549"/>
      <w:bookmarkStart w:id="195" w:name="_Toc392585936"/>
      <w:bookmarkStart w:id="196" w:name="_Toc392589700"/>
      <w:bookmarkStart w:id="197" w:name="_Toc392589842"/>
      <w:bookmarkStart w:id="198" w:name="_Toc392589931"/>
      <w:bookmarkStart w:id="199" w:name="_Toc45418664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r w:rsidRPr="00043B8D">
        <w:t>Natuurlijk monopolie</w:t>
      </w:r>
      <w:bookmarkEnd w:id="199"/>
    </w:p>
    <w:p w14:paraId="5DD78971" w14:textId="77777777" w:rsidR="00A07883" w:rsidRPr="00043B8D" w:rsidRDefault="00A07883" w:rsidP="00A07883"/>
    <w:p w14:paraId="30C08CEB" w14:textId="5CBA6429" w:rsidR="00A07883" w:rsidRPr="00043B8D" w:rsidRDefault="009E7181" w:rsidP="00A60E4E">
      <w:r w:rsidRPr="00043B8D">
        <w:t xml:space="preserve">De elektriciteits- en aardgasdistributienetbeheerders bezitten in hun werkgebied het natuurlijk monopolie op de verdeling van elektriciteit en aardgas. Dit </w:t>
      </w:r>
      <w:r w:rsidR="005A1928" w:rsidRPr="00043B8D">
        <w:t xml:space="preserve">monopolie wordt </w:t>
      </w:r>
      <w:r w:rsidRPr="00043B8D">
        <w:t xml:space="preserve">maatschappelijk </w:t>
      </w:r>
      <w:r w:rsidR="005A1928" w:rsidRPr="00043B8D">
        <w:t xml:space="preserve">aanvaard omdat het als de </w:t>
      </w:r>
      <w:r w:rsidRPr="00043B8D">
        <w:t xml:space="preserve">beste oplossing </w:t>
      </w:r>
      <w:r w:rsidR="005A1928" w:rsidRPr="00043B8D">
        <w:t>wordt beschouwd</w:t>
      </w:r>
      <w:r w:rsidRPr="00043B8D">
        <w:t xml:space="preserve">. Het zou niet zinvol zijn om meerdere bedrijven toe te laten dergelijke netwerken naast elkaar te laten aanleggen. Anderzijds creëert dit </w:t>
      </w:r>
      <w:r w:rsidR="005A1928" w:rsidRPr="00043B8D">
        <w:t>de</w:t>
      </w:r>
      <w:r w:rsidRPr="00043B8D">
        <w:t xml:space="preserve"> noodzaak tot economische regulering van deze </w:t>
      </w:r>
      <w:r w:rsidR="00D42CC8" w:rsidRPr="00043B8D">
        <w:t>ondernemingen</w:t>
      </w:r>
      <w:r w:rsidRPr="00043B8D">
        <w:t>. Monopolies zijn ongewenst gezien de vele nadelen die ermee geassocieerd worden, zoals te hoge prijzen voor klanten, een weinig efficiënte interne werking en een verminderde productiviteit. Daarnaast verwacht de samenleving dat de energienetwerken veilig, betrouwbaar en betaalbaar zijn. Het is de taak van een regulator om de economische regulering uit te werken, met inachtname van de richtlijnen</w:t>
      </w:r>
      <w:r w:rsidR="00453D0C" w:rsidRPr="00043B8D">
        <w:t xml:space="preserve"> die</w:t>
      </w:r>
      <w:r w:rsidRPr="00043B8D">
        <w:t xml:space="preserve"> hieromtrent door de overheid</w:t>
      </w:r>
      <w:r w:rsidR="00453D0C" w:rsidRPr="00043B8D">
        <w:t xml:space="preserve"> worden</w:t>
      </w:r>
      <w:r w:rsidRPr="00043B8D">
        <w:t xml:space="preserve"> opgelegd.</w:t>
      </w:r>
    </w:p>
    <w:p w14:paraId="75A15FEB" w14:textId="77777777" w:rsidR="00D42CC8" w:rsidRPr="00043B8D" w:rsidRDefault="00D42CC8" w:rsidP="00A60E4E"/>
    <w:p w14:paraId="65EAD72E" w14:textId="21FD00FD" w:rsidR="00A07883" w:rsidRPr="00043B8D" w:rsidRDefault="006D2FBC" w:rsidP="005251E2">
      <w:pPr>
        <w:pStyle w:val="Kop2"/>
        <w:numPr>
          <w:ilvl w:val="1"/>
          <w:numId w:val="24"/>
        </w:numPr>
      </w:pPr>
      <w:bookmarkStart w:id="200" w:name="_Ref390355303"/>
      <w:bookmarkStart w:id="201" w:name="_Toc454186650"/>
      <w:r w:rsidRPr="00043B8D">
        <w:t>Modellen voor economische regulering</w:t>
      </w:r>
      <w:bookmarkEnd w:id="200"/>
      <w:bookmarkEnd w:id="201"/>
    </w:p>
    <w:p w14:paraId="7D4DE84F" w14:textId="77777777" w:rsidR="006D2FBC" w:rsidRPr="00043B8D" w:rsidRDefault="006D2FBC" w:rsidP="00A60E4E"/>
    <w:p w14:paraId="30D60E6B" w14:textId="6DE555C8" w:rsidR="0045678A" w:rsidRPr="00043B8D" w:rsidRDefault="006D2FBC" w:rsidP="00922020">
      <w:r w:rsidRPr="00043B8D">
        <w:t xml:space="preserve">Algemeen en enigszins vereenvoudigd kan </w:t>
      </w:r>
      <w:r w:rsidR="00922020" w:rsidRPr="00043B8D">
        <w:t xml:space="preserve">gesteld worden </w:t>
      </w:r>
      <w:r w:rsidRPr="00043B8D">
        <w:t xml:space="preserve">dat </w:t>
      </w:r>
      <w:r w:rsidR="00922020" w:rsidRPr="00043B8D">
        <w:t xml:space="preserve">men </w:t>
      </w:r>
      <w:r w:rsidRPr="00043B8D">
        <w:t xml:space="preserve">de mogelijkheid heeft om op twee </w:t>
      </w:r>
      <w:r w:rsidR="00922020" w:rsidRPr="00043B8D">
        <w:t xml:space="preserve">verschillende </w:t>
      </w:r>
      <w:r w:rsidRPr="00043B8D">
        <w:t>wijzen de distributienettarieven te reguleren:</w:t>
      </w:r>
      <w:r w:rsidR="00922020" w:rsidRPr="00043B8D">
        <w:t xml:space="preserve"> via r</w:t>
      </w:r>
      <w:r w:rsidRPr="00043B8D">
        <w:t>endementsregulering</w:t>
      </w:r>
      <w:r w:rsidR="00922020" w:rsidRPr="00043B8D">
        <w:t xml:space="preserve"> of via i</w:t>
      </w:r>
      <w:r w:rsidRPr="00043B8D">
        <w:t>n</w:t>
      </w:r>
      <w:r w:rsidR="0045678A" w:rsidRPr="00043B8D">
        <w:t>komsten- (of prijs-)regulering</w:t>
      </w:r>
      <w:r w:rsidRPr="00043B8D">
        <w:t>.</w:t>
      </w:r>
      <w:r w:rsidR="003157A7" w:rsidRPr="00043B8D">
        <w:t xml:space="preserve"> Hierop wordt</w:t>
      </w:r>
      <w:r w:rsidR="00D42CC8" w:rsidRPr="00043B8D">
        <w:t xml:space="preserve"> i</w:t>
      </w:r>
      <w:r w:rsidR="00932B75" w:rsidRPr="00043B8D">
        <w:t>n</w:t>
      </w:r>
      <w:r w:rsidR="00453D0C" w:rsidRPr="00043B8D">
        <w:t xml:space="preserve"> </w:t>
      </w:r>
      <w:r w:rsidR="00D42CC8" w:rsidRPr="00043B8D">
        <w:t xml:space="preserve">de volgende </w:t>
      </w:r>
      <w:r w:rsidR="00453D0C" w:rsidRPr="00043B8D">
        <w:t>par</w:t>
      </w:r>
      <w:r w:rsidR="00D42CC8" w:rsidRPr="00043B8D">
        <w:t>agrafen (</w:t>
      </w:r>
      <w:r w:rsidR="003157A7" w:rsidRPr="00043B8D">
        <w:t>respectievelijk par</w:t>
      </w:r>
      <w:r w:rsidR="00515C36" w:rsidRPr="00043B8D">
        <w:t>.</w:t>
      </w:r>
      <w:r w:rsidR="003157A7" w:rsidRPr="00043B8D">
        <w:t xml:space="preserve"> </w:t>
      </w:r>
      <w:r w:rsidR="00932B75" w:rsidRPr="00043B8D">
        <w:fldChar w:fldCharType="begin"/>
      </w:r>
      <w:r w:rsidR="00932B75" w:rsidRPr="00043B8D">
        <w:instrText xml:space="preserve"> REF _Ref388537672 \r \h </w:instrText>
      </w:r>
      <w:r w:rsidR="00043B8D">
        <w:instrText xml:space="preserve"> \* MERGEFORMAT </w:instrText>
      </w:r>
      <w:r w:rsidR="00932B75" w:rsidRPr="00043B8D">
        <w:fldChar w:fldCharType="separate"/>
      </w:r>
      <w:r w:rsidR="00B30F9B">
        <w:t>4.2.1</w:t>
      </w:r>
      <w:r w:rsidR="00932B75" w:rsidRPr="00043B8D">
        <w:fldChar w:fldCharType="end"/>
      </w:r>
      <w:r w:rsidR="00932B75" w:rsidRPr="00043B8D">
        <w:t xml:space="preserve"> en </w:t>
      </w:r>
      <w:r w:rsidR="003157A7" w:rsidRPr="00043B8D">
        <w:t>par</w:t>
      </w:r>
      <w:r w:rsidR="00515C36" w:rsidRPr="00043B8D">
        <w:t>.</w:t>
      </w:r>
      <w:r w:rsidR="003157A7" w:rsidRPr="00043B8D">
        <w:t xml:space="preserve"> </w:t>
      </w:r>
      <w:r w:rsidR="00932B75" w:rsidRPr="00043B8D">
        <w:fldChar w:fldCharType="begin"/>
      </w:r>
      <w:r w:rsidR="00932B75" w:rsidRPr="00043B8D">
        <w:instrText xml:space="preserve"> REF _Ref388537674 \r \h </w:instrText>
      </w:r>
      <w:r w:rsidR="00043B8D">
        <w:instrText xml:space="preserve"> \* MERGEFORMAT </w:instrText>
      </w:r>
      <w:r w:rsidR="00932B75" w:rsidRPr="00043B8D">
        <w:fldChar w:fldCharType="separate"/>
      </w:r>
      <w:r w:rsidR="00B30F9B">
        <w:t>4.2.2</w:t>
      </w:r>
      <w:r w:rsidR="00932B75" w:rsidRPr="00043B8D">
        <w:fldChar w:fldCharType="end"/>
      </w:r>
      <w:r w:rsidR="00D42CC8" w:rsidRPr="00043B8D">
        <w:t>)</w:t>
      </w:r>
      <w:r w:rsidR="00932B75" w:rsidRPr="00043B8D">
        <w:t xml:space="preserve"> </w:t>
      </w:r>
      <w:r w:rsidR="00403209" w:rsidRPr="00043B8D">
        <w:t xml:space="preserve">bij wijze van inleiding </w:t>
      </w:r>
      <w:r w:rsidR="00D42CC8" w:rsidRPr="00043B8D">
        <w:t xml:space="preserve">verder </w:t>
      </w:r>
      <w:r w:rsidR="00922020" w:rsidRPr="00043B8D">
        <w:t>ingegaan.</w:t>
      </w:r>
      <w:r w:rsidR="00F61BE4" w:rsidRPr="00043B8D">
        <w:t xml:space="preserve"> Vervolgens wordt </w:t>
      </w:r>
      <w:r w:rsidR="00D42CC8" w:rsidRPr="00043B8D">
        <w:t>(</w:t>
      </w:r>
      <w:r w:rsidR="00F61BE4" w:rsidRPr="00043B8D">
        <w:t xml:space="preserve">in </w:t>
      </w:r>
      <w:r w:rsidR="00453D0C" w:rsidRPr="00043B8D">
        <w:t>par</w:t>
      </w:r>
      <w:r w:rsidR="00515C36" w:rsidRPr="00043B8D">
        <w:t>.</w:t>
      </w:r>
      <w:r w:rsidR="00453D0C" w:rsidRPr="00043B8D">
        <w:t xml:space="preserve"> </w:t>
      </w:r>
      <w:r w:rsidR="00F61BE4" w:rsidRPr="00043B8D">
        <w:fldChar w:fldCharType="begin"/>
      </w:r>
      <w:r w:rsidR="00F61BE4" w:rsidRPr="00043B8D">
        <w:instrText xml:space="preserve"> REF _Ref365467774 \r \h </w:instrText>
      </w:r>
      <w:r w:rsidR="00043B8D">
        <w:instrText xml:space="preserve"> \* MERGEFORMAT </w:instrText>
      </w:r>
      <w:r w:rsidR="00F61BE4" w:rsidRPr="00043B8D">
        <w:fldChar w:fldCharType="separate"/>
      </w:r>
      <w:r w:rsidR="00B30F9B">
        <w:t>4.2.3</w:t>
      </w:r>
      <w:r w:rsidR="00F61BE4" w:rsidRPr="00043B8D">
        <w:fldChar w:fldCharType="end"/>
      </w:r>
      <w:r w:rsidR="00D42CC8" w:rsidRPr="00043B8D">
        <w:t>)</w:t>
      </w:r>
      <w:r w:rsidR="00F61BE4" w:rsidRPr="00043B8D">
        <w:t xml:space="preserve"> de opbouw van de tariefmethodologie volgens de </w:t>
      </w:r>
      <w:r w:rsidR="00FB25DA" w:rsidRPr="00043B8D">
        <w:t xml:space="preserve">inmiddels opgeheven </w:t>
      </w:r>
      <w:r w:rsidR="00F61BE4" w:rsidRPr="00043B8D">
        <w:t>tarieven</w:t>
      </w:r>
      <w:r w:rsidR="00FB25DA" w:rsidRPr="00043B8D">
        <w:t>-</w:t>
      </w:r>
      <w:r w:rsidR="00F61BE4" w:rsidRPr="00043B8D">
        <w:t xml:space="preserve">KB’s 2008 </w:t>
      </w:r>
      <w:r w:rsidR="003157A7" w:rsidRPr="00043B8D">
        <w:t>besproken</w:t>
      </w:r>
      <w:r w:rsidR="00F61BE4" w:rsidRPr="00043B8D">
        <w:t>.</w:t>
      </w:r>
    </w:p>
    <w:p w14:paraId="1EF3F21E" w14:textId="77777777" w:rsidR="0045678A" w:rsidRPr="00043B8D" w:rsidRDefault="0045678A" w:rsidP="0045678A"/>
    <w:p w14:paraId="0F9C3B2C" w14:textId="77777777" w:rsidR="0045678A" w:rsidRPr="00043B8D" w:rsidRDefault="0045678A" w:rsidP="005251E2">
      <w:pPr>
        <w:pStyle w:val="Kop2"/>
        <w:numPr>
          <w:ilvl w:val="2"/>
          <w:numId w:val="24"/>
        </w:numPr>
        <w:ind w:left="993" w:hanging="993"/>
        <w:rPr>
          <w:i/>
          <w:sz w:val="22"/>
          <w:szCs w:val="22"/>
        </w:rPr>
      </w:pPr>
      <w:bookmarkStart w:id="202" w:name="_Ref388537672"/>
      <w:bookmarkStart w:id="203" w:name="_Toc454186651"/>
      <w:r w:rsidRPr="00043B8D">
        <w:rPr>
          <w:i/>
          <w:sz w:val="22"/>
          <w:szCs w:val="22"/>
        </w:rPr>
        <w:t>Rendementsregulering</w:t>
      </w:r>
      <w:bookmarkEnd w:id="202"/>
      <w:bookmarkEnd w:id="203"/>
    </w:p>
    <w:p w14:paraId="7796CB64" w14:textId="77777777" w:rsidR="0045678A" w:rsidRPr="00043B8D" w:rsidRDefault="0045678A" w:rsidP="0045678A"/>
    <w:p w14:paraId="6F05B54F" w14:textId="0A63A5FA" w:rsidR="006D2FBC" w:rsidRPr="00043B8D" w:rsidRDefault="000F0102" w:rsidP="0045678A">
      <w:r w:rsidRPr="00043B8D">
        <w:t>Onder een rendementsregulering</w:t>
      </w:r>
      <w:r w:rsidR="00D42CC8" w:rsidRPr="00043B8D">
        <w:t xml:space="preserve">, </w:t>
      </w:r>
      <w:r w:rsidR="00EE05CB" w:rsidRPr="00043B8D">
        <w:t>ook bekend als cost-plus</w:t>
      </w:r>
      <w:r w:rsidR="00D42CC8" w:rsidRPr="00043B8D">
        <w:t>-regulering,</w:t>
      </w:r>
      <w:r w:rsidRPr="00043B8D">
        <w:t xml:space="preserve"> zullen de distributienettarieven de </w:t>
      </w:r>
      <w:r w:rsidR="001A5BF1" w:rsidRPr="00043B8D">
        <w:t xml:space="preserve">door de distributienetbeheerder </w:t>
      </w:r>
      <w:r w:rsidR="00922020" w:rsidRPr="00043B8D">
        <w:t xml:space="preserve">gemaakte </w:t>
      </w:r>
      <w:r w:rsidR="001A3DEE" w:rsidRPr="00043B8D">
        <w:t xml:space="preserve">en te maken </w:t>
      </w:r>
      <w:r w:rsidRPr="00043B8D">
        <w:t xml:space="preserve">kosten </w:t>
      </w:r>
      <w:r w:rsidR="001A5BF1" w:rsidRPr="00043B8D">
        <w:t xml:space="preserve">moeten </w:t>
      </w:r>
      <w:r w:rsidRPr="00043B8D">
        <w:t xml:space="preserve">weerspiegelen, waarbij </w:t>
      </w:r>
      <w:r w:rsidR="00922020" w:rsidRPr="00043B8D">
        <w:t xml:space="preserve">de </w:t>
      </w:r>
      <w:r w:rsidRPr="00043B8D">
        <w:t>regulator er op toeziet dat daarin een billijke winst</w:t>
      </w:r>
      <w:r w:rsidR="001A5BF1" w:rsidRPr="00043B8D">
        <w:t xml:space="preserve">marge </w:t>
      </w:r>
      <w:r w:rsidRPr="00043B8D">
        <w:t xml:space="preserve">voor het geïnvesteerde kapitaal is opgenomen. </w:t>
      </w:r>
      <w:r w:rsidR="00FC3F98" w:rsidRPr="00043B8D">
        <w:t xml:space="preserve">De taak van de regulator bestaat er dan in elk teveel aan winst, wat maatschappelijk onaanvaardbaar zou zijn, </w:t>
      </w:r>
      <w:r w:rsidR="00154FD6" w:rsidRPr="00043B8D">
        <w:t>af te romen en als korting in de volgende distributienettarieven te verwerken</w:t>
      </w:r>
      <w:r w:rsidR="00166034" w:rsidRPr="00043B8D">
        <w:t xml:space="preserve"> of omgekeerd, indien er onvoldoende winst zou zijn, er voor te zorgen dat het tekort aan </w:t>
      </w:r>
      <w:r w:rsidR="00BD3B71" w:rsidRPr="00043B8D">
        <w:t>inkomsten</w:t>
      </w:r>
      <w:r w:rsidR="00166034" w:rsidRPr="00043B8D">
        <w:t xml:space="preserve"> wordt gecompenseerd door een stijging van de daaropvolgende distributienettarieven</w:t>
      </w:r>
      <w:r w:rsidR="00154FD6" w:rsidRPr="00043B8D">
        <w:t>.</w:t>
      </w:r>
      <w:r w:rsidR="00DA3978" w:rsidRPr="00043B8D">
        <w:t xml:space="preserve"> </w:t>
      </w:r>
    </w:p>
    <w:p w14:paraId="49098CD0" w14:textId="77777777" w:rsidR="00154FD6" w:rsidRPr="00043B8D" w:rsidRDefault="00154FD6" w:rsidP="0045678A"/>
    <w:p w14:paraId="0E6BDDCF" w14:textId="7E14FD30" w:rsidR="00DA3978" w:rsidRPr="00043B8D" w:rsidRDefault="00154FD6" w:rsidP="0045678A">
      <w:r w:rsidRPr="00043B8D">
        <w:t xml:space="preserve">De methode </w:t>
      </w:r>
      <w:r w:rsidR="00131D5D" w:rsidRPr="00043B8D">
        <w:t xml:space="preserve">werd </w:t>
      </w:r>
      <w:r w:rsidR="00BD3B71" w:rsidRPr="00043B8D">
        <w:t xml:space="preserve">wereldwijd </w:t>
      </w:r>
      <w:r w:rsidR="00D42CC8" w:rsidRPr="00043B8D">
        <w:t xml:space="preserve">veel gebruikt in de economische regulering van monopolies, </w:t>
      </w:r>
      <w:r w:rsidR="009E7181" w:rsidRPr="00043B8D">
        <w:t>tot</w:t>
      </w:r>
      <w:r w:rsidR="00226F40" w:rsidRPr="00043B8D">
        <w:t xml:space="preserve"> </w:t>
      </w:r>
      <w:r w:rsidR="00E621BB" w:rsidRPr="00043B8D">
        <w:t>een tiental jaar geleden</w:t>
      </w:r>
      <w:r w:rsidRPr="00043B8D">
        <w:t xml:space="preserve">. </w:t>
      </w:r>
      <w:r w:rsidR="001B5AAD" w:rsidRPr="00043B8D">
        <w:t>D</w:t>
      </w:r>
      <w:r w:rsidR="00DA3978" w:rsidRPr="00043B8D">
        <w:t xml:space="preserve">e vrees </w:t>
      </w:r>
      <w:r w:rsidR="001B5AAD" w:rsidRPr="00043B8D">
        <w:t xml:space="preserve">bestond initieel </w:t>
      </w:r>
      <w:r w:rsidR="00EC3078" w:rsidRPr="00043B8D">
        <w:t xml:space="preserve">dat de ondernemingen </w:t>
      </w:r>
      <w:r w:rsidR="00DA3978" w:rsidRPr="00043B8D">
        <w:t xml:space="preserve">woekerwinsten zouden genereren en </w:t>
      </w:r>
      <w:r w:rsidR="001B5AAD" w:rsidRPr="00043B8D">
        <w:t xml:space="preserve">men </w:t>
      </w:r>
      <w:r w:rsidR="00DA3978" w:rsidRPr="00043B8D">
        <w:t>wou dit verhinderen</w:t>
      </w:r>
      <w:r w:rsidR="00EC3078" w:rsidRPr="00043B8D">
        <w:t xml:space="preserve"> door de vaststelling van de winst</w:t>
      </w:r>
      <w:r w:rsidR="00DA3978" w:rsidRPr="00043B8D">
        <w:t>.</w:t>
      </w:r>
      <w:r w:rsidR="001B5AAD" w:rsidRPr="00043B8D">
        <w:t xml:space="preserve"> Men kende </w:t>
      </w:r>
      <w:r w:rsidR="00EC3078" w:rsidRPr="00043B8D">
        <w:t xml:space="preserve">dan </w:t>
      </w:r>
      <w:r w:rsidR="001B5AAD" w:rsidRPr="00043B8D">
        <w:t xml:space="preserve">een gewaarborgde winst toe op het geïnvesteerde kapitaal. De overige kosten werden integraal doorgerekend aan de </w:t>
      </w:r>
      <w:r w:rsidR="00B41023" w:rsidRPr="00043B8D">
        <w:t>distributienetgebruikers</w:t>
      </w:r>
      <w:r w:rsidR="003F3BD7" w:rsidRPr="00043B8D">
        <w:t xml:space="preserve">, met </w:t>
      </w:r>
      <w:r w:rsidR="001A3DEE" w:rsidRPr="00043B8D">
        <w:t xml:space="preserve">als </w:t>
      </w:r>
      <w:r w:rsidR="00EC3078" w:rsidRPr="00043B8D">
        <w:t xml:space="preserve">groot </w:t>
      </w:r>
      <w:r w:rsidR="003F3BD7" w:rsidRPr="00043B8D">
        <w:t xml:space="preserve">voordeel </w:t>
      </w:r>
      <w:r w:rsidR="00EE05CB" w:rsidRPr="00043B8D">
        <w:t xml:space="preserve">voor de </w:t>
      </w:r>
      <w:r w:rsidR="002F24EE" w:rsidRPr="00043B8D">
        <w:t xml:space="preserve">distributienetbeheerder </w:t>
      </w:r>
      <w:r w:rsidR="00EE05CB" w:rsidRPr="00043B8D">
        <w:t xml:space="preserve">dat hij de </w:t>
      </w:r>
      <w:r w:rsidR="003F3BD7" w:rsidRPr="00043B8D">
        <w:t xml:space="preserve">prijsfluctuaties </w:t>
      </w:r>
      <w:r w:rsidR="001A3DEE" w:rsidRPr="00043B8D">
        <w:t xml:space="preserve">in </w:t>
      </w:r>
      <w:r w:rsidR="00EE05CB" w:rsidRPr="00043B8D">
        <w:t xml:space="preserve">zijn </w:t>
      </w:r>
      <w:r w:rsidR="001A3DEE" w:rsidRPr="00043B8D">
        <w:t xml:space="preserve">inputfactoren </w:t>
      </w:r>
      <w:r w:rsidR="00B41023" w:rsidRPr="00043B8D">
        <w:t xml:space="preserve">aan hen </w:t>
      </w:r>
      <w:r w:rsidR="003F3BD7" w:rsidRPr="00043B8D">
        <w:t>kon doorgeven</w:t>
      </w:r>
      <w:r w:rsidR="001B5AAD" w:rsidRPr="00043B8D">
        <w:t xml:space="preserve">. </w:t>
      </w:r>
    </w:p>
    <w:p w14:paraId="5B29044C" w14:textId="77777777" w:rsidR="00DA3978" w:rsidRPr="00043B8D" w:rsidRDefault="00DA3978" w:rsidP="0045678A"/>
    <w:p w14:paraId="4F96B6FE" w14:textId="7AAF5512" w:rsidR="00E63709" w:rsidRPr="00043B8D" w:rsidRDefault="00154FD6" w:rsidP="0045678A">
      <w:r w:rsidRPr="00043B8D">
        <w:t>Er zijn belangrijke nadelen</w:t>
      </w:r>
      <w:r w:rsidR="003F3BD7" w:rsidRPr="00043B8D">
        <w:t xml:space="preserve"> aan rendementsregulering</w:t>
      </w:r>
      <w:r w:rsidRPr="00043B8D">
        <w:t xml:space="preserve">. </w:t>
      </w:r>
      <w:r w:rsidR="003F3BD7" w:rsidRPr="00043B8D">
        <w:t xml:space="preserve">Het </w:t>
      </w:r>
      <w:r w:rsidRPr="00043B8D">
        <w:t xml:space="preserve">belangrijkste is ongetwijfeld het </w:t>
      </w:r>
      <w:r w:rsidR="00D633C8" w:rsidRPr="00043B8D">
        <w:t xml:space="preserve">totale </w:t>
      </w:r>
      <w:r w:rsidRPr="00043B8D">
        <w:t xml:space="preserve">gebrek aan </w:t>
      </w:r>
      <w:r w:rsidR="00C374A0" w:rsidRPr="00043B8D">
        <w:t>incentive</w:t>
      </w:r>
      <w:r w:rsidR="00131D5D" w:rsidRPr="00043B8D">
        <w:t xml:space="preserve"> voor de</w:t>
      </w:r>
      <w:r w:rsidR="002F24EE" w:rsidRPr="00043B8D">
        <w:t xml:space="preserve"> distributienetbeheerder</w:t>
      </w:r>
      <w:r w:rsidR="00131D5D" w:rsidRPr="00043B8D">
        <w:t xml:space="preserve"> om efficiënt</w:t>
      </w:r>
      <w:r w:rsidR="00922020" w:rsidRPr="00043B8D">
        <w:t>, doelmatig</w:t>
      </w:r>
      <w:r w:rsidR="0064637B" w:rsidRPr="00043B8D">
        <w:t xml:space="preserve"> en kostenbewust</w:t>
      </w:r>
      <w:r w:rsidR="00131D5D" w:rsidRPr="00043B8D">
        <w:t xml:space="preserve"> te presteren. </w:t>
      </w:r>
      <w:r w:rsidR="001179DC" w:rsidRPr="00043B8D">
        <w:t xml:space="preserve">Hij zou misschien op bepaalde kosten kunnen besparen, maar voelt geen behoefte dit aan de regulator mee te delen. </w:t>
      </w:r>
      <w:r w:rsidR="00131D5D" w:rsidRPr="00043B8D">
        <w:t xml:space="preserve">Hij heeft de garantie dat </w:t>
      </w:r>
      <w:r w:rsidR="00713D2E" w:rsidRPr="00043B8D">
        <w:t>alle</w:t>
      </w:r>
      <w:r w:rsidR="00131D5D" w:rsidRPr="00043B8D">
        <w:t xml:space="preserve"> kosten zullen terugverdiend worden via de nettarieven</w:t>
      </w:r>
      <w:r w:rsidR="00CF01BC" w:rsidRPr="00043B8D">
        <w:t xml:space="preserve"> en </w:t>
      </w:r>
      <w:r w:rsidR="001179DC" w:rsidRPr="00043B8D">
        <w:t xml:space="preserve">dat hij </w:t>
      </w:r>
      <w:r w:rsidR="00B52933" w:rsidRPr="00043B8D">
        <w:t>geen</w:t>
      </w:r>
      <w:r w:rsidR="00453D0C" w:rsidRPr="00043B8D">
        <w:t xml:space="preserve"> boekhoudkundig</w:t>
      </w:r>
      <w:r w:rsidR="00B52933" w:rsidRPr="00043B8D">
        <w:t xml:space="preserve"> </w:t>
      </w:r>
      <w:r w:rsidR="00CF01BC" w:rsidRPr="00043B8D">
        <w:t>verlies zal lijden</w:t>
      </w:r>
      <w:r w:rsidR="00131D5D" w:rsidRPr="00043B8D">
        <w:t>.</w:t>
      </w:r>
      <w:r w:rsidR="0064637B" w:rsidRPr="00043B8D">
        <w:t xml:space="preserve"> </w:t>
      </w:r>
      <w:r w:rsidR="001179DC" w:rsidRPr="00043B8D">
        <w:t xml:space="preserve">Alhoewel niet cruciaal in deze beoordeling, kan toch ook de vraag gesteld worden of de </w:t>
      </w:r>
      <w:r w:rsidR="000841C6" w:rsidRPr="00043B8D">
        <w:t xml:space="preserve">kennis over deze </w:t>
      </w:r>
      <w:r w:rsidR="001179DC" w:rsidRPr="00043B8D">
        <w:t xml:space="preserve">situatie een invloed heeft op de houding van </w:t>
      </w:r>
      <w:r w:rsidR="0023047C" w:rsidRPr="00043B8D">
        <w:t xml:space="preserve">zijn </w:t>
      </w:r>
      <w:r w:rsidR="001179DC" w:rsidRPr="00043B8D">
        <w:t xml:space="preserve">leveranciers. </w:t>
      </w:r>
      <w:r w:rsidR="00EC3078" w:rsidRPr="00043B8D">
        <w:t xml:space="preserve">Een algemeen gevolg van rendementsregulering is dat de </w:t>
      </w:r>
      <w:r w:rsidR="00D633C8" w:rsidRPr="00043B8D">
        <w:t>risico</w:t>
      </w:r>
      <w:r w:rsidR="00EC3078" w:rsidRPr="00043B8D">
        <w:t xml:space="preserve">’s m.b.t. het distributienetbeheer </w:t>
      </w:r>
      <w:r w:rsidR="000841C6" w:rsidRPr="00043B8D">
        <w:t xml:space="preserve">veel </w:t>
      </w:r>
      <w:r w:rsidR="00EC3078" w:rsidRPr="00043B8D">
        <w:t>minder gedragen worden door de</w:t>
      </w:r>
      <w:r w:rsidR="002F24EE" w:rsidRPr="00043B8D">
        <w:t xml:space="preserve"> distributienetbeheerder</w:t>
      </w:r>
      <w:r w:rsidR="000841C6" w:rsidRPr="00043B8D">
        <w:t>, die nochtans de beslissingen neemt,</w:t>
      </w:r>
      <w:r w:rsidR="001179DC" w:rsidRPr="00043B8D">
        <w:t xml:space="preserve"> </w:t>
      </w:r>
      <w:r w:rsidR="00EC3078" w:rsidRPr="00043B8D">
        <w:t xml:space="preserve">en </w:t>
      </w:r>
      <w:r w:rsidR="000841C6" w:rsidRPr="00043B8D">
        <w:t xml:space="preserve">veel </w:t>
      </w:r>
      <w:r w:rsidR="00EC3078" w:rsidRPr="00043B8D">
        <w:t xml:space="preserve">meer door </w:t>
      </w:r>
      <w:r w:rsidR="00D633C8" w:rsidRPr="00043B8D">
        <w:t xml:space="preserve">de </w:t>
      </w:r>
      <w:r w:rsidR="00EC3078" w:rsidRPr="00043B8D">
        <w:t>distributienetgebruiker</w:t>
      </w:r>
      <w:r w:rsidR="000841C6" w:rsidRPr="00043B8D">
        <w:t>s</w:t>
      </w:r>
      <w:r w:rsidR="00D633C8" w:rsidRPr="00043B8D">
        <w:t xml:space="preserve">. </w:t>
      </w:r>
    </w:p>
    <w:p w14:paraId="63F710E1" w14:textId="77777777" w:rsidR="00636815" w:rsidRPr="00043B8D" w:rsidRDefault="00636815" w:rsidP="00636815"/>
    <w:p w14:paraId="184F6314" w14:textId="410720DA" w:rsidR="001F777D" w:rsidRPr="00043B8D" w:rsidRDefault="009E7181" w:rsidP="00636815">
      <w:r w:rsidRPr="00043B8D">
        <w:t>Om inefficiënties bij de</w:t>
      </w:r>
      <w:r w:rsidR="002F24EE" w:rsidRPr="00043B8D">
        <w:t xml:space="preserve"> distributienetbeheerder</w:t>
      </w:r>
      <w:r w:rsidRPr="00043B8D">
        <w:t xml:space="preserve">s tegen te gaan en de tarieven in de mate van het mogelijke onder controle te houden, zal </w:t>
      </w:r>
      <w:r w:rsidR="00927B0B" w:rsidRPr="00043B8D">
        <w:t xml:space="preserve">een samenleving </w:t>
      </w:r>
      <w:r w:rsidRPr="00043B8D">
        <w:t xml:space="preserve">bij een rendementsregulering </w:t>
      </w:r>
      <w:r w:rsidR="00927B0B" w:rsidRPr="00043B8D">
        <w:t xml:space="preserve">van </w:t>
      </w:r>
      <w:r w:rsidRPr="00043B8D">
        <w:t xml:space="preserve">de regulator </w:t>
      </w:r>
      <w:r w:rsidR="00927B0B" w:rsidRPr="00043B8D">
        <w:t xml:space="preserve">verwachten dat hij </w:t>
      </w:r>
      <w:r w:rsidRPr="00043B8D">
        <w:t>de door de distributienetbeheerder gemaakte en gebudgetteerde kosten verwerp</w:t>
      </w:r>
      <w:r w:rsidR="00927B0B" w:rsidRPr="00043B8D">
        <w:t>t</w:t>
      </w:r>
      <w:r w:rsidRPr="00043B8D">
        <w:t xml:space="preserve"> indien deze onredelijk of niet noodzakelijk zijn. </w:t>
      </w:r>
      <w:r w:rsidR="00374E70" w:rsidRPr="00043B8D">
        <w:t>Idealiter zou d</w:t>
      </w:r>
      <w:r w:rsidRPr="00043B8D">
        <w:t xml:space="preserve">e regulator </w:t>
      </w:r>
      <w:r w:rsidR="00374E70" w:rsidRPr="00043B8D">
        <w:t xml:space="preserve">dan </w:t>
      </w:r>
      <w:r w:rsidRPr="00043B8D">
        <w:t>voor iedere distributienetbeheerder</w:t>
      </w:r>
      <w:r w:rsidR="00516364" w:rsidRPr="00043B8D">
        <w:t xml:space="preserve"> en </w:t>
      </w:r>
      <w:r w:rsidRPr="00043B8D">
        <w:t>voor iedere gereguleerde activiteit</w:t>
      </w:r>
      <w:r w:rsidR="00516364" w:rsidRPr="00043B8D">
        <w:t>,</w:t>
      </w:r>
      <w:r w:rsidR="005F719A" w:rsidRPr="00043B8D">
        <w:t xml:space="preserve"> </w:t>
      </w:r>
      <w:r w:rsidR="00374E70" w:rsidRPr="00043B8D">
        <w:t xml:space="preserve">iedere </w:t>
      </w:r>
      <w:r w:rsidRPr="00043B8D">
        <w:t xml:space="preserve">kost op redelijkheid en noodzakelijkheid moeten onderzoeken. </w:t>
      </w:r>
      <w:r w:rsidR="00374E70" w:rsidRPr="00043B8D">
        <w:t xml:space="preserve">Dit is </w:t>
      </w:r>
      <w:r w:rsidRPr="00043B8D">
        <w:t xml:space="preserve">door de omvang van de taak </w:t>
      </w:r>
      <w:r w:rsidR="00374E70" w:rsidRPr="00043B8D">
        <w:t xml:space="preserve">praktisch </w:t>
      </w:r>
      <w:r w:rsidR="00516364" w:rsidRPr="00043B8D">
        <w:t xml:space="preserve">zo goed als onmogelijk </w:t>
      </w:r>
      <w:r w:rsidR="00374E70" w:rsidRPr="00043B8D">
        <w:t>(</w:t>
      </w:r>
      <w:r w:rsidRPr="00043B8D">
        <w:t>tenzij de samenleving de regulator hiervoor de nodige</w:t>
      </w:r>
      <w:r w:rsidR="00516364" w:rsidRPr="00043B8D">
        <w:t xml:space="preserve"> mensen en middelen </w:t>
      </w:r>
      <w:r w:rsidRPr="00043B8D">
        <w:t>zou wensen te geven</w:t>
      </w:r>
      <w:r w:rsidR="00374E70" w:rsidRPr="00043B8D">
        <w:t xml:space="preserve">). Bovendien </w:t>
      </w:r>
      <w:r w:rsidR="00516364" w:rsidRPr="00043B8D">
        <w:t>is d</w:t>
      </w:r>
      <w:r w:rsidRPr="00043B8D">
        <w:t xml:space="preserve">e beoordeling </w:t>
      </w:r>
      <w:r w:rsidR="00516364" w:rsidRPr="00043B8D">
        <w:t xml:space="preserve">door de regulator van </w:t>
      </w:r>
      <w:r w:rsidRPr="00043B8D">
        <w:t xml:space="preserve">de redelijkheid en noodzakelijkheid van kosten niet eenduidig en </w:t>
      </w:r>
      <w:r w:rsidR="00516364" w:rsidRPr="00043B8D">
        <w:t xml:space="preserve">zullen zijn </w:t>
      </w:r>
      <w:r w:rsidRPr="00043B8D">
        <w:t xml:space="preserve">opmerkingen meestal aanleiding geven tot discussie met de gereguleerde ondernemingen. De regulator </w:t>
      </w:r>
      <w:r w:rsidR="00516364" w:rsidRPr="00043B8D">
        <w:t xml:space="preserve">zou daarnaast ook </w:t>
      </w:r>
      <w:r w:rsidRPr="00043B8D">
        <w:t xml:space="preserve">verborgen potentiële kostenbesparingen bij de ondernemingen moeten identificeren en vervolgens aan hen opleggen maar hij kampt in zijn relatie met de ondernemingen met een informatieachterstand. Hij moet indringen in de sector, in de verschillende markten en in de werking en de leiding van elk afzonderlijk bedrijf. </w:t>
      </w:r>
      <w:r w:rsidR="00374E70" w:rsidRPr="00043B8D">
        <w:t>Indien de regulator dit toezicht grondig uitoefent, zijn d</w:t>
      </w:r>
      <w:r w:rsidRPr="00043B8D">
        <w:t xml:space="preserve">e administratieve lasten en kosten, zowel bij de regulator als de ondernemingen, </w:t>
      </w:r>
      <w:r w:rsidR="0057253D" w:rsidRPr="00043B8D">
        <w:t xml:space="preserve">zeer </w:t>
      </w:r>
      <w:r w:rsidR="00374E70" w:rsidRPr="00043B8D">
        <w:t>groot</w:t>
      </w:r>
      <w:r w:rsidRPr="00043B8D">
        <w:t>.</w:t>
      </w:r>
    </w:p>
    <w:p w14:paraId="3898B9DA" w14:textId="77777777" w:rsidR="009E7181" w:rsidRPr="00043B8D" w:rsidRDefault="009E7181" w:rsidP="00636815"/>
    <w:p w14:paraId="561EB3E4" w14:textId="7AEC5AA2" w:rsidR="00636815" w:rsidRPr="00043B8D" w:rsidRDefault="00EE05CB" w:rsidP="00636815">
      <w:r w:rsidRPr="00043B8D">
        <w:t>D</w:t>
      </w:r>
      <w:r w:rsidR="00636815" w:rsidRPr="00043B8D">
        <w:t>e berekening</w:t>
      </w:r>
      <w:r w:rsidR="006508C1" w:rsidRPr="00043B8D">
        <w:t>swijze</w:t>
      </w:r>
      <w:r w:rsidR="00636815" w:rsidRPr="00043B8D">
        <w:t xml:space="preserve"> </w:t>
      </w:r>
      <w:r w:rsidR="006508C1" w:rsidRPr="00043B8D">
        <w:t xml:space="preserve">voor </w:t>
      </w:r>
      <w:r w:rsidR="00636815" w:rsidRPr="00043B8D">
        <w:t>de gegarandeerde winst</w:t>
      </w:r>
      <w:r w:rsidR="00411E7D" w:rsidRPr="00043B8D">
        <w:t xml:space="preserve"> van de distributienetbeheerder,</w:t>
      </w:r>
      <w:r w:rsidR="00F35FEA" w:rsidRPr="00043B8D">
        <w:t xml:space="preserve"> welke</w:t>
      </w:r>
      <w:r w:rsidR="00411E7D" w:rsidRPr="00043B8D">
        <w:t xml:space="preserve"> bij een rendementsregulering</w:t>
      </w:r>
      <w:r w:rsidR="00F35FEA" w:rsidRPr="00043B8D">
        <w:t xml:space="preserve"> wordt</w:t>
      </w:r>
      <w:r w:rsidR="00411E7D" w:rsidRPr="00043B8D">
        <w:t xml:space="preserve"> bepaald</w:t>
      </w:r>
      <w:r w:rsidR="00636815" w:rsidRPr="00043B8D">
        <w:t xml:space="preserve"> op basis van het geïnvesteerd vermogen</w:t>
      </w:r>
      <w:r w:rsidR="00411E7D" w:rsidRPr="00043B8D">
        <w:t>,</w:t>
      </w:r>
      <w:r w:rsidR="00636815" w:rsidRPr="00043B8D">
        <w:t xml:space="preserve"> </w:t>
      </w:r>
      <w:r w:rsidRPr="00043B8D">
        <w:t>blijkt in deze methode cruciaal</w:t>
      </w:r>
      <w:r w:rsidR="00636815" w:rsidRPr="00043B8D">
        <w:t xml:space="preserve">. </w:t>
      </w:r>
      <w:r w:rsidR="00127A2C" w:rsidRPr="00043B8D">
        <w:t xml:space="preserve">Indien </w:t>
      </w:r>
      <w:r w:rsidRPr="00043B8D">
        <w:t xml:space="preserve">het </w:t>
      </w:r>
      <w:r w:rsidR="00127A2C" w:rsidRPr="00043B8D">
        <w:t xml:space="preserve">rendement </w:t>
      </w:r>
      <w:r w:rsidRPr="00043B8D">
        <w:t xml:space="preserve">op het geïnvesteerde kapitaal </w:t>
      </w:r>
      <w:r w:rsidR="00127A2C" w:rsidRPr="00043B8D">
        <w:t>voldoende interessant is, kan d</w:t>
      </w:r>
      <w:r w:rsidR="00636815" w:rsidRPr="00043B8D">
        <w:t>e</w:t>
      </w:r>
      <w:r w:rsidR="002F24EE" w:rsidRPr="00043B8D">
        <w:t xml:space="preserve"> distributienetbeheerder</w:t>
      </w:r>
      <w:r w:rsidR="00636815" w:rsidRPr="00043B8D">
        <w:t xml:space="preserve">, in het belang van zijn aandeelhouders, de voorkeur geven aan het </w:t>
      </w:r>
      <w:r w:rsidR="00411E7D" w:rsidRPr="00043B8D">
        <w:t xml:space="preserve">nemen van beslissingen </w:t>
      </w:r>
      <w:r w:rsidR="00636815" w:rsidRPr="00043B8D">
        <w:t>die bijdragen aan een toename van de winst door onnodig veel of duur te investeren in het distributienet. Anderzijds stelt de theorie dat indien de winstmarge door de regulator op een te laag niveau zou zijn vastgelegd, de voor de kapitaalmarkt oninteressante vermogensvergoeding zou leiden tot onvoldoende investering</w:t>
      </w:r>
      <w:r w:rsidRPr="00043B8D">
        <w:t>en</w:t>
      </w:r>
      <w:r w:rsidR="00636815" w:rsidRPr="00043B8D">
        <w:t xml:space="preserve"> in het netwerk.</w:t>
      </w:r>
    </w:p>
    <w:p w14:paraId="72E8078B" w14:textId="77777777" w:rsidR="00E63709" w:rsidRPr="00043B8D" w:rsidRDefault="00E63709" w:rsidP="0045678A"/>
    <w:p w14:paraId="4A7657E8" w14:textId="45C9D72F" w:rsidR="005F6359" w:rsidRPr="00043B8D" w:rsidRDefault="00087E7A" w:rsidP="0045678A">
      <w:r w:rsidRPr="00043B8D">
        <w:t xml:space="preserve">De </w:t>
      </w:r>
      <w:r w:rsidR="00374E70" w:rsidRPr="00043B8D">
        <w:t xml:space="preserve">rendementsregulering </w:t>
      </w:r>
      <w:r w:rsidR="009120F0" w:rsidRPr="00043B8D">
        <w:t xml:space="preserve">zorgt tevens voor een complex </w:t>
      </w:r>
      <w:r w:rsidR="00B5253B" w:rsidRPr="00043B8D">
        <w:t xml:space="preserve">administratief </w:t>
      </w:r>
      <w:r w:rsidR="009E7181" w:rsidRPr="00043B8D">
        <w:t>proces</w:t>
      </w:r>
      <w:r w:rsidR="00374E70" w:rsidRPr="00043B8D">
        <w:t xml:space="preserve"> van vaststelling van de tarieven.</w:t>
      </w:r>
      <w:r w:rsidR="009120F0" w:rsidRPr="00043B8D">
        <w:t xml:space="preserve"> </w:t>
      </w:r>
      <w:r w:rsidR="00374E70" w:rsidRPr="00043B8D">
        <w:t xml:space="preserve">De </w:t>
      </w:r>
      <w:r w:rsidRPr="00043B8D">
        <w:t xml:space="preserve">distributienettarieven worden bepaald op basis van een combinatie van </w:t>
      </w:r>
      <w:r w:rsidR="00411E7D" w:rsidRPr="00043B8D">
        <w:t xml:space="preserve">enerzijds </w:t>
      </w:r>
      <w:r w:rsidR="00507503" w:rsidRPr="00043B8D">
        <w:t xml:space="preserve">nieuwe </w:t>
      </w:r>
      <w:r w:rsidRPr="00043B8D">
        <w:t xml:space="preserve">budgetten en </w:t>
      </w:r>
      <w:r w:rsidR="00411E7D" w:rsidRPr="00043B8D">
        <w:t>anderzijds de verwerking van historische</w:t>
      </w:r>
      <w:r w:rsidR="00DA4F6D" w:rsidRPr="00043B8D">
        <w:t xml:space="preserve"> </w:t>
      </w:r>
      <w:r w:rsidRPr="00043B8D">
        <w:t xml:space="preserve">saldi </w:t>
      </w:r>
      <w:r w:rsidR="00411E7D" w:rsidRPr="00043B8D">
        <w:t xml:space="preserve">m.b.t. werkelijke </w:t>
      </w:r>
      <w:r w:rsidRPr="00043B8D">
        <w:t xml:space="preserve">kosten en </w:t>
      </w:r>
      <w:r w:rsidR="00EE05CB" w:rsidRPr="00043B8D">
        <w:t>opbrengsten.</w:t>
      </w:r>
    </w:p>
    <w:p w14:paraId="3917353A" w14:textId="77777777" w:rsidR="005F6359" w:rsidRPr="00043B8D" w:rsidRDefault="005F6359" w:rsidP="0045678A"/>
    <w:p w14:paraId="4A61B2A8" w14:textId="77777777" w:rsidR="005978E0" w:rsidRPr="00043B8D" w:rsidRDefault="005978E0" w:rsidP="005251E2">
      <w:pPr>
        <w:pStyle w:val="Kop2"/>
        <w:numPr>
          <w:ilvl w:val="2"/>
          <w:numId w:val="24"/>
        </w:numPr>
        <w:ind w:left="993" w:hanging="993"/>
        <w:rPr>
          <w:i/>
          <w:sz w:val="22"/>
          <w:szCs w:val="22"/>
        </w:rPr>
      </w:pPr>
      <w:bookmarkStart w:id="204" w:name="_Ref388537674"/>
      <w:bookmarkStart w:id="205" w:name="_Toc454186652"/>
      <w:r w:rsidRPr="00043B8D">
        <w:rPr>
          <w:i/>
          <w:sz w:val="22"/>
          <w:szCs w:val="22"/>
        </w:rPr>
        <w:t>Inkomstenregulering</w:t>
      </w:r>
      <w:bookmarkEnd w:id="204"/>
      <w:bookmarkEnd w:id="205"/>
    </w:p>
    <w:p w14:paraId="210FC6E7" w14:textId="77777777" w:rsidR="005978E0" w:rsidRPr="00043B8D" w:rsidRDefault="005978E0" w:rsidP="005978E0"/>
    <w:p w14:paraId="754E46A9" w14:textId="3B5D0EBB" w:rsidR="00E62CCD" w:rsidRPr="00043B8D" w:rsidRDefault="00FB5982" w:rsidP="005978E0">
      <w:r w:rsidRPr="00043B8D">
        <w:t xml:space="preserve">Bij een </w:t>
      </w:r>
      <w:r w:rsidR="00ED4040" w:rsidRPr="00043B8D">
        <w:t xml:space="preserve">zuivere </w:t>
      </w:r>
      <w:r w:rsidRPr="00043B8D">
        <w:t>i</w:t>
      </w:r>
      <w:r w:rsidR="00E43B58" w:rsidRPr="00043B8D">
        <w:t xml:space="preserve">nkomstenregulering </w:t>
      </w:r>
      <w:r w:rsidRPr="00043B8D">
        <w:t xml:space="preserve">verkrijgt </w:t>
      </w:r>
      <w:r w:rsidR="00ED4040" w:rsidRPr="00043B8D">
        <w:t>de</w:t>
      </w:r>
      <w:r w:rsidRPr="00043B8D">
        <w:t xml:space="preserve"> distributienetbeheerder </w:t>
      </w:r>
      <w:r w:rsidR="00ED4040" w:rsidRPr="00043B8D">
        <w:t xml:space="preserve">zijn </w:t>
      </w:r>
      <w:r w:rsidRPr="00043B8D">
        <w:t>inkomsten uit de inning van de distributienettarieven</w:t>
      </w:r>
      <w:r w:rsidR="00ED4040" w:rsidRPr="00043B8D">
        <w:t xml:space="preserve"> en zijn er geen </w:t>
      </w:r>
      <w:r w:rsidRPr="00043B8D">
        <w:t>nacalculaties voor eventuele tekorten of overwinsten</w:t>
      </w:r>
      <w:r w:rsidR="00E43B58" w:rsidRPr="00043B8D">
        <w:t>.</w:t>
      </w:r>
      <w:r w:rsidR="00A51607" w:rsidRPr="00043B8D">
        <w:t xml:space="preserve"> </w:t>
      </w:r>
      <w:r w:rsidR="00CD72B0" w:rsidRPr="00043B8D">
        <w:t xml:space="preserve">Het niveau van de </w:t>
      </w:r>
      <w:r w:rsidR="00C52525" w:rsidRPr="00043B8D">
        <w:t xml:space="preserve">inkomsten </w:t>
      </w:r>
      <w:r w:rsidR="00E62CCD" w:rsidRPr="00043B8D">
        <w:t xml:space="preserve">uit de </w:t>
      </w:r>
      <w:r w:rsidR="007A5607" w:rsidRPr="00043B8D">
        <w:t xml:space="preserve">distributienettarieven </w:t>
      </w:r>
      <w:r w:rsidR="00CD72B0" w:rsidRPr="00043B8D">
        <w:t xml:space="preserve">wordt </w:t>
      </w:r>
      <w:r w:rsidR="00673FAF" w:rsidRPr="00043B8D">
        <w:t>jaar</w:t>
      </w:r>
      <w:r w:rsidR="00CD72B0" w:rsidRPr="00043B8D">
        <w:t>lijks</w:t>
      </w:r>
      <w:r w:rsidR="00673FAF" w:rsidRPr="00043B8D">
        <w:t xml:space="preserve"> geï</w:t>
      </w:r>
      <w:r w:rsidR="00A2136C" w:rsidRPr="00043B8D">
        <w:t xml:space="preserve">ndexeerd met </w:t>
      </w:r>
      <w:r w:rsidR="001C54D1" w:rsidRPr="00043B8D">
        <w:t xml:space="preserve">o.a. </w:t>
      </w:r>
      <w:r w:rsidR="00A2136C" w:rsidRPr="00043B8D">
        <w:t xml:space="preserve">het inflatiecijfer. </w:t>
      </w:r>
      <w:r w:rsidR="00673FAF" w:rsidRPr="00043B8D">
        <w:t xml:space="preserve">De distributienetbeheerder </w:t>
      </w:r>
      <w:r w:rsidR="00623902" w:rsidRPr="00043B8D">
        <w:t>ontvang</w:t>
      </w:r>
      <w:r w:rsidR="00673FAF" w:rsidRPr="00043B8D">
        <w:t>t</w:t>
      </w:r>
      <w:r w:rsidR="00623902" w:rsidRPr="00043B8D">
        <w:t xml:space="preserve"> </w:t>
      </w:r>
      <w:r w:rsidR="00E62CCD" w:rsidRPr="00043B8D">
        <w:t xml:space="preserve">aldus </w:t>
      </w:r>
      <w:r w:rsidR="00623902" w:rsidRPr="00043B8D">
        <w:t xml:space="preserve">een krachtige </w:t>
      </w:r>
      <w:r w:rsidR="00292FE2" w:rsidRPr="00043B8D">
        <w:t>impuls tot kostenefficiënt netbeheer</w:t>
      </w:r>
      <w:r w:rsidR="00E62CCD" w:rsidRPr="00043B8D">
        <w:t>.</w:t>
      </w:r>
    </w:p>
    <w:p w14:paraId="56F9AAD1" w14:textId="77777777" w:rsidR="00E62CCD" w:rsidRPr="00043B8D" w:rsidRDefault="00E62CCD" w:rsidP="005978E0"/>
    <w:p w14:paraId="431B03A5" w14:textId="109341E1" w:rsidR="005978E0" w:rsidRPr="00043B8D" w:rsidRDefault="00292FE2" w:rsidP="005978E0">
      <w:r w:rsidRPr="00043B8D">
        <w:t>De regulator hoeft niet in te dringen in de werking van de distributienetbeheerder om mogelijke efficiëntiewinsten te identificeren</w:t>
      </w:r>
      <w:r w:rsidR="007670A7" w:rsidRPr="00043B8D">
        <w:t xml:space="preserve"> </w:t>
      </w:r>
      <w:r w:rsidR="00416F77" w:rsidRPr="00043B8D">
        <w:t xml:space="preserve">en </w:t>
      </w:r>
      <w:r w:rsidR="007670A7" w:rsidRPr="00043B8D">
        <w:t>af te dwingen</w:t>
      </w:r>
      <w:r w:rsidRPr="00043B8D">
        <w:t>.</w:t>
      </w:r>
      <w:r w:rsidR="00A23961" w:rsidRPr="00043B8D">
        <w:t xml:space="preserve"> Hij hoeft </w:t>
      </w:r>
      <w:r w:rsidR="00416F77" w:rsidRPr="00043B8D">
        <w:t xml:space="preserve">de </w:t>
      </w:r>
      <w:r w:rsidR="00A23961" w:rsidRPr="00043B8D">
        <w:t xml:space="preserve">gemaakte of gebudgetteerde kosten </w:t>
      </w:r>
      <w:r w:rsidR="00416F77" w:rsidRPr="00043B8D">
        <w:t xml:space="preserve">niet </w:t>
      </w:r>
      <w:r w:rsidR="00A23961" w:rsidRPr="00043B8D">
        <w:t>te beoordelen op redelijkheid</w:t>
      </w:r>
      <w:r w:rsidR="00416F77" w:rsidRPr="00043B8D">
        <w:t xml:space="preserve"> </w:t>
      </w:r>
      <w:r w:rsidR="009E7181" w:rsidRPr="00043B8D">
        <w:t xml:space="preserve">en noodzakelijkheid </w:t>
      </w:r>
      <w:r w:rsidR="00416F77" w:rsidRPr="00043B8D">
        <w:t>om</w:t>
      </w:r>
      <w:r w:rsidR="005F719A" w:rsidRPr="00043B8D">
        <w:t xml:space="preserve"> deze vervolgens</w:t>
      </w:r>
      <w:r w:rsidR="00416F77" w:rsidRPr="00043B8D">
        <w:t xml:space="preserve"> te kunnen </w:t>
      </w:r>
      <w:r w:rsidR="009B5EAD" w:rsidRPr="00043B8D">
        <w:t xml:space="preserve">aanvaarden of </w:t>
      </w:r>
      <w:r w:rsidR="00416F77" w:rsidRPr="00043B8D">
        <w:t>verwerpen</w:t>
      </w:r>
      <w:r w:rsidR="00A23961" w:rsidRPr="00043B8D">
        <w:t xml:space="preserve">. </w:t>
      </w:r>
      <w:r w:rsidR="00F047C4" w:rsidRPr="00043B8D">
        <w:t xml:space="preserve">De methode erkent m.a.w. </w:t>
      </w:r>
      <w:r w:rsidRPr="00043B8D">
        <w:t xml:space="preserve">de informatieachterstand van de regulator ten opzichte van </w:t>
      </w:r>
      <w:r w:rsidR="005A5915" w:rsidRPr="00043B8D">
        <w:t xml:space="preserve">het management van </w:t>
      </w:r>
      <w:r w:rsidRPr="00043B8D">
        <w:t xml:space="preserve">de onderneming. </w:t>
      </w:r>
      <w:r w:rsidR="007670A7" w:rsidRPr="00043B8D">
        <w:t>De administratieve lasten voor zowel regulator als distributienetbeheerder zijn beperkt</w:t>
      </w:r>
      <w:r w:rsidR="00DD203F" w:rsidRPr="00043B8D">
        <w:t>, o</w:t>
      </w:r>
      <w:r w:rsidR="00003EA3" w:rsidRPr="00043B8D">
        <w:t xml:space="preserve">.a. ook </w:t>
      </w:r>
      <w:r w:rsidR="009404F5" w:rsidRPr="00043B8D">
        <w:t xml:space="preserve">wegens het ontbreken van </w:t>
      </w:r>
      <w:r w:rsidR="00ED4040" w:rsidRPr="00043B8D">
        <w:t xml:space="preserve">de </w:t>
      </w:r>
      <w:r w:rsidR="009404F5" w:rsidRPr="00043B8D">
        <w:t>nacalculaties en bijhorende tariefcorrecties</w:t>
      </w:r>
      <w:r w:rsidR="00ED4040" w:rsidRPr="00043B8D">
        <w:t xml:space="preserve"> zoals </w:t>
      </w:r>
      <w:r w:rsidR="00932B75" w:rsidRPr="00043B8D">
        <w:t xml:space="preserve">in </w:t>
      </w:r>
      <w:r w:rsidR="00ED4040" w:rsidRPr="00043B8D">
        <w:t>een rendementsregulering</w:t>
      </w:r>
      <w:r w:rsidR="007670A7" w:rsidRPr="00043B8D">
        <w:t>.</w:t>
      </w:r>
      <w:r w:rsidR="00A23961" w:rsidRPr="00043B8D">
        <w:t xml:space="preserve"> </w:t>
      </w:r>
      <w:r w:rsidRPr="00043B8D">
        <w:t xml:space="preserve">Tegelijk </w:t>
      </w:r>
      <w:r w:rsidR="005F0878" w:rsidRPr="00043B8D">
        <w:t xml:space="preserve">kan </w:t>
      </w:r>
      <w:r w:rsidRPr="00043B8D">
        <w:t>de</w:t>
      </w:r>
      <w:r w:rsidR="007670A7" w:rsidRPr="00043B8D">
        <w:t xml:space="preserve"> methode zeer transparant </w:t>
      </w:r>
      <w:r w:rsidR="00961C70" w:rsidRPr="00043B8D">
        <w:t xml:space="preserve">en voorspelbaar </w:t>
      </w:r>
      <w:r w:rsidR="005F0878" w:rsidRPr="00043B8D">
        <w:t xml:space="preserve">zijn </w:t>
      </w:r>
      <w:r w:rsidR="007670A7" w:rsidRPr="00043B8D">
        <w:t>voor de</w:t>
      </w:r>
      <w:r w:rsidRPr="00043B8D">
        <w:t xml:space="preserve"> distributienetbeheerder</w:t>
      </w:r>
      <w:r w:rsidR="005F0878" w:rsidRPr="00043B8D">
        <w:t>s</w:t>
      </w:r>
      <w:r w:rsidRPr="00043B8D">
        <w:t xml:space="preserve"> </w:t>
      </w:r>
      <w:r w:rsidR="007670A7" w:rsidRPr="00043B8D">
        <w:t xml:space="preserve">die </w:t>
      </w:r>
      <w:r w:rsidRPr="00043B8D">
        <w:t xml:space="preserve">de autonomie </w:t>
      </w:r>
      <w:r w:rsidR="007670A7" w:rsidRPr="00043B8D">
        <w:t xml:space="preserve">en controle </w:t>
      </w:r>
      <w:r w:rsidRPr="00043B8D">
        <w:t xml:space="preserve">over </w:t>
      </w:r>
      <w:r w:rsidR="005F0878" w:rsidRPr="00043B8D">
        <w:t xml:space="preserve">hun eigen </w:t>
      </w:r>
      <w:r w:rsidRPr="00043B8D">
        <w:t xml:space="preserve">werking </w:t>
      </w:r>
      <w:r w:rsidR="007670A7" w:rsidRPr="00043B8D">
        <w:t>behoud</w:t>
      </w:r>
      <w:r w:rsidR="005F0878" w:rsidRPr="00043B8D">
        <w:t>en</w:t>
      </w:r>
      <w:r w:rsidR="007670A7" w:rsidRPr="00043B8D">
        <w:t xml:space="preserve">. </w:t>
      </w:r>
      <w:r w:rsidR="00961C70" w:rsidRPr="00043B8D">
        <w:t xml:space="preserve">Eerder dan de </w:t>
      </w:r>
      <w:r w:rsidR="00407F37" w:rsidRPr="00043B8D">
        <w:t>impact</w:t>
      </w:r>
      <w:r w:rsidR="00961C70" w:rsidRPr="00043B8D">
        <w:t xml:space="preserve"> v</w:t>
      </w:r>
      <w:r w:rsidR="00CD2A39" w:rsidRPr="00043B8D">
        <w:t>an</w:t>
      </w:r>
      <w:r w:rsidR="00961C70" w:rsidRPr="00043B8D">
        <w:t xml:space="preserve"> marktprijzen v</w:t>
      </w:r>
      <w:r w:rsidR="00CD2A39" w:rsidRPr="00043B8D">
        <w:t>oor</w:t>
      </w:r>
      <w:r w:rsidR="00961C70" w:rsidRPr="00043B8D">
        <w:t xml:space="preserve"> inputfactoren rechtstreeks door te </w:t>
      </w:r>
      <w:r w:rsidR="004342D6" w:rsidRPr="00043B8D">
        <w:t>rekenen</w:t>
      </w:r>
      <w:r w:rsidR="00961C70" w:rsidRPr="00043B8D">
        <w:t xml:space="preserve"> aan de </w:t>
      </w:r>
      <w:r w:rsidR="0042425D" w:rsidRPr="00043B8D">
        <w:t xml:space="preserve">distributienetgebruikers </w:t>
      </w:r>
      <w:r w:rsidR="00961C70" w:rsidRPr="00043B8D">
        <w:t>zoals bij rendementsregulering, wordt de distributienetbeheerder hier voor zijn verantwoordelijkheid geplaats</w:t>
      </w:r>
      <w:r w:rsidR="009404F5" w:rsidRPr="00043B8D">
        <w:t>t</w:t>
      </w:r>
      <w:r w:rsidR="00961C70" w:rsidRPr="00043B8D">
        <w:t xml:space="preserve"> en uitgedaagd om zijn kennis en kunde maximaal uit te breiden en aan te wenden. Hij is immers beter gep</w:t>
      </w:r>
      <w:r w:rsidR="009404F5" w:rsidRPr="00043B8D">
        <w:t>ositioneerd</w:t>
      </w:r>
      <w:r w:rsidR="00961C70" w:rsidRPr="00043B8D">
        <w:t xml:space="preserve"> dan de </w:t>
      </w:r>
      <w:r w:rsidR="00B41023" w:rsidRPr="00043B8D">
        <w:t xml:space="preserve">distributienetgebruikers </w:t>
      </w:r>
      <w:r w:rsidR="00961C70" w:rsidRPr="00043B8D">
        <w:t xml:space="preserve">om </w:t>
      </w:r>
      <w:r w:rsidR="001B2667" w:rsidRPr="00043B8D">
        <w:t>op</w:t>
      </w:r>
      <w:r w:rsidR="00961C70" w:rsidRPr="00043B8D">
        <w:t xml:space="preserve"> </w:t>
      </w:r>
      <w:r w:rsidR="00ED4040" w:rsidRPr="00043B8D">
        <w:t xml:space="preserve">de prijzen van de inputfactoren </w:t>
      </w:r>
      <w:r w:rsidR="00003EA3" w:rsidRPr="00043B8D">
        <w:t xml:space="preserve">een </w:t>
      </w:r>
      <w:r w:rsidR="00961C70" w:rsidRPr="00043B8D">
        <w:t xml:space="preserve">invloed uit te oefenen. </w:t>
      </w:r>
      <w:r w:rsidR="00AF5FF7" w:rsidRPr="00043B8D">
        <w:t xml:space="preserve">De regulator </w:t>
      </w:r>
      <w:r w:rsidR="00530D0A" w:rsidRPr="00043B8D">
        <w:t xml:space="preserve">kan </w:t>
      </w:r>
      <w:r w:rsidR="00AF5FF7" w:rsidRPr="00043B8D">
        <w:t xml:space="preserve">na afloop van de </w:t>
      </w:r>
      <w:r w:rsidR="00A00ABE" w:rsidRPr="00043B8D">
        <w:t>reguleringsperiode</w:t>
      </w:r>
      <w:r w:rsidR="00AF5FF7" w:rsidRPr="00043B8D">
        <w:t xml:space="preserve"> </w:t>
      </w:r>
      <w:r w:rsidR="00F7763E" w:rsidRPr="00043B8D">
        <w:t xml:space="preserve">volgens </w:t>
      </w:r>
      <w:r w:rsidR="00530D0A" w:rsidRPr="00043B8D">
        <w:t xml:space="preserve">zijn </w:t>
      </w:r>
      <w:r w:rsidR="00F7763E" w:rsidRPr="00043B8D">
        <w:t xml:space="preserve">tariefmethode </w:t>
      </w:r>
      <w:r w:rsidR="00530D0A" w:rsidRPr="00043B8D">
        <w:t xml:space="preserve">een </w:t>
      </w:r>
      <w:r w:rsidR="00AF5FF7" w:rsidRPr="00043B8D">
        <w:t xml:space="preserve">nieuwe </w:t>
      </w:r>
      <w:r w:rsidR="00A32BDD" w:rsidRPr="00043B8D">
        <w:t>inkomsten</w:t>
      </w:r>
      <w:r w:rsidR="00AF5FF7" w:rsidRPr="00043B8D">
        <w:t xml:space="preserve">plafonnering opleggen, </w:t>
      </w:r>
      <w:r w:rsidR="00641EDC" w:rsidRPr="00043B8D">
        <w:t xml:space="preserve">bijvoorbeeld </w:t>
      </w:r>
      <w:r w:rsidR="00AF5FF7" w:rsidRPr="00043B8D">
        <w:t>op basis van de prestaties van de</w:t>
      </w:r>
      <w:r w:rsidR="002F24EE" w:rsidRPr="00043B8D">
        <w:t xml:space="preserve"> distributienetbeheerder</w:t>
      </w:r>
      <w:r w:rsidR="00AF5FF7" w:rsidRPr="00043B8D">
        <w:t xml:space="preserve">s in de afgelopen </w:t>
      </w:r>
      <w:r w:rsidR="009B5EAD" w:rsidRPr="00043B8D">
        <w:t>jaren</w:t>
      </w:r>
      <w:r w:rsidR="00AF5FF7" w:rsidRPr="00043B8D">
        <w:t xml:space="preserve">. Indien de distributienetbeheerders </w:t>
      </w:r>
      <w:r w:rsidR="005F719A" w:rsidRPr="00043B8D">
        <w:t xml:space="preserve">de </w:t>
      </w:r>
      <w:r w:rsidR="00AF5FF7" w:rsidRPr="00043B8D">
        <w:t>verwacht</w:t>
      </w:r>
      <w:r w:rsidR="005F719A" w:rsidRPr="00043B8D">
        <w:t>e</w:t>
      </w:r>
      <w:r w:rsidR="00AF5FF7" w:rsidRPr="00043B8D">
        <w:t xml:space="preserve"> efficiëntie- en productiviteitswinsten hebben gecreëerd, </w:t>
      </w:r>
      <w:r w:rsidR="009E7181" w:rsidRPr="00043B8D">
        <w:t>kunnen</w:t>
      </w:r>
      <w:r w:rsidR="002E325F" w:rsidRPr="00043B8D">
        <w:t xml:space="preserve"> deze</w:t>
      </w:r>
      <w:r w:rsidR="001B2667" w:rsidRPr="00043B8D">
        <w:t xml:space="preserve"> </w:t>
      </w:r>
      <w:r w:rsidR="00134F0B" w:rsidRPr="00043B8D">
        <w:t xml:space="preserve">dan </w:t>
      </w:r>
      <w:r w:rsidR="001B2667" w:rsidRPr="00043B8D">
        <w:t xml:space="preserve">voor </w:t>
      </w:r>
      <w:r w:rsidR="00AF5FF7" w:rsidRPr="00043B8D">
        <w:t xml:space="preserve">de </w:t>
      </w:r>
      <w:r w:rsidR="00B41023" w:rsidRPr="00043B8D">
        <w:t xml:space="preserve">distributienetgebruiker </w:t>
      </w:r>
      <w:r w:rsidR="001B2667" w:rsidRPr="00043B8D">
        <w:t xml:space="preserve">resulteren in </w:t>
      </w:r>
      <w:r w:rsidR="00A40503" w:rsidRPr="00043B8D">
        <w:t>een tariefdaling</w:t>
      </w:r>
      <w:r w:rsidR="00AF5FF7" w:rsidRPr="00043B8D">
        <w:t>.</w:t>
      </w:r>
    </w:p>
    <w:p w14:paraId="7E67A41C" w14:textId="77777777" w:rsidR="00AF5FF7" w:rsidRPr="00043B8D" w:rsidRDefault="00AF5FF7" w:rsidP="005978E0"/>
    <w:p w14:paraId="690FB7D6" w14:textId="63E2210F" w:rsidR="00AF5FF7" w:rsidRPr="00043B8D" w:rsidRDefault="00456BC0" w:rsidP="005978E0">
      <w:r w:rsidRPr="00043B8D">
        <w:t xml:space="preserve">Algemeen wordt in deze methode een zogenaamde x-factor als correctie op de jaarlijkse prijsstijging volgens de inflatie ingevoerd. De inkomsten mogen jaarlijks stijgen met een factor </w:t>
      </w:r>
      <w:r w:rsidR="005F719A" w:rsidRPr="00043B8D">
        <w:t>‘</w:t>
      </w:r>
      <w:r w:rsidRPr="00043B8D">
        <w:t>1+inflatie</w:t>
      </w:r>
      <w:r w:rsidR="0025560C" w:rsidRPr="00043B8D">
        <w:t>-</w:t>
      </w:r>
      <w:r w:rsidRPr="00043B8D">
        <w:t>x</w:t>
      </w:r>
      <w:r w:rsidR="005F719A" w:rsidRPr="00043B8D">
        <w:t>’</w:t>
      </w:r>
      <w:r w:rsidRPr="00043B8D">
        <w:t>. De waarde x</w:t>
      </w:r>
      <w:r w:rsidR="00641EDC" w:rsidRPr="00043B8D">
        <w:t xml:space="preserve"> kan aangeven </w:t>
      </w:r>
      <w:r w:rsidRPr="00043B8D">
        <w:t>in hoeverre de onderneming een bijkomende inspanning dient te leveren om zijn efficiëntie en productiviteit te verhogen. Immers, twee distributienetbeheerder</w:t>
      </w:r>
      <w:r w:rsidR="00525B28" w:rsidRPr="00043B8D">
        <w:t>s</w:t>
      </w:r>
      <w:r w:rsidRPr="00043B8D">
        <w:t xml:space="preserve"> kunnen eenzelfde inkomstenplafond hebben maar met elk een verschillende efficiëntie. Het </w:t>
      </w:r>
      <w:r w:rsidR="00913CC3" w:rsidRPr="00043B8D">
        <w:t>is dan</w:t>
      </w:r>
      <w:r w:rsidR="003C7598" w:rsidRPr="00043B8D">
        <w:t xml:space="preserve"> </w:t>
      </w:r>
      <w:r w:rsidRPr="00043B8D">
        <w:t xml:space="preserve">de bedoeling dat het minst efficiënte bedrijf </w:t>
      </w:r>
      <w:r w:rsidR="003C7598" w:rsidRPr="00043B8D">
        <w:t xml:space="preserve">de grootste </w:t>
      </w:r>
      <w:r w:rsidRPr="00043B8D">
        <w:t xml:space="preserve">inspanning doet om zijn kosten te verlagen. </w:t>
      </w:r>
      <w:r w:rsidR="009A79E4" w:rsidRPr="00043B8D">
        <w:t xml:space="preserve">Daarnaast kan de regulator </w:t>
      </w:r>
      <w:r w:rsidR="00530D0A" w:rsidRPr="00043B8D">
        <w:t xml:space="preserve">vooraf </w:t>
      </w:r>
      <w:r w:rsidR="009A79E4" w:rsidRPr="00043B8D">
        <w:t xml:space="preserve">ook een algemene productiviteitsgroei </w:t>
      </w:r>
      <w:r w:rsidR="0024022E" w:rsidRPr="00043B8D">
        <w:t xml:space="preserve">vaststellen of </w:t>
      </w:r>
      <w:r w:rsidR="009A79E4" w:rsidRPr="00043B8D">
        <w:t xml:space="preserve">vooropstellen en die toepassen op alle bedrijven. </w:t>
      </w:r>
      <w:r w:rsidR="0024022E" w:rsidRPr="00043B8D">
        <w:t xml:space="preserve">Het is </w:t>
      </w:r>
      <w:r w:rsidR="003C2799" w:rsidRPr="00043B8D">
        <w:t xml:space="preserve">eveneens </w:t>
      </w:r>
      <w:r w:rsidR="0024022E" w:rsidRPr="00043B8D">
        <w:t xml:space="preserve">mogelijk dat de sector van de distributienetbeheerders op een bepaald ogenblik geconfronteerd wordt met stijgende kosten </w:t>
      </w:r>
      <w:r w:rsidR="00641EDC" w:rsidRPr="00043B8D">
        <w:t xml:space="preserve">ten gevolge van een nieuwe investeringsgolf </w:t>
      </w:r>
      <w:r w:rsidR="0024022E" w:rsidRPr="00043B8D">
        <w:t>en de regulator di</w:t>
      </w:r>
      <w:r w:rsidR="007236BC" w:rsidRPr="00043B8D">
        <w:t>t</w:t>
      </w:r>
      <w:r w:rsidR="0024022E" w:rsidRPr="00043B8D">
        <w:t xml:space="preserve"> </w:t>
      </w:r>
      <w:r w:rsidR="007236BC" w:rsidRPr="00043B8D">
        <w:t xml:space="preserve">dan </w:t>
      </w:r>
      <w:r w:rsidR="0024022E" w:rsidRPr="00043B8D">
        <w:t>vert</w:t>
      </w:r>
      <w:r w:rsidR="007236BC" w:rsidRPr="00043B8D">
        <w:t>a</w:t>
      </w:r>
      <w:r w:rsidR="0024022E" w:rsidRPr="00043B8D">
        <w:t>al</w:t>
      </w:r>
      <w:r w:rsidR="007236BC" w:rsidRPr="00043B8D">
        <w:t>t</w:t>
      </w:r>
      <w:r w:rsidR="0024022E" w:rsidRPr="00043B8D">
        <w:t xml:space="preserve"> in een verh</w:t>
      </w:r>
      <w:r w:rsidR="009E7181" w:rsidRPr="00043B8D">
        <w:t>oging van het inkomstenplafond.</w:t>
      </w:r>
    </w:p>
    <w:p w14:paraId="1B0C7BB7" w14:textId="77777777" w:rsidR="00CB1EBD" w:rsidRPr="00043B8D" w:rsidRDefault="00CB1EBD" w:rsidP="005978E0"/>
    <w:p w14:paraId="48F2CF55" w14:textId="77777777" w:rsidR="00CB1EBD" w:rsidRPr="00043B8D" w:rsidRDefault="00CB1EBD" w:rsidP="005978E0">
      <w:r w:rsidRPr="00043B8D">
        <w:t>Indien een onderneming onder dergelijke regulering zou overdrijven in</w:t>
      </w:r>
      <w:r w:rsidR="007D4927" w:rsidRPr="00043B8D">
        <w:t xml:space="preserve"> kostenbesparingen, kan dit ten </w:t>
      </w:r>
      <w:r w:rsidR="0029567A" w:rsidRPr="00043B8D">
        <w:t xml:space="preserve">koste gaan </w:t>
      </w:r>
      <w:r w:rsidR="007D4927" w:rsidRPr="00043B8D">
        <w:t xml:space="preserve">van de kwaliteit van de door haar geleverde dienstverlening. Het is </w:t>
      </w:r>
      <w:r w:rsidR="002E325F" w:rsidRPr="00043B8D">
        <w:t xml:space="preserve">daarom </w:t>
      </w:r>
      <w:r w:rsidR="00982B4C" w:rsidRPr="00043B8D">
        <w:t>gebruikelijk</w:t>
      </w:r>
      <w:r w:rsidR="007D4927" w:rsidRPr="00043B8D">
        <w:t xml:space="preserve"> dat deze methode vervolledigd wordt met een bijkomende </w:t>
      </w:r>
      <w:r w:rsidR="00C435D0" w:rsidRPr="00043B8D">
        <w:t xml:space="preserve">financiële </w:t>
      </w:r>
      <w:r w:rsidR="007D4927" w:rsidRPr="00043B8D">
        <w:t xml:space="preserve">beloning </w:t>
      </w:r>
      <w:r w:rsidR="0029567A" w:rsidRPr="00043B8D">
        <w:t>(</w:t>
      </w:r>
      <w:r w:rsidR="007D4927" w:rsidRPr="00043B8D">
        <w:t>of bestraffing</w:t>
      </w:r>
      <w:r w:rsidR="0029567A" w:rsidRPr="00043B8D">
        <w:t>)</w:t>
      </w:r>
      <w:r w:rsidR="007D4927" w:rsidRPr="00043B8D">
        <w:t xml:space="preserve"> voor prestaties op het vlak van kwaliteit</w:t>
      </w:r>
      <w:r w:rsidR="005F719A" w:rsidRPr="00043B8D">
        <w:t xml:space="preserve"> (</w:t>
      </w:r>
      <w:r w:rsidR="00EB6365" w:rsidRPr="00043B8D">
        <w:t xml:space="preserve">de zogenaamde kwaliteitsterm </w:t>
      </w:r>
      <w:r w:rsidR="005F719A" w:rsidRPr="00043B8D">
        <w:t>q)</w:t>
      </w:r>
      <w:r w:rsidR="007D4927" w:rsidRPr="00043B8D">
        <w:t>.</w:t>
      </w:r>
    </w:p>
    <w:p w14:paraId="2608BE08" w14:textId="77777777" w:rsidR="00A2136C" w:rsidRPr="00043B8D" w:rsidRDefault="00A2136C" w:rsidP="005978E0"/>
    <w:p w14:paraId="386EFDB1" w14:textId="77777777" w:rsidR="0086297F" w:rsidRPr="00043B8D" w:rsidRDefault="003C0FB6" w:rsidP="005251E2">
      <w:pPr>
        <w:pStyle w:val="Kop2"/>
        <w:numPr>
          <w:ilvl w:val="2"/>
          <w:numId w:val="24"/>
        </w:numPr>
        <w:ind w:left="993" w:hanging="993"/>
        <w:rPr>
          <w:i/>
          <w:sz w:val="22"/>
          <w:szCs w:val="22"/>
        </w:rPr>
      </w:pPr>
      <w:bookmarkStart w:id="206" w:name="_Ref365467774"/>
      <w:bookmarkStart w:id="207" w:name="_Toc454186653"/>
      <w:r w:rsidRPr="00043B8D">
        <w:rPr>
          <w:i/>
          <w:sz w:val="22"/>
          <w:szCs w:val="22"/>
        </w:rPr>
        <w:t>Hybride model</w:t>
      </w:r>
      <w:bookmarkEnd w:id="206"/>
      <w:r w:rsidR="009E7181" w:rsidRPr="00043B8D">
        <w:rPr>
          <w:i/>
          <w:sz w:val="22"/>
          <w:szCs w:val="22"/>
        </w:rPr>
        <w:t xml:space="preserve"> volgens tarieven-KB’s 2008</w:t>
      </w:r>
      <w:bookmarkEnd w:id="207"/>
    </w:p>
    <w:p w14:paraId="15073F67" w14:textId="77777777" w:rsidR="003C0FB6" w:rsidRPr="00043B8D" w:rsidRDefault="003C0FB6" w:rsidP="003C0FB6"/>
    <w:p w14:paraId="52180C90" w14:textId="4DE5F517" w:rsidR="003C0FB6" w:rsidRPr="00043B8D" w:rsidRDefault="003C0FB6" w:rsidP="003C0FB6">
      <w:r w:rsidRPr="00043B8D">
        <w:t xml:space="preserve">De </w:t>
      </w:r>
      <w:r w:rsidR="00A66861" w:rsidRPr="00043B8D">
        <w:t xml:space="preserve">tariefmethode </w:t>
      </w:r>
      <w:r w:rsidRPr="00043B8D">
        <w:t xml:space="preserve">volgens de inmiddels opgeheven </w:t>
      </w:r>
      <w:r w:rsidR="00D43368" w:rsidRPr="00043B8D">
        <w:t>tarieven-</w:t>
      </w:r>
      <w:r w:rsidRPr="00043B8D">
        <w:t>KB</w:t>
      </w:r>
      <w:r w:rsidR="00D43368" w:rsidRPr="00043B8D">
        <w:t>’</w:t>
      </w:r>
      <w:r w:rsidRPr="00043B8D">
        <w:t xml:space="preserve">s </w:t>
      </w:r>
      <w:r w:rsidR="00D43368" w:rsidRPr="00043B8D">
        <w:t xml:space="preserve">2008 </w:t>
      </w:r>
      <w:r w:rsidRPr="00043B8D">
        <w:t xml:space="preserve">die aan de basis </w:t>
      </w:r>
      <w:r w:rsidR="009D3A70" w:rsidRPr="00043B8D">
        <w:t>lag</w:t>
      </w:r>
      <w:r w:rsidRPr="00043B8D">
        <w:t xml:space="preserve"> van de </w:t>
      </w:r>
      <w:r w:rsidR="009558FB" w:rsidRPr="00043B8D">
        <w:t>huidige (</w:t>
      </w:r>
      <w:r w:rsidR="009D3A70" w:rsidRPr="00043B8D">
        <w:t xml:space="preserve">tarieven 2012 verlengd tot en met </w:t>
      </w:r>
      <w:r w:rsidR="009558FB" w:rsidRPr="00043B8D">
        <w:t xml:space="preserve">2014) </w:t>
      </w:r>
      <w:r w:rsidRPr="00043B8D">
        <w:t>distributienettarieven</w:t>
      </w:r>
      <w:r w:rsidR="00471407" w:rsidRPr="00043B8D">
        <w:t xml:space="preserve"> voor elektriciteit en aardgas</w:t>
      </w:r>
      <w:r w:rsidR="00473D4C" w:rsidRPr="00043B8D">
        <w:t>,</w:t>
      </w:r>
      <w:r w:rsidRPr="00043B8D">
        <w:t xml:space="preserve"> kan gezien worden als een </w:t>
      </w:r>
      <w:r w:rsidR="00A1188B" w:rsidRPr="00043B8D">
        <w:t xml:space="preserve">samenvoeging </w:t>
      </w:r>
      <w:r w:rsidRPr="00043B8D">
        <w:t xml:space="preserve">van een rendementsregulering </w:t>
      </w:r>
      <w:r w:rsidR="00D65880" w:rsidRPr="00043B8D">
        <w:t>en</w:t>
      </w:r>
      <w:r w:rsidRPr="00043B8D">
        <w:t xml:space="preserve"> een inkomstenregulering</w:t>
      </w:r>
      <w:r w:rsidR="003F17B7" w:rsidRPr="00043B8D">
        <w:t xml:space="preserve">, waarbij </w:t>
      </w:r>
      <w:r w:rsidR="009D3A70" w:rsidRPr="00043B8D">
        <w:t xml:space="preserve">de </w:t>
      </w:r>
      <w:r w:rsidR="003F17B7" w:rsidRPr="00043B8D">
        <w:t xml:space="preserve">winstmarge </w:t>
      </w:r>
      <w:r w:rsidR="003C2799" w:rsidRPr="00043B8D">
        <w:t xml:space="preserve">gegarandeerd </w:t>
      </w:r>
      <w:r w:rsidR="003F17B7" w:rsidRPr="00043B8D">
        <w:t xml:space="preserve">werd in </w:t>
      </w:r>
      <w:r w:rsidR="003C2799" w:rsidRPr="00043B8D">
        <w:t xml:space="preserve">het gedeelte </w:t>
      </w:r>
      <w:r w:rsidR="003F17B7" w:rsidRPr="00043B8D">
        <w:t>rendementsregulering</w:t>
      </w:r>
      <w:r w:rsidR="00A1188B" w:rsidRPr="00043B8D">
        <w:t xml:space="preserve">. </w:t>
      </w:r>
      <w:r w:rsidR="003F17B7" w:rsidRPr="00043B8D">
        <w:t xml:space="preserve">De inkomstenregulering beperkte zich tot een budget voor bepaalde kosten, zonder ingebouwde winstmarge. </w:t>
      </w:r>
      <w:r w:rsidR="009D3A70" w:rsidRPr="00043B8D">
        <w:t>D</w:t>
      </w:r>
      <w:r w:rsidR="00A1188B" w:rsidRPr="00043B8D">
        <w:t xml:space="preserve">e kosten van de distributienetbeheerders </w:t>
      </w:r>
      <w:r w:rsidR="009D3A70" w:rsidRPr="00043B8D">
        <w:t xml:space="preserve">werden </w:t>
      </w:r>
      <w:r w:rsidR="00A1188B" w:rsidRPr="00043B8D">
        <w:t>opgedeeld in een</w:t>
      </w:r>
      <w:r w:rsidR="006F7A0A" w:rsidRPr="00043B8D">
        <w:t xml:space="preserve">, in </w:t>
      </w:r>
      <w:r w:rsidR="00421AB2" w:rsidRPr="00043B8D">
        <w:t>geldelijke waarde</w:t>
      </w:r>
      <w:r w:rsidR="006F7A0A" w:rsidRPr="00043B8D">
        <w:t>,</w:t>
      </w:r>
      <w:r w:rsidR="00421AB2" w:rsidRPr="00043B8D">
        <w:t xml:space="preserve"> </w:t>
      </w:r>
      <w:r w:rsidR="001449A0" w:rsidRPr="00043B8D">
        <w:t xml:space="preserve">grote </w:t>
      </w:r>
      <w:r w:rsidR="00A1188B" w:rsidRPr="00043B8D">
        <w:t xml:space="preserve">groep </w:t>
      </w:r>
      <w:r w:rsidR="001449A0" w:rsidRPr="00043B8D">
        <w:t xml:space="preserve">die </w:t>
      </w:r>
      <w:r w:rsidR="00A1188B" w:rsidRPr="00043B8D">
        <w:t xml:space="preserve">onderworpen </w:t>
      </w:r>
      <w:r w:rsidR="001449A0" w:rsidRPr="00043B8D">
        <w:t xml:space="preserve">werd </w:t>
      </w:r>
      <w:r w:rsidR="00A1188B" w:rsidRPr="00043B8D">
        <w:t>aan</w:t>
      </w:r>
      <w:r w:rsidRPr="00043B8D">
        <w:t xml:space="preserve"> </w:t>
      </w:r>
      <w:r w:rsidR="00441958" w:rsidRPr="00043B8D">
        <w:t xml:space="preserve">een </w:t>
      </w:r>
      <w:r w:rsidRPr="00043B8D">
        <w:t>rendementsregulering</w:t>
      </w:r>
      <w:r w:rsidR="00A1188B" w:rsidRPr="00043B8D">
        <w:t xml:space="preserve"> en </w:t>
      </w:r>
      <w:r w:rsidR="001449A0" w:rsidRPr="00043B8D">
        <w:t xml:space="preserve">een kleinere </w:t>
      </w:r>
      <w:r w:rsidR="00D65880" w:rsidRPr="00043B8D">
        <w:t xml:space="preserve">groep </w:t>
      </w:r>
      <w:r w:rsidR="00A1188B" w:rsidRPr="00043B8D">
        <w:t xml:space="preserve">waarop een </w:t>
      </w:r>
      <w:r w:rsidR="009D3A70" w:rsidRPr="00043B8D">
        <w:t xml:space="preserve">plafonnering met </w:t>
      </w:r>
      <w:r w:rsidR="00966EE5" w:rsidRPr="00043B8D">
        <w:t>ex post indexatie</w:t>
      </w:r>
      <w:r w:rsidR="006D59C8" w:rsidRPr="00043B8D">
        <w:rPr>
          <w:rStyle w:val="Voetnootmarkering"/>
        </w:rPr>
        <w:footnoteReference w:id="14"/>
      </w:r>
      <w:r w:rsidR="00966EE5" w:rsidRPr="00043B8D">
        <w:t xml:space="preserve"> </w:t>
      </w:r>
      <w:r w:rsidR="00A1188B" w:rsidRPr="00043B8D">
        <w:t>werd toegepast</w:t>
      </w:r>
      <w:r w:rsidRPr="00043B8D">
        <w:t>.</w:t>
      </w:r>
    </w:p>
    <w:p w14:paraId="7FA6C85A" w14:textId="77777777" w:rsidR="003C0FB6" w:rsidRPr="00043B8D" w:rsidRDefault="003C0FB6" w:rsidP="003C0FB6"/>
    <w:p w14:paraId="3C610EF2" w14:textId="1218B898" w:rsidR="00137058" w:rsidRPr="00043B8D" w:rsidRDefault="009E7181" w:rsidP="003C0FB6">
      <w:r w:rsidRPr="00043B8D">
        <w:t xml:space="preserve">De VREG is van oordeel dat deze recent gehanteerde tariefmethode best niet meer </w:t>
      </w:r>
      <w:r w:rsidR="007824C6" w:rsidRPr="00043B8D">
        <w:t>onder deze</w:t>
      </w:r>
      <w:r w:rsidRPr="00043B8D">
        <w:t xml:space="preserve"> vorm wordt verder gezet. </w:t>
      </w:r>
      <w:r w:rsidR="003F17B7" w:rsidRPr="00043B8D">
        <w:t>Ten eerste is d</w:t>
      </w:r>
      <w:r w:rsidRPr="00043B8D">
        <w:t xml:space="preserve">e </w:t>
      </w:r>
      <w:r w:rsidR="003F17B7" w:rsidRPr="00043B8D">
        <w:t>belangrijke reguleringsvorm</w:t>
      </w:r>
      <w:r w:rsidR="00B618D8" w:rsidRPr="00043B8D">
        <w:t xml:space="preserve"> in het hybride model</w:t>
      </w:r>
      <w:r w:rsidR="003F17B7" w:rsidRPr="00043B8D">
        <w:t xml:space="preserve">, </w:t>
      </w:r>
      <w:r w:rsidR="00885441" w:rsidRPr="00043B8D">
        <w:t xml:space="preserve">deze </w:t>
      </w:r>
      <w:r w:rsidR="00B618D8" w:rsidRPr="00043B8D">
        <w:t>waarin de regulator de kapitaalkostenvergoeding voorziet</w:t>
      </w:r>
      <w:r w:rsidR="003F17B7" w:rsidRPr="00043B8D">
        <w:t>, de rendementsregulering</w:t>
      </w:r>
      <w:r w:rsidR="00B618D8" w:rsidRPr="00043B8D">
        <w:t>. De</w:t>
      </w:r>
      <w:r w:rsidR="003F17B7" w:rsidRPr="00043B8D">
        <w:t xml:space="preserve"> </w:t>
      </w:r>
      <w:r w:rsidRPr="00043B8D">
        <w:t xml:space="preserve">belangrijke nadelen </w:t>
      </w:r>
      <w:r w:rsidR="003F17B7" w:rsidRPr="00043B8D">
        <w:t xml:space="preserve">hieraan </w:t>
      </w:r>
      <w:r w:rsidRPr="00043B8D">
        <w:t xml:space="preserve">verbonden werden hierboven </w:t>
      </w:r>
      <w:r w:rsidR="00B618D8" w:rsidRPr="00043B8D">
        <w:t xml:space="preserve">reeds </w:t>
      </w:r>
      <w:r w:rsidRPr="00043B8D">
        <w:t>vermeld</w:t>
      </w:r>
      <w:r w:rsidR="00B618D8" w:rsidRPr="00043B8D">
        <w:t xml:space="preserve"> (par. </w:t>
      </w:r>
      <w:r w:rsidR="00B618D8" w:rsidRPr="00043B8D">
        <w:fldChar w:fldCharType="begin"/>
      </w:r>
      <w:r w:rsidR="00B618D8" w:rsidRPr="00043B8D">
        <w:instrText xml:space="preserve"> REF _Ref388537672 \r \h </w:instrText>
      </w:r>
      <w:r w:rsidR="00043B8D">
        <w:instrText xml:space="preserve"> \* MERGEFORMAT </w:instrText>
      </w:r>
      <w:r w:rsidR="00B618D8" w:rsidRPr="00043B8D">
        <w:fldChar w:fldCharType="separate"/>
      </w:r>
      <w:r w:rsidR="00B30F9B">
        <w:t>4.2.1</w:t>
      </w:r>
      <w:r w:rsidR="00B618D8" w:rsidRPr="00043B8D">
        <w:fldChar w:fldCharType="end"/>
      </w:r>
      <w:r w:rsidR="00B618D8" w:rsidRPr="00043B8D">
        <w:t>)</w:t>
      </w:r>
      <w:r w:rsidRPr="00043B8D">
        <w:t xml:space="preserve">. </w:t>
      </w:r>
      <w:r w:rsidR="003F17B7" w:rsidRPr="00043B8D">
        <w:t xml:space="preserve">Ten tweede was </w:t>
      </w:r>
      <w:r w:rsidRPr="00043B8D">
        <w:t xml:space="preserve">de combinatie met een inkomstenplafonnering niet </w:t>
      </w:r>
      <w:r w:rsidR="006B2C19" w:rsidRPr="00043B8D">
        <w:t xml:space="preserve">optimaal omdat </w:t>
      </w:r>
      <w:r w:rsidR="003F17B7" w:rsidRPr="00043B8D">
        <w:t xml:space="preserve">het niet </w:t>
      </w:r>
      <w:r w:rsidR="008F13CB" w:rsidRPr="00043B8D">
        <w:t xml:space="preserve">geheel </w:t>
      </w:r>
      <w:r w:rsidR="003F17B7" w:rsidRPr="00043B8D">
        <w:t xml:space="preserve">onmogelijk was voor een gereguleerde onderneming om </w:t>
      </w:r>
      <w:r w:rsidR="008F13CB" w:rsidRPr="00043B8D">
        <w:t xml:space="preserve">door een andere bedrijfsvoering de </w:t>
      </w:r>
      <w:r w:rsidR="006B2C19" w:rsidRPr="00043B8D">
        <w:t xml:space="preserve">kosten onder de inkomstenplafonnering </w:t>
      </w:r>
      <w:r w:rsidR="003F17B7" w:rsidRPr="00043B8D">
        <w:t xml:space="preserve">te </w:t>
      </w:r>
      <w:r w:rsidR="006B2C19" w:rsidRPr="00043B8D">
        <w:t>vervangen door kosten onder de rendementsregulering</w:t>
      </w:r>
      <w:r w:rsidR="007824C6" w:rsidRPr="00043B8D">
        <w:t>. D</w:t>
      </w:r>
      <w:r w:rsidR="003F17B7" w:rsidRPr="00043B8D">
        <w:t>oor deze louter</w:t>
      </w:r>
      <w:r w:rsidR="007824C6" w:rsidRPr="00043B8D">
        <w:t>e</w:t>
      </w:r>
      <w:r w:rsidR="003F17B7" w:rsidRPr="00043B8D">
        <w:t xml:space="preserve"> verschuiving van kosten werd de distributienetbeheerder dan beloond met een extra </w:t>
      </w:r>
      <w:r w:rsidR="006B2C19" w:rsidRPr="00043B8D">
        <w:t>winst</w:t>
      </w:r>
      <w:r w:rsidR="003F17B7" w:rsidRPr="00043B8D">
        <w:t>, ten gevolge van de mindere benutting van het budget van kosten in de inkomstenregulering</w:t>
      </w:r>
      <w:r w:rsidRPr="00043B8D">
        <w:t>.</w:t>
      </w:r>
      <w:r w:rsidR="006B2C19" w:rsidRPr="00043B8D">
        <w:t xml:space="preserve"> Het was</w:t>
      </w:r>
      <w:r w:rsidR="007824C6" w:rsidRPr="00043B8D">
        <w:t xml:space="preserve"> hier</w:t>
      </w:r>
      <w:r w:rsidR="006B2C19" w:rsidRPr="00043B8D">
        <w:t xml:space="preserve"> </w:t>
      </w:r>
      <w:r w:rsidR="003F17B7" w:rsidRPr="00043B8D">
        <w:t>ook</w:t>
      </w:r>
      <w:r w:rsidR="00885441" w:rsidRPr="00043B8D">
        <w:t xml:space="preserve"> </w:t>
      </w:r>
      <w:r w:rsidR="006B2C19" w:rsidRPr="00043B8D">
        <w:t xml:space="preserve">de </w:t>
      </w:r>
      <w:r w:rsidR="00885441" w:rsidRPr="00043B8D">
        <w:t xml:space="preserve">moeilijke </w:t>
      </w:r>
      <w:r w:rsidR="006B2C19" w:rsidRPr="00043B8D">
        <w:t>taak van de regulator om toe te kijken op de redelijkheid en noodzakelijkheid van deze kostenbewegingen.</w:t>
      </w:r>
    </w:p>
    <w:p w14:paraId="72872344" w14:textId="77777777" w:rsidR="009E7181" w:rsidRPr="00043B8D" w:rsidRDefault="009E7181" w:rsidP="003C0FB6"/>
    <w:p w14:paraId="4560E13D" w14:textId="301352DC" w:rsidR="003C0FB6" w:rsidRPr="00043B8D" w:rsidRDefault="003F17B7" w:rsidP="004C4F65">
      <w:r w:rsidRPr="00043B8D">
        <w:t xml:space="preserve">Daarnaast ziet de VREG nog andere elementen. </w:t>
      </w:r>
      <w:r w:rsidR="00DC1102" w:rsidRPr="00043B8D">
        <w:t xml:space="preserve">Er is een </w:t>
      </w:r>
      <w:r w:rsidR="000961AA" w:rsidRPr="00043B8D">
        <w:t xml:space="preserve">aanzienlijke </w:t>
      </w:r>
      <w:r w:rsidR="003C0FB6" w:rsidRPr="00043B8D">
        <w:t xml:space="preserve">administratieve last voor </w:t>
      </w:r>
      <w:r w:rsidR="003B1EEB" w:rsidRPr="00043B8D">
        <w:t xml:space="preserve">zowel </w:t>
      </w:r>
      <w:r w:rsidR="007824C6" w:rsidRPr="00043B8D">
        <w:t xml:space="preserve">de </w:t>
      </w:r>
      <w:r w:rsidR="003C0FB6" w:rsidRPr="00043B8D">
        <w:t xml:space="preserve">regulator </w:t>
      </w:r>
      <w:r w:rsidR="003B1EEB" w:rsidRPr="00043B8D">
        <w:t xml:space="preserve">als </w:t>
      </w:r>
      <w:r w:rsidR="007824C6" w:rsidRPr="00043B8D">
        <w:t xml:space="preserve">de </w:t>
      </w:r>
      <w:r w:rsidR="003C0FB6" w:rsidRPr="00043B8D">
        <w:t xml:space="preserve">distributienetbeheerder. </w:t>
      </w:r>
      <w:r w:rsidR="003B1EEB" w:rsidRPr="00043B8D">
        <w:t>De t</w:t>
      </w:r>
      <w:r w:rsidR="003C0FB6" w:rsidRPr="00043B8D">
        <w:t xml:space="preserve">arieven worden vastgesteld op basis van budgetten in combinatie met saldi ontstaan tussen </w:t>
      </w:r>
      <w:r w:rsidR="008B65B1" w:rsidRPr="00043B8D">
        <w:t xml:space="preserve">enerzijds </w:t>
      </w:r>
      <w:r w:rsidR="003C0FB6" w:rsidRPr="00043B8D">
        <w:t xml:space="preserve">werkelijke kosten </w:t>
      </w:r>
      <w:r w:rsidR="008B65B1" w:rsidRPr="00043B8D">
        <w:t xml:space="preserve">en inkomsten en anderzijds de </w:t>
      </w:r>
      <w:r w:rsidR="003C0FB6" w:rsidRPr="00043B8D">
        <w:t>oude budgetten</w:t>
      </w:r>
      <w:r w:rsidR="003B1EEB" w:rsidRPr="00043B8D">
        <w:t xml:space="preserve"> waarbinnen bovendien een onderscheid </w:t>
      </w:r>
      <w:r w:rsidR="00F32F6F" w:rsidRPr="00043B8D">
        <w:t xml:space="preserve">is </w:t>
      </w:r>
      <w:r w:rsidR="003B1EEB" w:rsidRPr="00043B8D">
        <w:t>tussen koste</w:t>
      </w:r>
      <w:r w:rsidR="00A62507" w:rsidRPr="00043B8D">
        <w:t xml:space="preserve">n </w:t>
      </w:r>
      <w:r w:rsidR="00A920D9" w:rsidRPr="00043B8D">
        <w:t>met rendementsregulering en kosten met inkomstenregulering</w:t>
      </w:r>
      <w:r w:rsidR="003C0FB6" w:rsidRPr="00043B8D">
        <w:t xml:space="preserve">. </w:t>
      </w:r>
      <w:r w:rsidR="00A920D9" w:rsidRPr="00043B8D">
        <w:t xml:space="preserve">De regulator tracht </w:t>
      </w:r>
      <w:r w:rsidR="008B65B1" w:rsidRPr="00043B8D">
        <w:t xml:space="preserve">daarbij </w:t>
      </w:r>
      <w:r w:rsidR="00A920D9" w:rsidRPr="00043B8D">
        <w:t xml:space="preserve">de redelijkheid </w:t>
      </w:r>
      <w:r w:rsidR="009E7181" w:rsidRPr="00043B8D">
        <w:t xml:space="preserve">en noodzaak </w:t>
      </w:r>
      <w:r w:rsidR="00A920D9" w:rsidRPr="00043B8D">
        <w:t xml:space="preserve">van de kosten te beoordelen en vraagt daartoe </w:t>
      </w:r>
      <w:r w:rsidR="007824C6" w:rsidRPr="00043B8D">
        <w:t>het</w:t>
      </w:r>
      <w:r w:rsidR="00A920D9" w:rsidRPr="00043B8D">
        <w:t xml:space="preserve"> nodige detail in</w:t>
      </w:r>
      <w:r w:rsidR="007824C6" w:rsidRPr="00043B8D">
        <w:t xml:space="preserve"> de</w:t>
      </w:r>
      <w:r w:rsidR="00A920D9" w:rsidRPr="00043B8D">
        <w:t xml:space="preserve"> rapportering</w:t>
      </w:r>
      <w:r w:rsidR="007810BD" w:rsidRPr="00043B8D">
        <w:t>.</w:t>
      </w:r>
    </w:p>
    <w:p w14:paraId="30ADAC9D" w14:textId="77777777" w:rsidR="00137058" w:rsidRPr="00043B8D" w:rsidRDefault="00137058" w:rsidP="008B65B1"/>
    <w:p w14:paraId="11C3D981" w14:textId="671961F4" w:rsidR="00D24DCD" w:rsidRPr="00043B8D" w:rsidRDefault="00D24DCD" w:rsidP="00421AB2">
      <w:r w:rsidRPr="00043B8D">
        <w:t xml:space="preserve">De jaarrekeningen van de distributienetbeheerders tonen aan dat er op de kosten </w:t>
      </w:r>
      <w:r w:rsidR="00421AB2" w:rsidRPr="00043B8D">
        <w:t xml:space="preserve">met inkomstenbegrenzing </w:t>
      </w:r>
      <w:r w:rsidRPr="00043B8D">
        <w:t xml:space="preserve">door alle Vlaamse elektriciteits- en aardgasdistributienetbeheerders </w:t>
      </w:r>
      <w:r w:rsidR="00AD571B" w:rsidRPr="00043B8D">
        <w:t xml:space="preserve">extra </w:t>
      </w:r>
      <w:r w:rsidRPr="00043B8D">
        <w:t xml:space="preserve">winsten </w:t>
      </w:r>
      <w:r w:rsidR="00421AB2" w:rsidRPr="00043B8D">
        <w:t xml:space="preserve">werden </w:t>
      </w:r>
      <w:r w:rsidRPr="00043B8D">
        <w:t xml:space="preserve">gemaakt. Dit </w:t>
      </w:r>
      <w:r w:rsidR="00AD571B" w:rsidRPr="00043B8D">
        <w:t xml:space="preserve">wijst </w:t>
      </w:r>
      <w:r w:rsidR="00F1042E" w:rsidRPr="00043B8D">
        <w:t xml:space="preserve">op de aanwezigheid van </w:t>
      </w:r>
      <w:r w:rsidR="009E7181" w:rsidRPr="00043B8D">
        <w:t>de</w:t>
      </w:r>
      <w:r w:rsidR="00F1042E" w:rsidRPr="00043B8D">
        <w:t xml:space="preserve"> </w:t>
      </w:r>
      <w:r w:rsidR="0020409D" w:rsidRPr="00043B8D">
        <w:t xml:space="preserve">incentive </w:t>
      </w:r>
      <w:r w:rsidR="00421AB2" w:rsidRPr="00043B8D">
        <w:t xml:space="preserve">tot efficiëntie bij </w:t>
      </w:r>
      <w:r w:rsidR="00554FE8" w:rsidRPr="00043B8D">
        <w:t>inkomstenregulering</w:t>
      </w:r>
      <w:r w:rsidR="002D1E13" w:rsidRPr="00043B8D">
        <w:t xml:space="preserve"> of toont aan dat </w:t>
      </w:r>
      <w:r w:rsidR="00B618D8" w:rsidRPr="00043B8D">
        <w:t>e</w:t>
      </w:r>
      <w:r w:rsidR="00421AB2" w:rsidRPr="00043B8D">
        <w:t>e</w:t>
      </w:r>
      <w:r w:rsidR="00B618D8" w:rsidRPr="00043B8D">
        <w:t>n</w:t>
      </w:r>
      <w:r w:rsidR="00421AB2" w:rsidRPr="00043B8D">
        <w:t xml:space="preserve"> regulator</w:t>
      </w:r>
      <w:r w:rsidR="002D1E13" w:rsidRPr="00043B8D">
        <w:t xml:space="preserve"> effectief </w:t>
      </w:r>
      <w:r w:rsidR="003F17B7" w:rsidRPr="00043B8D">
        <w:t>kampt met een informatieachterstand ten opzichte van de ondernemingen</w:t>
      </w:r>
      <w:r w:rsidR="00421AB2" w:rsidRPr="00043B8D">
        <w:t>.</w:t>
      </w:r>
    </w:p>
    <w:p w14:paraId="217BF4DE" w14:textId="77777777" w:rsidR="00137058" w:rsidRPr="00043B8D" w:rsidRDefault="00137058" w:rsidP="00F1042E"/>
    <w:p w14:paraId="2B6DBBAC" w14:textId="4B3CEBC9" w:rsidR="002C62EA" w:rsidRPr="00043B8D" w:rsidRDefault="00F01EF3" w:rsidP="00566EF7">
      <w:r w:rsidRPr="00043B8D">
        <w:t>De s</w:t>
      </w:r>
      <w:r w:rsidR="003B1EEB" w:rsidRPr="00043B8D">
        <w:t xml:space="preserve">aldi </w:t>
      </w:r>
      <w:r w:rsidR="00EE794A" w:rsidRPr="00043B8D">
        <w:t xml:space="preserve">die </w:t>
      </w:r>
      <w:r w:rsidR="003B1EEB" w:rsidRPr="00043B8D">
        <w:t xml:space="preserve">ontstaan tussen </w:t>
      </w:r>
      <w:r w:rsidR="00566EF7" w:rsidRPr="00043B8D">
        <w:t xml:space="preserve">de </w:t>
      </w:r>
      <w:r w:rsidR="003B1EEB" w:rsidRPr="00043B8D">
        <w:t xml:space="preserve">werkelijke kosten en </w:t>
      </w:r>
      <w:r w:rsidR="00AF0620" w:rsidRPr="00043B8D">
        <w:t xml:space="preserve">de werkelijke </w:t>
      </w:r>
      <w:r w:rsidR="0094426C" w:rsidRPr="00043B8D">
        <w:t xml:space="preserve">inkomsten </w:t>
      </w:r>
      <w:r w:rsidR="00AF0620" w:rsidRPr="00043B8D">
        <w:t xml:space="preserve">uit distributienettarieven </w:t>
      </w:r>
      <w:r w:rsidR="002C62EA" w:rsidRPr="00043B8D">
        <w:t xml:space="preserve">kunnen </w:t>
      </w:r>
      <w:r w:rsidR="009B25A8" w:rsidRPr="00043B8D">
        <w:t xml:space="preserve">in een rendementsregulering </w:t>
      </w:r>
      <w:r w:rsidR="00F1042E" w:rsidRPr="00043B8D">
        <w:t xml:space="preserve">normaal </w:t>
      </w:r>
      <w:r w:rsidR="002C62EA" w:rsidRPr="00043B8D">
        <w:t xml:space="preserve">snel </w:t>
      </w:r>
      <w:r w:rsidR="004543F2" w:rsidRPr="00043B8D">
        <w:t xml:space="preserve">verwerkt </w:t>
      </w:r>
      <w:r w:rsidR="002C62EA" w:rsidRPr="00043B8D">
        <w:t xml:space="preserve">worden </w:t>
      </w:r>
      <w:r w:rsidR="003B1EEB" w:rsidRPr="00043B8D">
        <w:t xml:space="preserve">in </w:t>
      </w:r>
      <w:r w:rsidR="0094426C" w:rsidRPr="00043B8D">
        <w:t xml:space="preserve">de </w:t>
      </w:r>
      <w:r w:rsidR="003B1EEB" w:rsidRPr="00043B8D">
        <w:t xml:space="preserve">volgende distributienettarieven. </w:t>
      </w:r>
      <w:r w:rsidR="0094426C" w:rsidRPr="00043B8D">
        <w:t xml:space="preserve">Het biedt </w:t>
      </w:r>
      <w:r w:rsidR="004543F2" w:rsidRPr="00043B8D">
        <w:t xml:space="preserve">geen </w:t>
      </w:r>
      <w:r w:rsidR="002C62EA" w:rsidRPr="00043B8D">
        <w:t xml:space="preserve">bepaald </w:t>
      </w:r>
      <w:r w:rsidR="004543F2" w:rsidRPr="00043B8D">
        <w:t xml:space="preserve">voordeel </w:t>
      </w:r>
      <w:r w:rsidR="009B25A8" w:rsidRPr="00043B8D">
        <w:t xml:space="preserve">de </w:t>
      </w:r>
      <w:r w:rsidR="00566EF7" w:rsidRPr="00043B8D">
        <w:t xml:space="preserve">saldi </w:t>
      </w:r>
      <w:r w:rsidR="002C62EA" w:rsidRPr="00043B8D">
        <w:t>een tijd niet door te rekenen en op te bouwen</w:t>
      </w:r>
      <w:r w:rsidR="004543F2" w:rsidRPr="00043B8D">
        <w:t xml:space="preserve">, </w:t>
      </w:r>
      <w:r w:rsidR="002C62EA" w:rsidRPr="00043B8D">
        <w:t xml:space="preserve">zeker omdat dit uiteindelijk kan </w:t>
      </w:r>
      <w:r w:rsidR="004543F2" w:rsidRPr="00043B8D">
        <w:t>leiden tot tarief</w:t>
      </w:r>
      <w:r w:rsidR="00F1042E" w:rsidRPr="00043B8D">
        <w:t>schokken</w:t>
      </w:r>
      <w:r w:rsidR="009B25A8" w:rsidRPr="00043B8D">
        <w:t xml:space="preserve">. </w:t>
      </w:r>
      <w:r w:rsidR="004543F2" w:rsidRPr="00043B8D">
        <w:t xml:space="preserve">In </w:t>
      </w:r>
      <w:r w:rsidR="00AF150C" w:rsidRPr="00043B8D">
        <w:t>de tarieven</w:t>
      </w:r>
      <w:r w:rsidR="009E7181" w:rsidRPr="00043B8D">
        <w:t>-</w:t>
      </w:r>
      <w:r w:rsidR="00AF150C" w:rsidRPr="00043B8D">
        <w:t xml:space="preserve">KB’s </w:t>
      </w:r>
      <w:r w:rsidR="005F719A" w:rsidRPr="00043B8D">
        <w:t xml:space="preserve">2008 </w:t>
      </w:r>
      <w:r w:rsidR="003B1EEB" w:rsidRPr="00043B8D">
        <w:t>w</w:t>
      </w:r>
      <w:r w:rsidRPr="00043B8D">
        <w:t>e</w:t>
      </w:r>
      <w:r w:rsidR="003B1EEB" w:rsidRPr="00043B8D">
        <w:t xml:space="preserve">rd </w:t>
      </w:r>
      <w:r w:rsidR="002C62EA" w:rsidRPr="00043B8D">
        <w:t xml:space="preserve">opgelegd te werken </w:t>
      </w:r>
      <w:r w:rsidR="00566EF7" w:rsidRPr="00043B8D">
        <w:t xml:space="preserve">met distributienettarieven voor </w:t>
      </w:r>
      <w:r w:rsidR="003B1EEB" w:rsidRPr="00043B8D">
        <w:t xml:space="preserve">een </w:t>
      </w:r>
      <w:r w:rsidR="00566EF7" w:rsidRPr="00043B8D">
        <w:t>regulerings</w:t>
      </w:r>
      <w:r w:rsidR="003B1EEB" w:rsidRPr="00043B8D">
        <w:t xml:space="preserve">periode </w:t>
      </w:r>
      <w:r w:rsidRPr="00043B8D">
        <w:t xml:space="preserve">van </w:t>
      </w:r>
      <w:r w:rsidR="003B1EEB" w:rsidRPr="00043B8D">
        <w:t xml:space="preserve">vier jaar. </w:t>
      </w:r>
      <w:r w:rsidR="00AF150C" w:rsidRPr="00043B8D">
        <w:t xml:space="preserve">Een </w:t>
      </w:r>
      <w:r w:rsidR="005A5A95" w:rsidRPr="00043B8D">
        <w:t xml:space="preserve">periode </w:t>
      </w:r>
      <w:r w:rsidR="00AF150C" w:rsidRPr="00043B8D">
        <w:t xml:space="preserve">van vier jaar is aannemelijk voor </w:t>
      </w:r>
      <w:r w:rsidR="0042189E" w:rsidRPr="00043B8D">
        <w:t>het onderdeel</w:t>
      </w:r>
      <w:r w:rsidR="00AF150C" w:rsidRPr="00043B8D">
        <w:t xml:space="preserve"> </w:t>
      </w:r>
      <w:r w:rsidR="00566EF7" w:rsidRPr="00043B8D">
        <w:t>inkomsten</w:t>
      </w:r>
      <w:r w:rsidR="004543F2" w:rsidRPr="00043B8D">
        <w:t xml:space="preserve">regulering </w:t>
      </w:r>
      <w:r w:rsidR="00AF150C" w:rsidRPr="00043B8D">
        <w:t>maar kan een risico vormen onder een rendementsregulering</w:t>
      </w:r>
      <w:r w:rsidR="003B1EEB" w:rsidRPr="00043B8D">
        <w:t>.</w:t>
      </w:r>
      <w:r w:rsidR="002C62EA" w:rsidRPr="00043B8D">
        <w:t xml:space="preserve"> </w:t>
      </w:r>
      <w:r w:rsidR="00A85779" w:rsidRPr="00043B8D">
        <w:t xml:space="preserve">De botsende onderliggende tariefmethoden </w:t>
      </w:r>
      <w:r w:rsidR="0042189E" w:rsidRPr="00043B8D">
        <w:t xml:space="preserve">binnen een </w:t>
      </w:r>
      <w:r w:rsidR="00A85779" w:rsidRPr="00043B8D">
        <w:t>reguleringsperiode maken het geheel</w:t>
      </w:r>
      <w:r w:rsidR="00397BB2" w:rsidRPr="00043B8D">
        <w:t>,</w:t>
      </w:r>
      <w:r w:rsidR="00A85779" w:rsidRPr="00043B8D">
        <w:t xml:space="preserve"> </w:t>
      </w:r>
      <w:r w:rsidR="00AF150C" w:rsidRPr="00043B8D">
        <w:t>naar het oordeel van de VREG</w:t>
      </w:r>
      <w:r w:rsidR="00397BB2" w:rsidRPr="00043B8D">
        <w:t>,</w:t>
      </w:r>
      <w:r w:rsidR="00AF150C" w:rsidRPr="00043B8D">
        <w:t xml:space="preserve"> </w:t>
      </w:r>
      <w:r w:rsidR="00A85779" w:rsidRPr="00043B8D">
        <w:t>weinig flexibel en transparant.</w:t>
      </w:r>
    </w:p>
    <w:p w14:paraId="2BC572DA" w14:textId="77777777" w:rsidR="0094426C" w:rsidRPr="00043B8D" w:rsidRDefault="0094426C" w:rsidP="00566EF7"/>
    <w:p w14:paraId="50D3E5F8" w14:textId="705E855B" w:rsidR="009A4945" w:rsidRPr="00043B8D" w:rsidRDefault="004F451F" w:rsidP="00E661B4">
      <w:r w:rsidRPr="00043B8D">
        <w:t>Gezien de vermelde beperkingen en nadelen</w:t>
      </w:r>
      <w:r w:rsidR="007824C6" w:rsidRPr="00043B8D">
        <w:t>,</w:t>
      </w:r>
      <w:r w:rsidRPr="00043B8D">
        <w:t xml:space="preserve"> eigen aan</w:t>
      </w:r>
      <w:r w:rsidR="00E41C51" w:rsidRPr="00043B8D">
        <w:t xml:space="preserve"> het hybride model volgens tarieven-KB’s 2008</w:t>
      </w:r>
      <w:r w:rsidRPr="00043B8D">
        <w:t xml:space="preserve">, </w:t>
      </w:r>
      <w:r w:rsidR="00AF0620" w:rsidRPr="00043B8D">
        <w:t xml:space="preserve">zal </w:t>
      </w:r>
      <w:r w:rsidRPr="00043B8D">
        <w:t>de VREG een aa</w:t>
      </w:r>
      <w:r w:rsidR="00AF0620" w:rsidRPr="00043B8D">
        <w:t>ngepaste tariefmethodologie toe</w:t>
      </w:r>
      <w:r w:rsidRPr="00043B8D">
        <w:t>passen.</w:t>
      </w:r>
    </w:p>
    <w:p w14:paraId="6C2A2D96" w14:textId="77777777" w:rsidR="006B07BB" w:rsidRPr="00043B8D" w:rsidRDefault="006B07BB">
      <w:pPr>
        <w:jc w:val="left"/>
      </w:pPr>
      <w:r w:rsidRPr="00043B8D">
        <w:br w:type="page"/>
      </w:r>
    </w:p>
    <w:p w14:paraId="2923D32C" w14:textId="77777777" w:rsidR="0086297F" w:rsidRPr="00043B8D" w:rsidRDefault="00137879" w:rsidP="00615724">
      <w:pPr>
        <w:pStyle w:val="Kop1"/>
      </w:pPr>
      <w:bookmarkStart w:id="208" w:name="_Toc454186654"/>
      <w:r w:rsidRPr="00043B8D">
        <w:t>E</w:t>
      </w:r>
      <w:r w:rsidR="00B532CD" w:rsidRPr="00043B8D">
        <w:t>conomische regulering</w:t>
      </w:r>
      <w:r w:rsidRPr="00043B8D">
        <w:t xml:space="preserve"> door VREG</w:t>
      </w:r>
      <w:bookmarkEnd w:id="208"/>
    </w:p>
    <w:p w14:paraId="5E69063D" w14:textId="77777777" w:rsidR="009A4945" w:rsidRPr="00043B8D" w:rsidRDefault="009A4945" w:rsidP="009A4945"/>
    <w:p w14:paraId="5E620B42" w14:textId="77777777" w:rsidR="00E348AD" w:rsidRPr="00043B8D" w:rsidRDefault="00E348AD" w:rsidP="005251E2">
      <w:pPr>
        <w:pStyle w:val="Lijstalinea"/>
        <w:keepNext/>
        <w:numPr>
          <w:ilvl w:val="0"/>
          <w:numId w:val="24"/>
        </w:numPr>
        <w:spacing w:before="240" w:after="60"/>
        <w:jc w:val="left"/>
        <w:outlineLvl w:val="1"/>
        <w:rPr>
          <w:rFonts w:cs="Arial"/>
          <w:b/>
          <w:bCs/>
          <w:iCs/>
          <w:vanish/>
          <w:sz w:val="26"/>
          <w:szCs w:val="28"/>
        </w:rPr>
      </w:pPr>
      <w:bookmarkStart w:id="209" w:name="_Toc389665157"/>
      <w:bookmarkStart w:id="210" w:name="_Toc389665206"/>
      <w:bookmarkStart w:id="211" w:name="_Toc389806968"/>
      <w:bookmarkStart w:id="212" w:name="_Toc389832795"/>
      <w:bookmarkStart w:id="213" w:name="_Toc389833683"/>
      <w:bookmarkStart w:id="214" w:name="_Toc390163216"/>
      <w:bookmarkStart w:id="215" w:name="_Toc390170067"/>
      <w:bookmarkStart w:id="216" w:name="_Toc390170122"/>
      <w:bookmarkStart w:id="217" w:name="_Toc390171713"/>
      <w:bookmarkStart w:id="218" w:name="_Toc390240901"/>
      <w:bookmarkStart w:id="219" w:name="_Toc390246166"/>
      <w:bookmarkStart w:id="220" w:name="_Toc390266639"/>
      <w:bookmarkStart w:id="221" w:name="_Toc390266705"/>
      <w:bookmarkStart w:id="222" w:name="_Toc390267745"/>
      <w:bookmarkStart w:id="223" w:name="_Toc390333367"/>
      <w:bookmarkStart w:id="224" w:name="_Toc390335103"/>
      <w:bookmarkStart w:id="225" w:name="_Toc390336420"/>
      <w:bookmarkStart w:id="226" w:name="_Toc390344731"/>
      <w:bookmarkStart w:id="227" w:name="_Toc390344822"/>
      <w:bookmarkStart w:id="228" w:name="_Toc390344901"/>
      <w:bookmarkStart w:id="229" w:name="_Toc390345136"/>
      <w:bookmarkStart w:id="230" w:name="_Toc390355251"/>
      <w:bookmarkStart w:id="231" w:name="_Toc390415376"/>
      <w:bookmarkStart w:id="232" w:name="_Toc390419380"/>
      <w:bookmarkStart w:id="233" w:name="_Toc390419449"/>
      <w:bookmarkStart w:id="234" w:name="_Toc390422222"/>
      <w:bookmarkStart w:id="235" w:name="_Toc390429248"/>
      <w:bookmarkStart w:id="236" w:name="_Toc390765256"/>
      <w:bookmarkStart w:id="237" w:name="_Toc390931299"/>
      <w:bookmarkStart w:id="238" w:name="_Toc390933372"/>
      <w:bookmarkStart w:id="239" w:name="_Toc390947753"/>
      <w:bookmarkStart w:id="240" w:name="_Toc390948451"/>
      <w:bookmarkStart w:id="241" w:name="_Toc391901665"/>
      <w:bookmarkStart w:id="242" w:name="_Toc391901744"/>
      <w:bookmarkStart w:id="243" w:name="_Toc391901848"/>
      <w:bookmarkStart w:id="244" w:name="_Toc391971139"/>
      <w:bookmarkStart w:id="245" w:name="_Toc391971944"/>
      <w:bookmarkStart w:id="246" w:name="_Toc391999539"/>
      <w:bookmarkStart w:id="247" w:name="_Toc392057025"/>
      <w:bookmarkStart w:id="248" w:name="_Toc392058095"/>
      <w:bookmarkStart w:id="249" w:name="_Toc392059015"/>
      <w:bookmarkStart w:id="250" w:name="_Toc392059098"/>
      <w:bookmarkStart w:id="251" w:name="_Toc392233044"/>
      <w:bookmarkStart w:id="252" w:name="_Toc392484764"/>
      <w:bookmarkStart w:id="253" w:name="_Toc392498958"/>
      <w:bookmarkStart w:id="254" w:name="_Toc392584556"/>
      <w:bookmarkStart w:id="255" w:name="_Toc392585943"/>
      <w:bookmarkStart w:id="256" w:name="_Toc392589707"/>
      <w:bookmarkStart w:id="257" w:name="_Toc392589849"/>
      <w:bookmarkStart w:id="258" w:name="_Toc392589938"/>
      <w:bookmarkStart w:id="259" w:name="_Toc392676035"/>
      <w:bookmarkStart w:id="260" w:name="_Toc392686891"/>
      <w:bookmarkStart w:id="261" w:name="_Toc392686976"/>
      <w:bookmarkStart w:id="262" w:name="_Toc392688074"/>
      <w:bookmarkStart w:id="263" w:name="_Toc392768393"/>
      <w:bookmarkStart w:id="264" w:name="_Toc392768689"/>
      <w:bookmarkStart w:id="265" w:name="_Toc392772124"/>
      <w:bookmarkStart w:id="266" w:name="_Toc393093599"/>
      <w:bookmarkStart w:id="267" w:name="_Toc393093791"/>
      <w:bookmarkStart w:id="268" w:name="_Toc393201066"/>
      <w:bookmarkStart w:id="269" w:name="_Toc393201151"/>
      <w:bookmarkStart w:id="270" w:name="_Toc393201630"/>
      <w:bookmarkStart w:id="271" w:name="_Toc393201715"/>
      <w:bookmarkStart w:id="272" w:name="_Toc393205480"/>
      <w:bookmarkStart w:id="273" w:name="_Toc393266952"/>
      <w:bookmarkStart w:id="274" w:name="_Toc398642098"/>
      <w:bookmarkStart w:id="275" w:name="_Toc399421458"/>
      <w:bookmarkStart w:id="276" w:name="_Toc399749501"/>
      <w:bookmarkStart w:id="277" w:name="_Toc399749784"/>
      <w:bookmarkStart w:id="278" w:name="_Toc399749915"/>
      <w:bookmarkStart w:id="279" w:name="_Toc399767165"/>
      <w:bookmarkStart w:id="280" w:name="_Toc399767255"/>
      <w:bookmarkStart w:id="281" w:name="_Toc399846825"/>
      <w:bookmarkStart w:id="282" w:name="_Toc399847020"/>
      <w:bookmarkStart w:id="283" w:name="_Toc399848513"/>
      <w:bookmarkStart w:id="284" w:name="_Toc421105660"/>
      <w:bookmarkStart w:id="285" w:name="_Toc424033057"/>
      <w:bookmarkStart w:id="286" w:name="_Toc424038154"/>
      <w:bookmarkStart w:id="287" w:name="_Toc430157330"/>
      <w:bookmarkStart w:id="288" w:name="_Toc431470764"/>
      <w:bookmarkStart w:id="289" w:name="_Toc431470855"/>
      <w:bookmarkStart w:id="290" w:name="_Toc431470946"/>
      <w:bookmarkStart w:id="291" w:name="_Toc431471037"/>
      <w:bookmarkStart w:id="292" w:name="_Toc434257235"/>
      <w:bookmarkStart w:id="293" w:name="_Toc434407034"/>
      <w:bookmarkStart w:id="294" w:name="_Toc434407208"/>
      <w:bookmarkStart w:id="295" w:name="_Toc434407969"/>
      <w:bookmarkStart w:id="296" w:name="_Toc434408069"/>
      <w:bookmarkStart w:id="297" w:name="_Toc434408169"/>
      <w:bookmarkStart w:id="298" w:name="_Toc434408484"/>
      <w:bookmarkStart w:id="299" w:name="_Toc437246253"/>
      <w:bookmarkStart w:id="300" w:name="_Toc447635499"/>
      <w:bookmarkStart w:id="301" w:name="_Toc447722311"/>
      <w:bookmarkStart w:id="302" w:name="_Toc454186655"/>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14:paraId="5DE33CA8" w14:textId="37E4C4E3" w:rsidR="00887804" w:rsidRPr="00043B8D" w:rsidRDefault="00887804" w:rsidP="005251E2">
      <w:pPr>
        <w:pStyle w:val="Kop2"/>
        <w:numPr>
          <w:ilvl w:val="1"/>
          <w:numId w:val="24"/>
        </w:numPr>
      </w:pPr>
      <w:bookmarkStart w:id="303" w:name="_Toc454186656"/>
      <w:r w:rsidRPr="00043B8D">
        <w:t xml:space="preserve">Algemene </w:t>
      </w:r>
      <w:r w:rsidR="00C5401B" w:rsidRPr="00043B8D">
        <w:t>uitgangspunten</w:t>
      </w:r>
      <w:bookmarkEnd w:id="303"/>
    </w:p>
    <w:p w14:paraId="719ADD82" w14:textId="77777777" w:rsidR="00887804" w:rsidRPr="00043B8D" w:rsidRDefault="00887804" w:rsidP="00887804"/>
    <w:p w14:paraId="5D30B451" w14:textId="6D6A287B" w:rsidR="00887804" w:rsidRPr="00043B8D" w:rsidRDefault="003D5C4F" w:rsidP="00887804">
      <w:r w:rsidRPr="00043B8D">
        <w:t xml:space="preserve">In 2012 heeft de CREG beslist om de toen geldende tarieven te verlengen voor een periode van 2 jaar, zijnde de jaren 2013 en 2014. De CREG zag zich daartoe genoodzaakt als gevolg van de inwerkingtreding van de wet van 8 januari 2012, waardoor de procedure </w:t>
      </w:r>
      <w:r w:rsidR="006B7F5F" w:rsidRPr="00043B8D">
        <w:t>voor de vaststelling</w:t>
      </w:r>
      <w:r w:rsidRPr="00043B8D">
        <w:t xml:space="preserve"> van een tarifaire methodologie volledig opnieuw moest worden opgestart.</w:t>
      </w:r>
      <w:r w:rsidR="00F80914" w:rsidRPr="00043B8D">
        <w:rPr>
          <w:rStyle w:val="Voetnootmarkering"/>
        </w:rPr>
        <w:footnoteReference w:id="15"/>
      </w:r>
      <w:r w:rsidRPr="00043B8D">
        <w:t xml:space="preserve"> Mede daardoor, en ook omdat het inmiddels almaar duidelijker werd dat de bevoegdheid inzake distributienettarieven zou overgaan naar de Gewesten, ontbreekt het heden aan een tariefmethodologie. </w:t>
      </w:r>
      <w:r w:rsidR="00F61BE4" w:rsidRPr="00043B8D">
        <w:t xml:space="preserve">Bij gebrek aan </w:t>
      </w:r>
      <w:r w:rsidR="006B7F5F" w:rsidRPr="00043B8D">
        <w:t xml:space="preserve">een </w:t>
      </w:r>
      <w:r w:rsidR="00F61BE4" w:rsidRPr="00043B8D">
        <w:t>bestaande tariefmethodologie</w:t>
      </w:r>
      <w:r w:rsidR="006B7F5F" w:rsidRPr="00043B8D">
        <w:t xml:space="preserve"> en omdat de verlenging </w:t>
      </w:r>
      <w:r w:rsidR="00CE341B" w:rsidRPr="00043B8D">
        <w:t xml:space="preserve">van de distributienettarieven </w:t>
      </w:r>
      <w:r w:rsidR="006B7F5F" w:rsidRPr="00043B8D">
        <w:t>afloopt op 31 december 2014</w:t>
      </w:r>
      <w:r w:rsidR="00F61BE4" w:rsidRPr="00043B8D">
        <w:t xml:space="preserve"> dient de VREG nu een nieuwe tariefmethodologie voor te stellen. In deze paragraaf wenst de VREG te v</w:t>
      </w:r>
      <w:r w:rsidR="003528A1" w:rsidRPr="00043B8D">
        <w:t>erduidelijk</w:t>
      </w:r>
      <w:r w:rsidR="00F61BE4" w:rsidRPr="00043B8D">
        <w:t>e</w:t>
      </w:r>
      <w:r w:rsidR="003528A1" w:rsidRPr="00043B8D">
        <w:t>n</w:t>
      </w:r>
      <w:r w:rsidR="00F61BE4" w:rsidRPr="00043B8D">
        <w:t xml:space="preserve"> met welke elementen hij alvast wenst rekening te houden bij de opbouw van een nieuwe </w:t>
      </w:r>
      <w:r w:rsidR="00887804" w:rsidRPr="00043B8D">
        <w:t>tariefmethodologie</w:t>
      </w:r>
      <w:r w:rsidR="00F61BE4" w:rsidRPr="00043B8D">
        <w:t>. De hier opgesomde punten zijn niet limitatief.</w:t>
      </w:r>
    </w:p>
    <w:p w14:paraId="30827D70" w14:textId="77777777" w:rsidR="009A4945" w:rsidRPr="00043B8D" w:rsidRDefault="009A4945" w:rsidP="00887804"/>
    <w:p w14:paraId="19130EC0" w14:textId="77777777" w:rsidR="00250FE1" w:rsidRPr="00043B8D" w:rsidRDefault="00250FE1" w:rsidP="005251E2">
      <w:pPr>
        <w:pStyle w:val="Kop2"/>
        <w:numPr>
          <w:ilvl w:val="2"/>
          <w:numId w:val="24"/>
        </w:numPr>
        <w:ind w:left="993" w:hanging="993"/>
        <w:rPr>
          <w:i/>
          <w:sz w:val="22"/>
          <w:szCs w:val="22"/>
        </w:rPr>
      </w:pPr>
      <w:bookmarkStart w:id="304" w:name="_Toc454186657"/>
      <w:r w:rsidRPr="00043B8D">
        <w:rPr>
          <w:i/>
          <w:sz w:val="22"/>
          <w:szCs w:val="22"/>
        </w:rPr>
        <w:t>Stimuleren van efficiënte bedrijfsvoering</w:t>
      </w:r>
      <w:bookmarkEnd w:id="304"/>
    </w:p>
    <w:p w14:paraId="0B29A628" w14:textId="77777777" w:rsidR="00250FE1" w:rsidRPr="00043B8D" w:rsidRDefault="00250FE1" w:rsidP="00250FE1"/>
    <w:p w14:paraId="57D80E2B" w14:textId="1660B9B0" w:rsidR="00250FE1" w:rsidRPr="00043B8D" w:rsidRDefault="00DD0DAC" w:rsidP="00250FE1">
      <w:r w:rsidRPr="00043B8D">
        <w:t>De VREG is van oordeel</w:t>
      </w:r>
      <w:r w:rsidR="00D6225F" w:rsidRPr="00043B8D">
        <w:t xml:space="preserve">, conform de bepalingen van </w:t>
      </w:r>
      <w:r w:rsidR="00201DD0" w:rsidRPr="00043B8D">
        <w:t>Richtlijn 2009/72/EG</w:t>
      </w:r>
      <w:r w:rsidR="00743F20" w:rsidRPr="00043B8D">
        <w:t xml:space="preserve"> en </w:t>
      </w:r>
      <w:r w:rsidR="00201DD0" w:rsidRPr="00043B8D">
        <w:t>Richtlijn 2009/73/EG</w:t>
      </w:r>
      <w:r w:rsidR="00D6225F" w:rsidRPr="00043B8D">
        <w:t>,</w:t>
      </w:r>
      <w:r w:rsidRPr="00043B8D">
        <w:t xml:space="preserve"> dat de distributienetbeheerders </w:t>
      </w:r>
      <w:r w:rsidR="00CE341B" w:rsidRPr="00043B8D">
        <w:t xml:space="preserve">passend </w:t>
      </w:r>
      <w:r w:rsidRPr="00043B8D">
        <w:t>moeten gestimuleerd worden tot een kostenefficiënte</w:t>
      </w:r>
      <w:r w:rsidR="002203A0" w:rsidRPr="00043B8D">
        <w:t>,</w:t>
      </w:r>
      <w:r w:rsidRPr="00043B8D">
        <w:t xml:space="preserve"> doelmatige uitvoering van </w:t>
      </w:r>
      <w:r w:rsidR="002203A0" w:rsidRPr="00043B8D">
        <w:t xml:space="preserve">de </w:t>
      </w:r>
      <w:r w:rsidRPr="00043B8D">
        <w:t>gereguleerde activiteiten. De tariefmethode zal in de mate van het mogelijke voor deze ondernemingen</w:t>
      </w:r>
      <w:r w:rsidR="00C949D9" w:rsidRPr="00043B8D">
        <w:t>,</w:t>
      </w:r>
      <w:r w:rsidR="00E91AFA" w:rsidRPr="00043B8D">
        <w:t xml:space="preserve"> die worden</w:t>
      </w:r>
      <w:r w:rsidRPr="00043B8D">
        <w:t xml:space="preserve"> </w:t>
      </w:r>
      <w:r w:rsidR="00FD6504" w:rsidRPr="00043B8D">
        <w:t xml:space="preserve">gekenmerkt door </w:t>
      </w:r>
      <w:r w:rsidRPr="00043B8D">
        <w:t>een natuurlijk monopolie</w:t>
      </w:r>
      <w:r w:rsidR="00E91AFA" w:rsidRPr="00043B8D">
        <w:t>,</w:t>
      </w:r>
      <w:r w:rsidRPr="00043B8D">
        <w:t xml:space="preserve"> </w:t>
      </w:r>
      <w:r w:rsidR="002203A0" w:rsidRPr="00043B8D">
        <w:t>een vorm van comp</w:t>
      </w:r>
      <w:r w:rsidR="00C63022" w:rsidRPr="00043B8D">
        <w:t>e</w:t>
      </w:r>
      <w:r w:rsidR="002203A0" w:rsidRPr="00043B8D">
        <w:t xml:space="preserve">titieve omgeving </w:t>
      </w:r>
      <w:r w:rsidRPr="00043B8D">
        <w:t>nabootsen.</w:t>
      </w:r>
    </w:p>
    <w:p w14:paraId="16A465F5" w14:textId="77777777" w:rsidR="009A4945" w:rsidRPr="00043B8D" w:rsidRDefault="009A4945" w:rsidP="00250FE1"/>
    <w:p w14:paraId="3BE835C8" w14:textId="77777777" w:rsidR="00AB4D9F" w:rsidRPr="00043B8D" w:rsidRDefault="00AB4D9F" w:rsidP="005251E2">
      <w:pPr>
        <w:pStyle w:val="Kop2"/>
        <w:numPr>
          <w:ilvl w:val="2"/>
          <w:numId w:val="24"/>
        </w:numPr>
        <w:ind w:left="993" w:hanging="993"/>
        <w:rPr>
          <w:i/>
          <w:sz w:val="22"/>
          <w:szCs w:val="22"/>
        </w:rPr>
      </w:pPr>
      <w:bookmarkStart w:id="305" w:name="_Toc454186658"/>
      <w:r w:rsidRPr="00043B8D">
        <w:rPr>
          <w:i/>
          <w:sz w:val="22"/>
          <w:szCs w:val="22"/>
        </w:rPr>
        <w:t xml:space="preserve">Erkenning van </w:t>
      </w:r>
      <w:r w:rsidR="00340578" w:rsidRPr="00043B8D">
        <w:rPr>
          <w:i/>
          <w:sz w:val="22"/>
          <w:szCs w:val="22"/>
        </w:rPr>
        <w:t xml:space="preserve">principe van </w:t>
      </w:r>
      <w:r w:rsidRPr="00043B8D">
        <w:rPr>
          <w:i/>
          <w:sz w:val="22"/>
          <w:szCs w:val="22"/>
        </w:rPr>
        <w:t>informatiea</w:t>
      </w:r>
      <w:r w:rsidR="0098460C" w:rsidRPr="00043B8D">
        <w:rPr>
          <w:i/>
          <w:sz w:val="22"/>
          <w:szCs w:val="22"/>
        </w:rPr>
        <w:t>symmetrie</w:t>
      </w:r>
      <w:bookmarkEnd w:id="305"/>
    </w:p>
    <w:p w14:paraId="566401F6" w14:textId="77777777" w:rsidR="00AB4D9F" w:rsidRPr="00043B8D" w:rsidRDefault="00AB4D9F" w:rsidP="00887804"/>
    <w:p w14:paraId="55AC1F12" w14:textId="1AC330F0" w:rsidR="00A76311" w:rsidRPr="00043B8D" w:rsidRDefault="00887804" w:rsidP="00AB4D9F">
      <w:r w:rsidRPr="00043B8D">
        <w:t xml:space="preserve">De methode </w:t>
      </w:r>
      <w:r w:rsidR="005B0198" w:rsidRPr="00043B8D">
        <w:t xml:space="preserve">dient het </w:t>
      </w:r>
      <w:r w:rsidR="00EE3F2E" w:rsidRPr="00043B8D">
        <w:t xml:space="preserve">in de studies en </w:t>
      </w:r>
      <w:r w:rsidR="000337DF" w:rsidRPr="00043B8D">
        <w:t xml:space="preserve">de </w:t>
      </w:r>
      <w:r w:rsidR="00EE3F2E" w:rsidRPr="00043B8D">
        <w:t xml:space="preserve">literatuur </w:t>
      </w:r>
      <w:r w:rsidR="005B0198" w:rsidRPr="00043B8D">
        <w:t xml:space="preserve">algemeen gekende principe van </w:t>
      </w:r>
      <w:r w:rsidRPr="00043B8D">
        <w:t xml:space="preserve">de informatieachterstand van </w:t>
      </w:r>
      <w:r w:rsidR="00552819" w:rsidRPr="00043B8D">
        <w:t>de</w:t>
      </w:r>
      <w:r w:rsidRPr="00043B8D">
        <w:t xml:space="preserve"> regulator ten opzicht</w:t>
      </w:r>
      <w:r w:rsidR="00F32F6F" w:rsidRPr="00043B8D">
        <w:t>e</w:t>
      </w:r>
      <w:r w:rsidRPr="00043B8D">
        <w:t xml:space="preserve"> van </w:t>
      </w:r>
      <w:r w:rsidR="00981017" w:rsidRPr="00043B8D">
        <w:t xml:space="preserve">de </w:t>
      </w:r>
      <w:r w:rsidRPr="00043B8D">
        <w:t xml:space="preserve">gereguleerde </w:t>
      </w:r>
      <w:r w:rsidR="00981017" w:rsidRPr="00043B8D">
        <w:t xml:space="preserve">onderneming </w:t>
      </w:r>
      <w:r w:rsidR="005B0198" w:rsidRPr="00043B8D">
        <w:t>te erkennen en te respecteren</w:t>
      </w:r>
      <w:r w:rsidRPr="00043B8D">
        <w:t xml:space="preserve">. </w:t>
      </w:r>
      <w:r w:rsidR="00457E35" w:rsidRPr="00043B8D">
        <w:t>Het netbedrijf heeft een informatievoorsprong ten opzichte van de regulator. H</w:t>
      </w:r>
      <w:r w:rsidR="00A35A77" w:rsidRPr="00043B8D">
        <w:t xml:space="preserve">et </w:t>
      </w:r>
      <w:r w:rsidR="00457E35" w:rsidRPr="00043B8D">
        <w:t xml:space="preserve">weet beter dan </w:t>
      </w:r>
      <w:r w:rsidR="00981017" w:rsidRPr="00043B8D">
        <w:t xml:space="preserve">wie ook </w:t>
      </w:r>
      <w:r w:rsidR="00457E35" w:rsidRPr="00043B8D">
        <w:t xml:space="preserve">waar processen en procedures </w:t>
      </w:r>
      <w:r w:rsidR="00B952FD" w:rsidRPr="00043B8D">
        <w:t xml:space="preserve">intern </w:t>
      </w:r>
      <w:r w:rsidR="00A35A77" w:rsidRPr="00043B8D">
        <w:t>kunnen ge</w:t>
      </w:r>
      <w:r w:rsidR="00457E35" w:rsidRPr="00043B8D">
        <w:t>optimalise</w:t>
      </w:r>
      <w:r w:rsidR="00A35A77" w:rsidRPr="00043B8D">
        <w:t>e</w:t>
      </w:r>
      <w:r w:rsidR="00457E35" w:rsidRPr="00043B8D">
        <w:t>r</w:t>
      </w:r>
      <w:r w:rsidR="00A35A77" w:rsidRPr="00043B8D">
        <w:t>d worden</w:t>
      </w:r>
      <w:r w:rsidR="001D2AB5" w:rsidRPr="00043B8D">
        <w:t xml:space="preserve"> en </w:t>
      </w:r>
      <w:r w:rsidR="00457E35" w:rsidRPr="00043B8D">
        <w:t xml:space="preserve">er opportuniteiten </w:t>
      </w:r>
      <w:r w:rsidR="00981017" w:rsidRPr="00043B8D">
        <w:t xml:space="preserve">voor kostenbesparingen </w:t>
      </w:r>
      <w:r w:rsidR="00457E35" w:rsidRPr="00043B8D">
        <w:t xml:space="preserve">liggen. </w:t>
      </w:r>
      <w:r w:rsidR="00C26B43" w:rsidRPr="00043B8D">
        <w:t xml:space="preserve">Toch zal </w:t>
      </w:r>
      <w:r w:rsidR="00A35A77" w:rsidRPr="00043B8D">
        <w:t xml:space="preserve">de onderneming </w:t>
      </w:r>
      <w:r w:rsidR="00C26B43" w:rsidRPr="00043B8D">
        <w:t xml:space="preserve">niet geneigd zijn om deze informatie te delen met de </w:t>
      </w:r>
      <w:r w:rsidR="00943BD0" w:rsidRPr="00043B8D">
        <w:t>regulator</w:t>
      </w:r>
      <w:r w:rsidR="00700B8C" w:rsidRPr="00043B8D">
        <w:t xml:space="preserve"> opdat </w:t>
      </w:r>
      <w:r w:rsidR="00943BD0" w:rsidRPr="00043B8D">
        <w:t xml:space="preserve">hij </w:t>
      </w:r>
      <w:r w:rsidR="002F1BDB" w:rsidRPr="00043B8D">
        <w:t xml:space="preserve">de </w:t>
      </w:r>
      <w:r w:rsidR="00700B8C" w:rsidRPr="00043B8D">
        <w:t>distributienettarieven</w:t>
      </w:r>
      <w:r w:rsidR="00A35A77" w:rsidRPr="00043B8D">
        <w:t xml:space="preserve"> </w:t>
      </w:r>
      <w:r w:rsidR="00700B8C" w:rsidRPr="00043B8D">
        <w:t xml:space="preserve">niet </w:t>
      </w:r>
      <w:r w:rsidR="002F1BDB" w:rsidRPr="00043B8D">
        <w:t xml:space="preserve">vooraf </w:t>
      </w:r>
      <w:r w:rsidR="00700B8C" w:rsidRPr="00043B8D">
        <w:t>zou verlagen</w:t>
      </w:r>
      <w:r w:rsidR="00C26B43" w:rsidRPr="00043B8D">
        <w:t xml:space="preserve">. </w:t>
      </w:r>
    </w:p>
    <w:p w14:paraId="4730D42C" w14:textId="77777777" w:rsidR="00A76311" w:rsidRPr="00043B8D" w:rsidRDefault="00A76311" w:rsidP="00AB4D9F"/>
    <w:p w14:paraId="374885A2" w14:textId="0AD11BBB" w:rsidR="00A76311" w:rsidRPr="00043B8D" w:rsidRDefault="00887804" w:rsidP="00AB4D9F">
      <w:r w:rsidRPr="00043B8D">
        <w:t xml:space="preserve">De regulator hoeft </w:t>
      </w:r>
      <w:r w:rsidR="009B117E" w:rsidRPr="00043B8D">
        <w:t xml:space="preserve">bij voorkeur </w:t>
      </w:r>
      <w:r w:rsidRPr="00043B8D">
        <w:t xml:space="preserve">geen uitspraak te doen over de redelijkheid </w:t>
      </w:r>
      <w:r w:rsidR="00943BD0" w:rsidRPr="00043B8D">
        <w:t xml:space="preserve">en noodzakelijkheid </w:t>
      </w:r>
      <w:r w:rsidRPr="00043B8D">
        <w:t xml:space="preserve">van </w:t>
      </w:r>
      <w:r w:rsidR="00A35A77" w:rsidRPr="00043B8D">
        <w:t xml:space="preserve">gemaakte of gebudgetteerde </w:t>
      </w:r>
      <w:r w:rsidRPr="00043B8D">
        <w:t xml:space="preserve">kosten </w:t>
      </w:r>
      <w:r w:rsidR="00CE341B" w:rsidRPr="00043B8D">
        <w:t>van</w:t>
      </w:r>
      <w:r w:rsidRPr="00043B8D">
        <w:t xml:space="preserve"> </w:t>
      </w:r>
      <w:r w:rsidR="00981017" w:rsidRPr="00043B8D">
        <w:t>een</w:t>
      </w:r>
      <w:r w:rsidR="002F24EE" w:rsidRPr="00043B8D">
        <w:t xml:space="preserve"> distributienetbeheerder</w:t>
      </w:r>
      <w:r w:rsidRPr="00043B8D">
        <w:t xml:space="preserve"> </w:t>
      </w:r>
      <w:r w:rsidR="005718DB" w:rsidRPr="00043B8D">
        <w:t>in de uitoefening van zijn gereguleerde activiteiten</w:t>
      </w:r>
      <w:r w:rsidRPr="00043B8D">
        <w:t>.</w:t>
      </w:r>
      <w:r w:rsidR="00981017" w:rsidRPr="00043B8D">
        <w:t xml:space="preserve"> </w:t>
      </w:r>
      <w:r w:rsidRPr="00043B8D">
        <w:t xml:space="preserve">De distributienetbeheerder </w:t>
      </w:r>
      <w:r w:rsidR="00981017" w:rsidRPr="00043B8D">
        <w:t xml:space="preserve">moet </w:t>
      </w:r>
      <w:r w:rsidR="00F66AB3" w:rsidRPr="00043B8D">
        <w:t xml:space="preserve">dan echter ook </w:t>
      </w:r>
      <w:r w:rsidR="00A35A77" w:rsidRPr="00043B8D">
        <w:t xml:space="preserve">zelfstandig </w:t>
      </w:r>
      <w:r w:rsidR="00981017" w:rsidRPr="00043B8D">
        <w:t xml:space="preserve">de </w:t>
      </w:r>
      <w:r w:rsidRPr="00043B8D">
        <w:t xml:space="preserve">verantwoordelijkheid </w:t>
      </w:r>
      <w:r w:rsidR="001930B1" w:rsidRPr="00043B8D">
        <w:t xml:space="preserve">en de gevolgen </w:t>
      </w:r>
      <w:r w:rsidR="00A35A77" w:rsidRPr="00043B8D">
        <w:t xml:space="preserve">kunnen </w:t>
      </w:r>
      <w:r w:rsidR="00981017" w:rsidRPr="00043B8D">
        <w:t xml:space="preserve">dragen </w:t>
      </w:r>
      <w:r w:rsidRPr="00043B8D">
        <w:t xml:space="preserve">voor zijn </w:t>
      </w:r>
      <w:r w:rsidR="00981017" w:rsidRPr="00043B8D">
        <w:t xml:space="preserve">acties in de bedrijfsvoering </w:t>
      </w:r>
      <w:r w:rsidRPr="00043B8D">
        <w:t xml:space="preserve">en voor de kosten die hij in dat kader </w:t>
      </w:r>
      <w:r w:rsidR="007E38B6" w:rsidRPr="00043B8D">
        <w:t>maakt</w:t>
      </w:r>
      <w:r w:rsidRPr="00043B8D">
        <w:t>.</w:t>
      </w:r>
      <w:r w:rsidR="007E38B6" w:rsidRPr="00043B8D">
        <w:t xml:space="preserve"> </w:t>
      </w:r>
      <w:r w:rsidRPr="00043B8D">
        <w:t xml:space="preserve"> </w:t>
      </w:r>
    </w:p>
    <w:p w14:paraId="743B7609" w14:textId="77777777" w:rsidR="00A76311" w:rsidRPr="00043B8D" w:rsidRDefault="00A76311" w:rsidP="00AB4D9F"/>
    <w:p w14:paraId="282C1D79" w14:textId="6541F951" w:rsidR="009A4945" w:rsidRPr="00043B8D" w:rsidRDefault="007E147E" w:rsidP="00AB4D9F">
      <w:r w:rsidRPr="00043B8D">
        <w:t xml:space="preserve">Het </w:t>
      </w:r>
      <w:r w:rsidR="00F22BB1" w:rsidRPr="00043B8D">
        <w:t xml:space="preserve">principe van </w:t>
      </w:r>
      <w:r w:rsidRPr="00043B8D">
        <w:t xml:space="preserve">de </w:t>
      </w:r>
      <w:r w:rsidR="00F22BB1" w:rsidRPr="00043B8D">
        <w:t>informatie</w:t>
      </w:r>
      <w:r w:rsidR="00A76311" w:rsidRPr="00043B8D">
        <w:t xml:space="preserve">asymmetrie </w:t>
      </w:r>
      <w:r w:rsidR="00F22BB1" w:rsidRPr="00043B8D">
        <w:t xml:space="preserve">leidt er ook toe dat de </w:t>
      </w:r>
      <w:r w:rsidR="00887804" w:rsidRPr="00043B8D">
        <w:t>rapportering van kosten, inkomsten</w:t>
      </w:r>
      <w:r w:rsidR="00A35A77" w:rsidRPr="00043B8D">
        <w:t xml:space="preserve">, </w:t>
      </w:r>
      <w:r w:rsidR="00887804" w:rsidRPr="00043B8D">
        <w:t xml:space="preserve">volumes </w:t>
      </w:r>
      <w:r w:rsidR="00A35A77" w:rsidRPr="00043B8D">
        <w:t xml:space="preserve">en andere informatie </w:t>
      </w:r>
      <w:r w:rsidR="00887804" w:rsidRPr="00043B8D">
        <w:t>door de</w:t>
      </w:r>
      <w:r w:rsidR="002F24EE" w:rsidRPr="00043B8D">
        <w:t xml:space="preserve"> distributienetbeheerder</w:t>
      </w:r>
      <w:r w:rsidR="00887804" w:rsidRPr="00043B8D">
        <w:t xml:space="preserve">s aan de regulator </w:t>
      </w:r>
      <w:r w:rsidR="00981017" w:rsidRPr="00043B8D">
        <w:t xml:space="preserve">best </w:t>
      </w:r>
      <w:r w:rsidR="00A35A77" w:rsidRPr="00043B8D">
        <w:t xml:space="preserve">gebeurt op een gestructureerde manier en </w:t>
      </w:r>
      <w:r w:rsidR="00C949D9" w:rsidRPr="00043B8D">
        <w:t xml:space="preserve">best </w:t>
      </w:r>
      <w:r w:rsidR="0073792D" w:rsidRPr="00043B8D">
        <w:t xml:space="preserve">wordt </w:t>
      </w:r>
      <w:r w:rsidR="00887804" w:rsidRPr="00043B8D">
        <w:t>vergezel</w:t>
      </w:r>
      <w:r w:rsidR="0073792D" w:rsidRPr="00043B8D">
        <w:t>d</w:t>
      </w:r>
      <w:r w:rsidR="00887804" w:rsidRPr="00043B8D">
        <w:t xml:space="preserve"> van een </w:t>
      </w:r>
      <w:r w:rsidR="00CA20DA" w:rsidRPr="00043B8D">
        <w:t>[…]</w:t>
      </w:r>
      <w:r w:rsidR="00CA20DA" w:rsidRPr="00043B8D">
        <w:rPr>
          <w:rStyle w:val="Voetnootmarkering"/>
        </w:rPr>
        <w:footnoteReference w:id="16"/>
      </w:r>
      <w:r w:rsidR="00CA20DA" w:rsidRPr="00043B8D">
        <w:t xml:space="preserve"> [</w:t>
      </w:r>
      <w:r w:rsidR="00942226" w:rsidRPr="00043B8D">
        <w:t>rapportering door</w:t>
      </w:r>
      <w:r w:rsidR="00CA20DA" w:rsidRPr="00043B8D">
        <w:t>]</w:t>
      </w:r>
      <w:r w:rsidR="00CA20DA" w:rsidRPr="00043B8D">
        <w:rPr>
          <w:rStyle w:val="Voetnootmarkering"/>
        </w:rPr>
        <w:footnoteReference w:id="17"/>
      </w:r>
      <w:r w:rsidR="00F61BE4" w:rsidRPr="00043B8D">
        <w:t xml:space="preserve"> </w:t>
      </w:r>
      <w:r w:rsidR="00F22BB1" w:rsidRPr="00043B8D">
        <w:t xml:space="preserve">de </w:t>
      </w:r>
      <w:r w:rsidR="00397BB2" w:rsidRPr="00043B8D">
        <w:t>commissaris</w:t>
      </w:r>
      <w:r w:rsidR="00887804" w:rsidRPr="00043B8D">
        <w:t>.</w:t>
      </w:r>
    </w:p>
    <w:p w14:paraId="3F737B81" w14:textId="77777777" w:rsidR="005075BC" w:rsidRPr="00043B8D" w:rsidRDefault="00887804" w:rsidP="00AB4D9F">
      <w:r w:rsidRPr="00043B8D">
        <w:t xml:space="preserve"> </w:t>
      </w:r>
    </w:p>
    <w:p w14:paraId="453F7668" w14:textId="77777777" w:rsidR="00BC5EB0" w:rsidRPr="00043B8D" w:rsidRDefault="00BC5EB0" w:rsidP="00AB4D9F"/>
    <w:p w14:paraId="2EAE6047" w14:textId="77777777" w:rsidR="00BC5EB0" w:rsidRPr="00043B8D" w:rsidRDefault="00BC5EB0" w:rsidP="00AB4D9F">
      <w:pPr>
        <w:rPr>
          <w:i/>
        </w:rPr>
      </w:pPr>
    </w:p>
    <w:p w14:paraId="4C55E7D1" w14:textId="77777777" w:rsidR="00AB4D9F" w:rsidRPr="00043B8D" w:rsidRDefault="007D2938" w:rsidP="005251E2">
      <w:pPr>
        <w:pStyle w:val="Kop2"/>
        <w:numPr>
          <w:ilvl w:val="2"/>
          <w:numId w:val="24"/>
        </w:numPr>
        <w:ind w:left="993" w:hanging="993"/>
        <w:rPr>
          <w:i/>
          <w:sz w:val="22"/>
          <w:szCs w:val="22"/>
        </w:rPr>
      </w:pPr>
      <w:bookmarkStart w:id="306" w:name="_Ref365295144"/>
      <w:bookmarkStart w:id="307" w:name="_Toc454186659"/>
      <w:r w:rsidRPr="00043B8D">
        <w:rPr>
          <w:i/>
          <w:sz w:val="22"/>
          <w:szCs w:val="22"/>
        </w:rPr>
        <w:t>Stabiel regulatoir kader</w:t>
      </w:r>
      <w:bookmarkEnd w:id="306"/>
      <w:bookmarkEnd w:id="307"/>
    </w:p>
    <w:p w14:paraId="16AB229B" w14:textId="77777777" w:rsidR="007D2938" w:rsidRPr="00043B8D" w:rsidRDefault="007D2938" w:rsidP="00AB4D9F">
      <w:pPr>
        <w:rPr>
          <w:i/>
        </w:rPr>
      </w:pPr>
    </w:p>
    <w:p w14:paraId="3E5B5A71" w14:textId="2E4B1E27" w:rsidR="00887804" w:rsidRPr="00043B8D" w:rsidRDefault="00E534D5" w:rsidP="007D2938">
      <w:r w:rsidRPr="00043B8D">
        <w:t xml:space="preserve">De VREG wenst in zijn beslissingen m.b.t. de tariefmethodologie </w:t>
      </w:r>
      <w:r w:rsidR="005811D8" w:rsidRPr="00043B8D">
        <w:t xml:space="preserve">o.a. </w:t>
      </w:r>
      <w:r w:rsidRPr="00043B8D">
        <w:t>rekening te houden met</w:t>
      </w:r>
      <w:r w:rsidR="005811D8" w:rsidRPr="00043B8D">
        <w:t xml:space="preserve"> </w:t>
      </w:r>
      <w:r w:rsidRPr="00043B8D">
        <w:t>het regulatoir risico</w:t>
      </w:r>
      <w:r w:rsidR="005811D8" w:rsidRPr="00043B8D">
        <w:t xml:space="preserve"> en de invloed op de kapitaalverschaffers</w:t>
      </w:r>
      <w:r w:rsidRPr="00043B8D">
        <w:t xml:space="preserve">. </w:t>
      </w:r>
      <w:r w:rsidR="00943BD0" w:rsidRPr="00043B8D">
        <w:t>De tariefmethode moet transparant</w:t>
      </w:r>
      <w:r w:rsidR="004843BD" w:rsidRPr="00043B8D">
        <w:t xml:space="preserve"> en in de mate van het mogelijke</w:t>
      </w:r>
      <w:r w:rsidR="00943BD0" w:rsidRPr="00043B8D">
        <w:t xml:space="preserve"> stabiel en voorspelbaar zijn</w:t>
      </w:r>
      <w:r w:rsidR="004843BD" w:rsidRPr="00043B8D">
        <w:t xml:space="preserve">, </w:t>
      </w:r>
      <w:r w:rsidR="00943BD0" w:rsidRPr="00043B8D">
        <w:t>niet beïnvloed door een ogenblikkelijk moment in een bedrijfs-, product- of procescyclus.</w:t>
      </w:r>
      <w:r w:rsidR="004843BD" w:rsidRPr="00043B8D">
        <w:t xml:space="preserve"> W</w:t>
      </w:r>
      <w:r w:rsidR="00943BD0" w:rsidRPr="00043B8D">
        <w:t>illekeurig en discriminatoir optreden door de regulator met impact op de distributienettarieven moet uitgesloten worden. De methode gaat uit van het principe van bedrijfscontinuïteit.  Effecten of resultaten kunnen tijdelijk negatief of positief zijn, afhankelijk van de positie in een cy</w:t>
      </w:r>
      <w:r w:rsidR="00C63022" w:rsidRPr="00043B8D">
        <w:t xml:space="preserve">clus, maar mogen geen </w:t>
      </w:r>
      <w:r w:rsidR="004843BD" w:rsidRPr="00043B8D">
        <w:t xml:space="preserve">tijdelijke </w:t>
      </w:r>
      <w:r w:rsidR="00943BD0" w:rsidRPr="00043B8D">
        <w:t>aanpassing op maat vragen aan de tariefmethode. Er moet vermeden worden dat overdreven aandacht voor tijdelijke effecten de stabiliteit, effectiviteit en geloofwaardigheid van de tariefmethode aantasten.</w:t>
      </w:r>
    </w:p>
    <w:p w14:paraId="51A97B7D" w14:textId="77777777" w:rsidR="003E6711" w:rsidRPr="00043B8D" w:rsidRDefault="003E6711" w:rsidP="007D2938"/>
    <w:p w14:paraId="6DF34D76" w14:textId="77777777" w:rsidR="00E25536" w:rsidRPr="00043B8D" w:rsidRDefault="004F6772" w:rsidP="005251E2">
      <w:pPr>
        <w:pStyle w:val="Kop2"/>
        <w:numPr>
          <w:ilvl w:val="2"/>
          <w:numId w:val="24"/>
        </w:numPr>
        <w:ind w:left="993" w:hanging="993"/>
        <w:rPr>
          <w:i/>
          <w:sz w:val="22"/>
          <w:szCs w:val="22"/>
        </w:rPr>
      </w:pPr>
      <w:bookmarkStart w:id="308" w:name="_Toc454186660"/>
      <w:r w:rsidRPr="00043B8D">
        <w:rPr>
          <w:i/>
          <w:sz w:val="22"/>
          <w:szCs w:val="22"/>
        </w:rPr>
        <w:t>Transparantie</w:t>
      </w:r>
      <w:bookmarkEnd w:id="308"/>
      <w:r w:rsidRPr="00043B8D">
        <w:rPr>
          <w:i/>
          <w:sz w:val="22"/>
          <w:szCs w:val="22"/>
        </w:rPr>
        <w:t xml:space="preserve"> </w:t>
      </w:r>
    </w:p>
    <w:p w14:paraId="29EFAD04" w14:textId="77777777" w:rsidR="007D2938" w:rsidRPr="00043B8D" w:rsidRDefault="007D2938" w:rsidP="007D2938"/>
    <w:p w14:paraId="6ACD43BF" w14:textId="634285FD" w:rsidR="00887804" w:rsidRPr="00043B8D" w:rsidRDefault="004F6772" w:rsidP="004F6772">
      <w:r w:rsidRPr="00043B8D">
        <w:t>D</w:t>
      </w:r>
      <w:r w:rsidR="00887804" w:rsidRPr="00043B8D">
        <w:t xml:space="preserve">e </w:t>
      </w:r>
      <w:r w:rsidRPr="00043B8D">
        <w:t>tarief</w:t>
      </w:r>
      <w:r w:rsidR="00887804" w:rsidRPr="00043B8D">
        <w:t>methode dient transparant te zijn. De regulator zal de opbouw van de methode verantwoorden en publiek consult</w:t>
      </w:r>
      <w:r w:rsidR="00F66554" w:rsidRPr="00043B8D">
        <w:t>eren</w:t>
      </w:r>
      <w:r w:rsidR="00887804" w:rsidRPr="00043B8D">
        <w:t>. In de mate van het mogelijke word</w:t>
      </w:r>
      <w:r w:rsidR="00F66554" w:rsidRPr="00043B8D">
        <w:t xml:space="preserve">t de voorstelling van </w:t>
      </w:r>
      <w:r w:rsidR="00887804" w:rsidRPr="00043B8D">
        <w:t>formules</w:t>
      </w:r>
      <w:r w:rsidR="00FD07B2" w:rsidRPr="00043B8D">
        <w:t xml:space="preserve">, </w:t>
      </w:r>
      <w:r w:rsidR="00F66554" w:rsidRPr="00043B8D">
        <w:t>rekenschema</w:t>
      </w:r>
      <w:r w:rsidR="00FD07B2" w:rsidRPr="00043B8D">
        <w:t>’</w:t>
      </w:r>
      <w:r w:rsidR="00F66554" w:rsidRPr="00043B8D">
        <w:t xml:space="preserve">s </w:t>
      </w:r>
      <w:r w:rsidR="00FD07B2" w:rsidRPr="00043B8D">
        <w:t xml:space="preserve">en rapporteringen </w:t>
      </w:r>
      <w:r w:rsidR="00887804" w:rsidRPr="00043B8D">
        <w:t>eenvoudig gehouden en stapsgewij</w:t>
      </w:r>
      <w:r w:rsidR="00C63022" w:rsidRPr="00043B8D">
        <w:t>s</w:t>
      </w:r>
      <w:r w:rsidR="00887804" w:rsidRPr="00043B8D">
        <w:t xml:space="preserve"> opgebouwd.</w:t>
      </w:r>
    </w:p>
    <w:p w14:paraId="5FACF9A9" w14:textId="77777777" w:rsidR="004F6772" w:rsidRPr="00043B8D" w:rsidRDefault="004F6772" w:rsidP="004F6772"/>
    <w:p w14:paraId="09F2AB3B" w14:textId="77777777" w:rsidR="00E92C79" w:rsidRPr="00043B8D" w:rsidRDefault="00795B35" w:rsidP="005251E2">
      <w:pPr>
        <w:pStyle w:val="Kop2"/>
        <w:numPr>
          <w:ilvl w:val="2"/>
          <w:numId w:val="24"/>
        </w:numPr>
        <w:ind w:left="993" w:hanging="993"/>
        <w:rPr>
          <w:i/>
          <w:sz w:val="22"/>
          <w:szCs w:val="22"/>
        </w:rPr>
      </w:pPr>
      <w:bookmarkStart w:id="309" w:name="_Toc454186661"/>
      <w:r w:rsidRPr="00043B8D">
        <w:rPr>
          <w:i/>
          <w:sz w:val="22"/>
          <w:szCs w:val="22"/>
        </w:rPr>
        <w:t>Administratie</w:t>
      </w:r>
      <w:r w:rsidR="00E74A41" w:rsidRPr="00043B8D">
        <w:rPr>
          <w:i/>
          <w:sz w:val="22"/>
          <w:szCs w:val="22"/>
        </w:rPr>
        <w:t>ve efficiëntie</w:t>
      </w:r>
      <w:bookmarkEnd w:id="309"/>
      <w:r w:rsidR="00E74A41" w:rsidRPr="00043B8D">
        <w:rPr>
          <w:i/>
          <w:sz w:val="22"/>
          <w:szCs w:val="22"/>
        </w:rPr>
        <w:t xml:space="preserve"> </w:t>
      </w:r>
    </w:p>
    <w:p w14:paraId="3D9F99F3" w14:textId="77777777" w:rsidR="00E92C79" w:rsidRPr="00043B8D" w:rsidRDefault="00E92C79" w:rsidP="00B71652"/>
    <w:p w14:paraId="2EE1DCDD" w14:textId="0FE8A258" w:rsidR="002301EC" w:rsidRPr="00043B8D" w:rsidRDefault="00887804" w:rsidP="00795B35">
      <w:r w:rsidRPr="00043B8D">
        <w:t xml:space="preserve">De </w:t>
      </w:r>
      <w:r w:rsidR="00795B35" w:rsidRPr="00043B8D">
        <w:t>tarief</w:t>
      </w:r>
      <w:r w:rsidRPr="00043B8D">
        <w:t xml:space="preserve">methode mag voor de gereguleerde onderneming en de regulator niet tot een overdreven zware administratieve belasting en </w:t>
      </w:r>
      <w:r w:rsidR="00250FE1" w:rsidRPr="00043B8D">
        <w:t xml:space="preserve">bijhorende </w:t>
      </w:r>
      <w:r w:rsidR="00795B35" w:rsidRPr="00043B8D">
        <w:t xml:space="preserve">maatschappelijke </w:t>
      </w:r>
      <w:r w:rsidRPr="00043B8D">
        <w:t xml:space="preserve">kostprijs leiden. </w:t>
      </w:r>
      <w:r w:rsidR="00795B35" w:rsidRPr="00043B8D">
        <w:t xml:space="preserve">Het </w:t>
      </w:r>
      <w:r w:rsidR="00260208" w:rsidRPr="00043B8D">
        <w:t xml:space="preserve">algemeen </w:t>
      </w:r>
      <w:r w:rsidR="00795B35" w:rsidRPr="00043B8D">
        <w:t xml:space="preserve">streven naar efficiëntiewinsten moet </w:t>
      </w:r>
      <w:r w:rsidR="00401991" w:rsidRPr="00043B8D">
        <w:t xml:space="preserve">dus </w:t>
      </w:r>
      <w:r w:rsidR="00D33F1B" w:rsidRPr="00043B8D">
        <w:t xml:space="preserve">ook blijken uit </w:t>
      </w:r>
      <w:r w:rsidR="00795B35" w:rsidRPr="00043B8D">
        <w:t>de procedures m.b.t. de distributienettarieven</w:t>
      </w:r>
      <w:r w:rsidRPr="00043B8D">
        <w:t>.</w:t>
      </w:r>
    </w:p>
    <w:p w14:paraId="29E2DF1B" w14:textId="77777777" w:rsidR="002301EC" w:rsidRPr="00043B8D" w:rsidRDefault="002301EC" w:rsidP="00795B35"/>
    <w:p w14:paraId="7F95D9F5" w14:textId="77777777" w:rsidR="00724ED7" w:rsidRPr="00043B8D" w:rsidRDefault="00724ED7" w:rsidP="005251E2">
      <w:pPr>
        <w:pStyle w:val="Kop2"/>
        <w:numPr>
          <w:ilvl w:val="2"/>
          <w:numId w:val="24"/>
        </w:numPr>
        <w:ind w:left="993" w:hanging="993"/>
        <w:rPr>
          <w:i/>
          <w:sz w:val="22"/>
          <w:szCs w:val="22"/>
        </w:rPr>
      </w:pPr>
      <w:bookmarkStart w:id="310" w:name="_Toc454186662"/>
      <w:r w:rsidRPr="00043B8D">
        <w:rPr>
          <w:i/>
          <w:sz w:val="22"/>
          <w:szCs w:val="22"/>
        </w:rPr>
        <w:t>Vermijden van tariefschokken</w:t>
      </w:r>
      <w:bookmarkEnd w:id="310"/>
    </w:p>
    <w:p w14:paraId="32D79353" w14:textId="77777777" w:rsidR="00795B35" w:rsidRPr="00043B8D" w:rsidRDefault="00795B35" w:rsidP="00795B35"/>
    <w:p w14:paraId="133BB2CB" w14:textId="596E5817" w:rsidR="00AA74AA" w:rsidRPr="00043B8D" w:rsidRDefault="00943BD0" w:rsidP="00795B35">
      <w:r w:rsidRPr="00043B8D">
        <w:t>De VREG wil trachten te vermijden dat de distributienetgebruikers worden geconfronteerd met grote op- of neerwaartse schokken in hun distributienettarieven. Bedrijven en particulieren hebben immers nood aan vrij stabiele nettarieven op basis waarvan zij voor zichzelf op korte termijn kostenprojecties kunnen maken. Ondanks deze intentie zullen schommelingen in de distributienettarieven niet kunnen uitgesloten worden wanneer deze het gevolg zijn van de loutere toepassing van de tariefmethodologie, als resultaat van bijzondere omstandigheden of ten gevolge van een korte reguleringsperiode. In dat geval zal de VREG overeenkomstig</w:t>
      </w:r>
      <w:r w:rsidR="00C63022" w:rsidRPr="00043B8D">
        <w:t xml:space="preserve"> par</w:t>
      </w:r>
      <w:r w:rsidR="00515C36" w:rsidRPr="00043B8D">
        <w:t>.</w:t>
      </w:r>
      <w:r w:rsidRPr="00043B8D">
        <w:t xml:space="preserve"> </w:t>
      </w:r>
      <w:r w:rsidRPr="00043B8D">
        <w:fldChar w:fldCharType="begin"/>
      </w:r>
      <w:r w:rsidRPr="00043B8D">
        <w:instrText xml:space="preserve"> REF _Ref365295144 \r \h </w:instrText>
      </w:r>
      <w:r w:rsidR="00043B8D">
        <w:instrText xml:space="preserve"> \* MERGEFORMAT </w:instrText>
      </w:r>
      <w:r w:rsidRPr="00043B8D">
        <w:fldChar w:fldCharType="separate"/>
      </w:r>
      <w:r w:rsidR="00B30F9B">
        <w:t>5.1.3</w:t>
      </w:r>
      <w:r w:rsidRPr="00043B8D">
        <w:fldChar w:fldCharType="end"/>
      </w:r>
      <w:r w:rsidRPr="00043B8D">
        <w:t xml:space="preserve"> niet willekeurig wensen in te grijpen. De kennis en ervaring kan eventueel wel gebruikt worden bij de verdere ontwikkeling van de methodologie.</w:t>
      </w:r>
    </w:p>
    <w:p w14:paraId="7446CED7" w14:textId="77777777" w:rsidR="007141E4" w:rsidRPr="00043B8D" w:rsidRDefault="007141E4" w:rsidP="00795B35"/>
    <w:p w14:paraId="5B79F7AE" w14:textId="77777777" w:rsidR="00887804" w:rsidRPr="00043B8D" w:rsidRDefault="00887804" w:rsidP="005251E2">
      <w:pPr>
        <w:pStyle w:val="Kop2"/>
        <w:numPr>
          <w:ilvl w:val="1"/>
          <w:numId w:val="24"/>
        </w:numPr>
        <w:ind w:hanging="644"/>
      </w:pPr>
      <w:bookmarkStart w:id="311" w:name="_Ref365465088"/>
      <w:bookmarkStart w:id="312" w:name="_Toc454186663"/>
      <w:r w:rsidRPr="00043B8D">
        <w:t>Keuze voor inkomstenregulering</w:t>
      </w:r>
      <w:bookmarkEnd w:id="311"/>
      <w:r w:rsidR="00943BD0" w:rsidRPr="00043B8D">
        <w:t xml:space="preserve"> met uitzondering voor exogene kosten</w:t>
      </w:r>
      <w:bookmarkEnd w:id="312"/>
    </w:p>
    <w:p w14:paraId="711FA580" w14:textId="77777777" w:rsidR="00D70850" w:rsidRPr="00043B8D" w:rsidRDefault="00D70850" w:rsidP="00B532CD"/>
    <w:p w14:paraId="661D10CA" w14:textId="3CD780C6" w:rsidR="00B532CD" w:rsidRPr="00043B8D" w:rsidRDefault="00185FC0" w:rsidP="00B532CD">
      <w:r w:rsidRPr="00043B8D">
        <w:t xml:space="preserve">Daarin gesteund door </w:t>
      </w:r>
      <w:r w:rsidR="00201DD0" w:rsidRPr="00043B8D">
        <w:t>de Richtlijn 2009/72/EG en Richtlijn 2009/73/EG</w:t>
      </w:r>
      <w:r w:rsidRPr="00043B8D">
        <w:t xml:space="preserve"> is d</w:t>
      </w:r>
      <w:r w:rsidR="00E62856" w:rsidRPr="00043B8D">
        <w:t>e VREG van oordeel dat</w:t>
      </w:r>
      <w:r w:rsidR="0075330C" w:rsidRPr="00043B8D">
        <w:t xml:space="preserve"> </w:t>
      </w:r>
      <w:r w:rsidR="00E62856" w:rsidRPr="00043B8D">
        <w:t xml:space="preserve">een </w:t>
      </w:r>
      <w:r w:rsidR="000F0396" w:rsidRPr="00043B8D">
        <w:t xml:space="preserve">economische </w:t>
      </w:r>
      <w:r w:rsidR="00E62856" w:rsidRPr="00043B8D">
        <w:t xml:space="preserve">regulering </w:t>
      </w:r>
      <w:r w:rsidR="004E30D5" w:rsidRPr="00043B8D">
        <w:t xml:space="preserve">noodzakelijk is waarin </w:t>
      </w:r>
      <w:r w:rsidR="000F0396" w:rsidRPr="00043B8D">
        <w:t xml:space="preserve">de </w:t>
      </w:r>
      <w:r w:rsidR="00A2309A" w:rsidRPr="00043B8D">
        <w:t xml:space="preserve">distributienetbeheerders </w:t>
      </w:r>
      <w:r w:rsidR="00E26313" w:rsidRPr="00043B8D">
        <w:t xml:space="preserve">een duidelijke incentive </w:t>
      </w:r>
      <w:r w:rsidR="004E30D5" w:rsidRPr="00043B8D">
        <w:t xml:space="preserve">krijgen </w:t>
      </w:r>
      <w:r w:rsidR="00E26313" w:rsidRPr="00043B8D">
        <w:t xml:space="preserve">tot </w:t>
      </w:r>
      <w:r w:rsidR="00A2309A" w:rsidRPr="00043B8D">
        <w:t>kostenefficiënte</w:t>
      </w:r>
      <w:r w:rsidR="004E30D5" w:rsidRPr="00043B8D">
        <w:t xml:space="preserve"> bedrijfsvoering</w:t>
      </w:r>
      <w:r w:rsidR="00A2309A" w:rsidRPr="00043B8D">
        <w:t>. Hij wenst de tariefmethodologie dan ook uit te bouwen vertrekkend</w:t>
      </w:r>
      <w:r w:rsidR="00515C36" w:rsidRPr="00043B8D">
        <w:t>e</w:t>
      </w:r>
      <w:r w:rsidR="00A2309A" w:rsidRPr="00043B8D">
        <w:t xml:space="preserve"> van het ideaal van </w:t>
      </w:r>
      <w:r w:rsidR="00526500" w:rsidRPr="00043B8D">
        <w:t xml:space="preserve">een </w:t>
      </w:r>
      <w:r w:rsidR="00A2309A" w:rsidRPr="00043B8D">
        <w:t xml:space="preserve">zuivere </w:t>
      </w:r>
      <w:r w:rsidR="00E62856" w:rsidRPr="00043B8D">
        <w:t>inkomsten</w:t>
      </w:r>
      <w:r w:rsidR="00526500" w:rsidRPr="00043B8D">
        <w:t>regulering</w:t>
      </w:r>
      <w:r w:rsidR="00E62856" w:rsidRPr="00043B8D">
        <w:t xml:space="preserve">. </w:t>
      </w:r>
      <w:r w:rsidR="00365B94" w:rsidRPr="00043B8D">
        <w:t xml:space="preserve">Er wordt </w:t>
      </w:r>
      <w:r w:rsidR="004E30D5" w:rsidRPr="00043B8D">
        <w:t xml:space="preserve">m.a.w. </w:t>
      </w:r>
      <w:r w:rsidR="00A2309A" w:rsidRPr="00043B8D">
        <w:t>af</w:t>
      </w:r>
      <w:r w:rsidR="00365B94" w:rsidRPr="00043B8D">
        <w:t>ge</w:t>
      </w:r>
      <w:r w:rsidR="00A2309A" w:rsidRPr="00043B8D">
        <w:t>stap</w:t>
      </w:r>
      <w:r w:rsidR="00365B94" w:rsidRPr="00043B8D">
        <w:t>t</w:t>
      </w:r>
      <w:r w:rsidR="00A2309A" w:rsidRPr="00043B8D">
        <w:t xml:space="preserve"> van </w:t>
      </w:r>
      <w:r w:rsidR="00365B94" w:rsidRPr="00043B8D">
        <w:t xml:space="preserve">de </w:t>
      </w:r>
      <w:r w:rsidR="004E30D5" w:rsidRPr="00043B8D">
        <w:t xml:space="preserve">vorige </w:t>
      </w:r>
      <w:r w:rsidR="00365B94" w:rsidRPr="00043B8D">
        <w:t>hybride</w:t>
      </w:r>
      <w:r w:rsidR="004E30D5" w:rsidRPr="00043B8D">
        <w:t xml:space="preserve"> en </w:t>
      </w:r>
      <w:r w:rsidR="00365B94" w:rsidRPr="00043B8D">
        <w:t xml:space="preserve">grotendeels </w:t>
      </w:r>
      <w:r w:rsidR="004E30D5" w:rsidRPr="00043B8D">
        <w:t>rendements</w:t>
      </w:r>
      <w:r w:rsidR="00365B94" w:rsidRPr="00043B8D">
        <w:t xml:space="preserve">georiënteerde tariefmethodologie </w:t>
      </w:r>
      <w:r w:rsidR="00A2309A" w:rsidRPr="00043B8D">
        <w:t xml:space="preserve">en </w:t>
      </w:r>
      <w:r w:rsidR="004E30D5" w:rsidRPr="00043B8D">
        <w:t xml:space="preserve">overgegaan naar </w:t>
      </w:r>
      <w:r w:rsidR="00A2309A" w:rsidRPr="00043B8D">
        <w:t xml:space="preserve">een reguleringspraktijk </w:t>
      </w:r>
      <w:r w:rsidR="00226F40" w:rsidRPr="00043B8D">
        <w:t>die op passende wijze de kostenefficiëntie bij de distributienetbeheerders stimuleert</w:t>
      </w:r>
      <w:r w:rsidR="0075330C" w:rsidRPr="00043B8D">
        <w:t xml:space="preserve">. </w:t>
      </w:r>
    </w:p>
    <w:p w14:paraId="041A07CD" w14:textId="77777777" w:rsidR="0075330C" w:rsidRPr="00043B8D" w:rsidRDefault="0075330C" w:rsidP="00B532CD"/>
    <w:p w14:paraId="72B05E3B" w14:textId="77777777" w:rsidR="00BC5EB0" w:rsidRPr="00043B8D" w:rsidRDefault="00BC5EB0" w:rsidP="00B532CD"/>
    <w:p w14:paraId="731BE07C" w14:textId="77777777" w:rsidR="00BC5EB0" w:rsidRPr="00043B8D" w:rsidRDefault="00BC5EB0" w:rsidP="00B532CD"/>
    <w:p w14:paraId="75AA04F5" w14:textId="77777777" w:rsidR="00E621BB" w:rsidRPr="00043B8D" w:rsidRDefault="00E621BB" w:rsidP="00B532CD">
      <w:pPr>
        <w:rPr>
          <w:i/>
        </w:rPr>
      </w:pPr>
      <w:r w:rsidRPr="00043B8D">
        <w:rPr>
          <w:i/>
        </w:rPr>
        <w:t>Exogene kosten</w:t>
      </w:r>
    </w:p>
    <w:p w14:paraId="168D21C5" w14:textId="77777777" w:rsidR="00E621BB" w:rsidRPr="00043B8D" w:rsidRDefault="00E621BB" w:rsidP="00B532CD"/>
    <w:p w14:paraId="3F55324C" w14:textId="4D37C614" w:rsidR="004E30D5" w:rsidRPr="00043B8D" w:rsidRDefault="00714C7C" w:rsidP="00B532CD">
      <w:r w:rsidRPr="00043B8D">
        <w:t xml:space="preserve">De </w:t>
      </w:r>
      <w:r w:rsidR="000F0396" w:rsidRPr="00043B8D">
        <w:t xml:space="preserve">Vlaamse </w:t>
      </w:r>
      <w:r w:rsidRPr="00043B8D">
        <w:t>distributienetbeheerders hebben geen invloed op een aantal kosten</w:t>
      </w:r>
      <w:r w:rsidR="00EE794A" w:rsidRPr="00043B8D">
        <w:t>,</w:t>
      </w:r>
      <w:r w:rsidRPr="00043B8D">
        <w:t xml:space="preserve"> </w:t>
      </w:r>
      <w:r w:rsidR="00FB5D03" w:rsidRPr="00043B8D">
        <w:t xml:space="preserve">waaronder </w:t>
      </w:r>
      <w:r w:rsidRPr="00043B8D">
        <w:t xml:space="preserve">de </w:t>
      </w:r>
      <w:r w:rsidR="00D02F10" w:rsidRPr="00043B8D">
        <w:t xml:space="preserve">kosten voor de aan </w:t>
      </w:r>
      <w:r w:rsidRPr="00043B8D">
        <w:t>minimumsteun op te kopen groenestroomcertificaten</w:t>
      </w:r>
      <w:r w:rsidR="00307CCB" w:rsidRPr="00043B8D">
        <w:t xml:space="preserve"> </w:t>
      </w:r>
      <w:r w:rsidR="00D02F10" w:rsidRPr="00043B8D">
        <w:t xml:space="preserve">en voor </w:t>
      </w:r>
      <w:r w:rsidR="00307CCB" w:rsidRPr="00043B8D">
        <w:t xml:space="preserve">de </w:t>
      </w:r>
      <w:r w:rsidR="00943BD0" w:rsidRPr="00043B8D">
        <w:t xml:space="preserve">aan </w:t>
      </w:r>
      <w:r w:rsidR="00055821" w:rsidRPr="00043B8D">
        <w:t xml:space="preserve">distributienetgebruikers </w:t>
      </w:r>
      <w:r w:rsidR="00943BD0" w:rsidRPr="00043B8D">
        <w:t xml:space="preserve"> </w:t>
      </w:r>
      <w:r w:rsidR="00307CCB" w:rsidRPr="00043B8D">
        <w:t>uit te betalen premies voor rationeel energiegebruik</w:t>
      </w:r>
      <w:r w:rsidR="00D02F10" w:rsidRPr="00043B8D">
        <w:t xml:space="preserve">, </w:t>
      </w:r>
      <w:r w:rsidR="00401991" w:rsidRPr="00043B8D">
        <w:t xml:space="preserve">louter </w:t>
      </w:r>
      <w:r w:rsidR="00D02F10" w:rsidRPr="00043B8D">
        <w:t xml:space="preserve">ontstaan vanuit een </w:t>
      </w:r>
      <w:r w:rsidR="006434D3" w:rsidRPr="00043B8D">
        <w:t xml:space="preserve">hun </w:t>
      </w:r>
      <w:r w:rsidR="00401991" w:rsidRPr="00043B8D">
        <w:t xml:space="preserve">door de overheid </w:t>
      </w:r>
      <w:r w:rsidR="00D02F10" w:rsidRPr="00043B8D">
        <w:t>opgelegde openbare</w:t>
      </w:r>
      <w:r w:rsidR="00F13C8F" w:rsidRPr="00043B8D">
        <w:t xml:space="preserve"> </w:t>
      </w:r>
      <w:r w:rsidR="00D02F10" w:rsidRPr="00043B8D">
        <w:t>dienstverplichting</w:t>
      </w:r>
      <w:r w:rsidRPr="00043B8D">
        <w:t>.</w:t>
      </w:r>
      <w:r w:rsidR="00D02F10" w:rsidRPr="00043B8D">
        <w:t xml:space="preserve"> </w:t>
      </w:r>
      <w:r w:rsidR="00040FC3" w:rsidRPr="00043B8D">
        <w:t xml:space="preserve">Tevens dient een oplossing gevonden </w:t>
      </w:r>
      <w:r w:rsidR="000F0396" w:rsidRPr="00043B8D">
        <w:t xml:space="preserve">te worden </w:t>
      </w:r>
      <w:r w:rsidR="00040FC3" w:rsidRPr="00043B8D">
        <w:t>voor de in het verleden</w:t>
      </w:r>
      <w:r w:rsidR="00672AC7" w:rsidRPr="00043B8D">
        <w:t>,</w:t>
      </w:r>
      <w:r w:rsidR="00040FC3" w:rsidRPr="00043B8D">
        <w:t xml:space="preserve"> onder de </w:t>
      </w:r>
      <w:r w:rsidR="00672AC7" w:rsidRPr="00043B8D">
        <w:t>vorige</w:t>
      </w:r>
      <w:r w:rsidR="00066434" w:rsidRPr="00043B8D">
        <w:t xml:space="preserve"> tarief</w:t>
      </w:r>
      <w:r w:rsidR="00040FC3" w:rsidRPr="00043B8D">
        <w:t>regulering</w:t>
      </w:r>
      <w:r w:rsidR="00401991" w:rsidRPr="00043B8D">
        <w:t>en</w:t>
      </w:r>
      <w:r w:rsidR="00672AC7" w:rsidRPr="00043B8D">
        <w:t>,</w:t>
      </w:r>
      <w:r w:rsidR="00040FC3" w:rsidRPr="00043B8D">
        <w:t xml:space="preserve"> </w:t>
      </w:r>
      <w:r w:rsidR="00515C36" w:rsidRPr="00043B8D">
        <w:t xml:space="preserve">opgebouwde </w:t>
      </w:r>
      <w:r w:rsidR="00401991" w:rsidRPr="00043B8D">
        <w:t>kosten</w:t>
      </w:r>
      <w:r w:rsidR="00515C36" w:rsidRPr="00043B8D">
        <w:t>/opbrengsten</w:t>
      </w:r>
      <w:r w:rsidR="00401991" w:rsidRPr="00043B8D">
        <w:t xml:space="preserve"> in de </w:t>
      </w:r>
      <w:r w:rsidR="00681894" w:rsidRPr="00043B8D">
        <w:t>regulatoire rekeningen</w:t>
      </w:r>
      <w:r w:rsidR="00867578" w:rsidRPr="00043B8D">
        <w:rPr>
          <w:rStyle w:val="Voetnootmarkering"/>
        </w:rPr>
        <w:footnoteReference w:id="18"/>
      </w:r>
      <w:r w:rsidR="00040FC3" w:rsidRPr="00043B8D">
        <w:t>.</w:t>
      </w:r>
      <w:r w:rsidR="003F06D2" w:rsidRPr="00043B8D">
        <w:t xml:space="preserve"> </w:t>
      </w:r>
      <w:r w:rsidR="00D56062" w:rsidRPr="00043B8D">
        <w:t xml:space="preserve">De VREG </w:t>
      </w:r>
      <w:r w:rsidR="003F06D2" w:rsidRPr="00043B8D">
        <w:t xml:space="preserve">noemt </w:t>
      </w:r>
      <w:r w:rsidR="00D56062" w:rsidRPr="00043B8D">
        <w:t xml:space="preserve">deze </w:t>
      </w:r>
      <w:r w:rsidR="003F06D2" w:rsidRPr="00043B8D">
        <w:t xml:space="preserve">door de distributienetbeheerder </w:t>
      </w:r>
      <w:r w:rsidR="00672AC7" w:rsidRPr="00043B8D">
        <w:t>niet-</w:t>
      </w:r>
      <w:r w:rsidR="003F06D2" w:rsidRPr="00043B8D">
        <w:t xml:space="preserve">beïnvloedbare </w:t>
      </w:r>
      <w:r w:rsidR="00D56062" w:rsidRPr="00043B8D">
        <w:t>kosten</w:t>
      </w:r>
      <w:r w:rsidR="00625968" w:rsidRPr="00043B8D">
        <w:t xml:space="preserve"> in zijn tariefmethodologie </w:t>
      </w:r>
      <w:r w:rsidR="00D56062" w:rsidRPr="00043B8D">
        <w:rPr>
          <w:i/>
        </w:rPr>
        <w:t>exogene</w:t>
      </w:r>
      <w:r w:rsidR="00D56062" w:rsidRPr="00043B8D">
        <w:t xml:space="preserve"> </w:t>
      </w:r>
      <w:r w:rsidR="00D56062" w:rsidRPr="00043B8D">
        <w:rPr>
          <w:i/>
        </w:rPr>
        <w:t>kosten</w:t>
      </w:r>
      <w:r w:rsidR="00943BD0" w:rsidRPr="00043B8D">
        <w:t>, omdat ze buiten de controle van de distributienetbeheerders liggen</w:t>
      </w:r>
      <w:r w:rsidR="00D56062" w:rsidRPr="00043B8D">
        <w:t xml:space="preserve">. </w:t>
      </w:r>
      <w:r w:rsidR="00943755" w:rsidRPr="00043B8D">
        <w:t xml:space="preserve">Het is </w:t>
      </w:r>
      <w:r w:rsidR="008A51BA" w:rsidRPr="00043B8D">
        <w:t xml:space="preserve">dan </w:t>
      </w:r>
      <w:r w:rsidR="00943755" w:rsidRPr="00043B8D">
        <w:t xml:space="preserve">noodzakelijk </w:t>
      </w:r>
      <w:r w:rsidR="00C77880" w:rsidRPr="00043B8D">
        <w:t xml:space="preserve">om </w:t>
      </w:r>
      <w:r w:rsidR="003F06D2" w:rsidRPr="00043B8D">
        <w:t xml:space="preserve">ze </w:t>
      </w:r>
      <w:r w:rsidR="008A51BA" w:rsidRPr="00043B8D">
        <w:t xml:space="preserve">weg te halen </w:t>
      </w:r>
      <w:r w:rsidR="00401991" w:rsidRPr="00043B8D">
        <w:t xml:space="preserve">uit de inkomstenregulering </w:t>
      </w:r>
      <w:r w:rsidR="00393A62" w:rsidRPr="00043B8D">
        <w:t xml:space="preserve">en op een andere wijze te </w:t>
      </w:r>
      <w:r w:rsidR="00B65AFD" w:rsidRPr="00043B8D">
        <w:t>behandelen</w:t>
      </w:r>
      <w:r w:rsidR="00307CCB" w:rsidRPr="00043B8D">
        <w:t>.</w:t>
      </w:r>
      <w:r w:rsidR="003F06D2" w:rsidRPr="00043B8D">
        <w:t xml:space="preserve"> </w:t>
      </w:r>
      <w:r w:rsidR="00307CCB" w:rsidRPr="00043B8D">
        <w:t xml:space="preserve"> </w:t>
      </w:r>
    </w:p>
    <w:p w14:paraId="42775C22" w14:textId="77777777" w:rsidR="004E30D5" w:rsidRPr="00043B8D" w:rsidRDefault="004E30D5" w:rsidP="00B532CD"/>
    <w:p w14:paraId="78166BF9" w14:textId="79363F05" w:rsidR="00EE09BD" w:rsidRPr="00043B8D" w:rsidRDefault="003F06D2" w:rsidP="00B532CD">
      <w:r w:rsidRPr="00043B8D">
        <w:t xml:space="preserve">De </w:t>
      </w:r>
      <w:r w:rsidR="008A5CE3" w:rsidRPr="00043B8D">
        <w:t xml:space="preserve">voorziene inkomsten uit </w:t>
      </w:r>
      <w:r w:rsidRPr="00043B8D">
        <w:t xml:space="preserve">distributienettarieven </w:t>
      </w:r>
      <w:r w:rsidR="008A5CE3" w:rsidRPr="00043B8D">
        <w:t xml:space="preserve">ter dekking </w:t>
      </w:r>
      <w:r w:rsidR="00943BD0" w:rsidRPr="00043B8D">
        <w:t xml:space="preserve">van </w:t>
      </w:r>
      <w:r w:rsidR="008A5CE3" w:rsidRPr="00043B8D">
        <w:t xml:space="preserve">de exogene kosten </w:t>
      </w:r>
      <w:r w:rsidRPr="00043B8D">
        <w:t xml:space="preserve">zullen desgevallend </w:t>
      </w:r>
      <w:r w:rsidR="00970EB9" w:rsidRPr="00043B8D">
        <w:t xml:space="preserve">jaarlijks </w:t>
      </w:r>
      <w:r w:rsidR="00943BD0" w:rsidRPr="00043B8D">
        <w:t xml:space="preserve">kunnen </w:t>
      </w:r>
      <w:r w:rsidR="00970EB9" w:rsidRPr="00043B8D">
        <w:t xml:space="preserve">worden </w:t>
      </w:r>
      <w:r w:rsidRPr="00043B8D">
        <w:t xml:space="preserve">bijgestuurd naargelang de evolutie van de exogene kosten en de </w:t>
      </w:r>
      <w:r w:rsidR="008A5CE3" w:rsidRPr="00043B8D">
        <w:t xml:space="preserve">werkelijke </w:t>
      </w:r>
      <w:r w:rsidRPr="00043B8D">
        <w:t>ontvangsten uit de distributienettarieven</w:t>
      </w:r>
      <w:r w:rsidR="00970EB9" w:rsidRPr="00043B8D">
        <w:t>.</w:t>
      </w:r>
      <w:r w:rsidRPr="00043B8D">
        <w:t xml:space="preserve"> De ontstane saldi tussen de werkelijke exogene kosten en de werkelijke opbrengsten ter dekking van de exogene kosten zijn voor rekening van de distributienetgebruikers.</w:t>
      </w:r>
      <w:r w:rsidR="00970EB9" w:rsidRPr="00043B8D">
        <w:t xml:space="preserve"> </w:t>
      </w:r>
      <w:r w:rsidRPr="00043B8D">
        <w:t>De</w:t>
      </w:r>
      <w:r w:rsidR="008A5CE3" w:rsidRPr="00043B8D">
        <w:t>ze</w:t>
      </w:r>
      <w:r w:rsidRPr="00043B8D">
        <w:t xml:space="preserve"> </w:t>
      </w:r>
      <w:r w:rsidR="008A5CE3" w:rsidRPr="00043B8D">
        <w:t xml:space="preserve">mogelijkheid tot </w:t>
      </w:r>
      <w:r w:rsidRPr="00043B8D">
        <w:t xml:space="preserve">jaarlijkse update </w:t>
      </w:r>
      <w:r w:rsidR="00681894" w:rsidRPr="00043B8D">
        <w:t xml:space="preserve">kan </w:t>
      </w:r>
      <w:r w:rsidRPr="00043B8D">
        <w:t>vermijd</w:t>
      </w:r>
      <w:r w:rsidR="00681894" w:rsidRPr="00043B8D">
        <w:t>en</w:t>
      </w:r>
      <w:r w:rsidRPr="00043B8D">
        <w:t xml:space="preserve"> dat een </w:t>
      </w:r>
      <w:r w:rsidR="008A5CE3" w:rsidRPr="00043B8D">
        <w:t xml:space="preserve">te </w:t>
      </w:r>
      <w:r w:rsidRPr="00043B8D">
        <w:t xml:space="preserve">groot saldo zich </w:t>
      </w:r>
      <w:r w:rsidR="00BE1DBB" w:rsidRPr="00043B8D">
        <w:t xml:space="preserve">over meerdere jaren </w:t>
      </w:r>
      <w:r w:rsidRPr="00043B8D">
        <w:t xml:space="preserve">zou opbouwen </w:t>
      </w:r>
      <w:r w:rsidR="00F456DD" w:rsidRPr="00043B8D">
        <w:t xml:space="preserve">en </w:t>
      </w:r>
      <w:r w:rsidRPr="00043B8D">
        <w:t xml:space="preserve">bij </w:t>
      </w:r>
      <w:r w:rsidR="00CA434E" w:rsidRPr="00043B8D">
        <w:t xml:space="preserve">zijn </w:t>
      </w:r>
      <w:r w:rsidRPr="00043B8D">
        <w:t xml:space="preserve">verwerking </w:t>
      </w:r>
      <w:r w:rsidR="00CA434E" w:rsidRPr="00043B8D">
        <w:t xml:space="preserve">in de distributienettarieven </w:t>
      </w:r>
      <w:r w:rsidRPr="00043B8D">
        <w:t>een tariefschok zou veroorzaken</w:t>
      </w:r>
      <w:r w:rsidR="00970EB9" w:rsidRPr="00043B8D">
        <w:t>.</w:t>
      </w:r>
      <w:r w:rsidR="000C0BF2" w:rsidRPr="00043B8D">
        <w:t xml:space="preserve"> </w:t>
      </w:r>
      <w:r w:rsidR="00C222B3" w:rsidRPr="00043B8D">
        <w:t xml:space="preserve">Het draagt tevens bij aan de transparantie </w:t>
      </w:r>
      <w:r w:rsidR="00FF76B8" w:rsidRPr="00043B8D">
        <w:t xml:space="preserve">over de impact van </w:t>
      </w:r>
      <w:r w:rsidR="008A5CE3" w:rsidRPr="00043B8D">
        <w:t xml:space="preserve">nieuwe externe </w:t>
      </w:r>
      <w:r w:rsidR="000C0BF2" w:rsidRPr="00043B8D">
        <w:t xml:space="preserve">beslissingen m.b.t. </w:t>
      </w:r>
      <w:r w:rsidR="00672E76" w:rsidRPr="00043B8D">
        <w:t xml:space="preserve">de </w:t>
      </w:r>
      <w:r w:rsidR="000C0BF2" w:rsidRPr="00043B8D">
        <w:t>exogene kosten.</w:t>
      </w:r>
      <w:r w:rsidR="00B03EC1" w:rsidRPr="00043B8D">
        <w:t xml:space="preserve"> </w:t>
      </w:r>
      <w:r w:rsidR="009912F0" w:rsidRPr="00043B8D">
        <w:t xml:space="preserve">De exogene kosten worden verder </w:t>
      </w:r>
      <w:r w:rsidR="00B03EC1" w:rsidRPr="00043B8D">
        <w:t>gedetailleerd bespr</w:t>
      </w:r>
      <w:r w:rsidR="009912F0" w:rsidRPr="00043B8D">
        <w:t xml:space="preserve">oken (par. </w:t>
      </w:r>
      <w:r w:rsidR="00B03EC1" w:rsidRPr="00043B8D">
        <w:fldChar w:fldCharType="begin"/>
      </w:r>
      <w:r w:rsidR="00B03EC1" w:rsidRPr="00043B8D">
        <w:instrText xml:space="preserve"> REF _Ref363651894 \r \h </w:instrText>
      </w:r>
      <w:r w:rsidR="00043B8D">
        <w:instrText xml:space="preserve"> \* MERGEFORMAT </w:instrText>
      </w:r>
      <w:r w:rsidR="00B03EC1" w:rsidRPr="00043B8D">
        <w:fldChar w:fldCharType="separate"/>
      </w:r>
      <w:r w:rsidR="00B30F9B">
        <w:t>5.4</w:t>
      </w:r>
      <w:r w:rsidR="00B03EC1" w:rsidRPr="00043B8D">
        <w:fldChar w:fldCharType="end"/>
      </w:r>
      <w:r w:rsidR="009912F0" w:rsidRPr="00043B8D">
        <w:t>)</w:t>
      </w:r>
      <w:r w:rsidR="00DB74AD" w:rsidRPr="00043B8D">
        <w:t>.</w:t>
      </w:r>
    </w:p>
    <w:p w14:paraId="0F3937AE" w14:textId="77777777" w:rsidR="008A5CE3" w:rsidRPr="00043B8D" w:rsidRDefault="008A5CE3" w:rsidP="00B532CD"/>
    <w:p w14:paraId="2119CA61" w14:textId="77777777" w:rsidR="00E621BB" w:rsidRPr="00043B8D" w:rsidRDefault="00E621BB" w:rsidP="00B532CD">
      <w:pPr>
        <w:rPr>
          <w:i/>
        </w:rPr>
      </w:pPr>
      <w:r w:rsidRPr="00043B8D">
        <w:rPr>
          <w:i/>
        </w:rPr>
        <w:t xml:space="preserve">Niet-exogene kosten </w:t>
      </w:r>
    </w:p>
    <w:p w14:paraId="7575BF9B" w14:textId="77777777" w:rsidR="00E621BB" w:rsidRPr="00043B8D" w:rsidRDefault="00E621BB" w:rsidP="00B532CD"/>
    <w:p w14:paraId="41448B61" w14:textId="311CACC3" w:rsidR="00CD4CFE" w:rsidRPr="00043B8D" w:rsidRDefault="008F2BF8" w:rsidP="00B532CD">
      <w:r w:rsidRPr="00043B8D">
        <w:t>H</w:t>
      </w:r>
      <w:r w:rsidR="00B03EC1" w:rsidRPr="00043B8D">
        <w:t xml:space="preserve">et inkomen </w:t>
      </w:r>
      <w:r w:rsidRPr="00043B8D">
        <w:t xml:space="preserve">van een distributienetbeheerder uit zijn distributienettarieven zal enerzijds dienen </w:t>
      </w:r>
      <w:r w:rsidR="00B03EC1" w:rsidRPr="00043B8D">
        <w:t xml:space="preserve">voor </w:t>
      </w:r>
      <w:r w:rsidRPr="00043B8D">
        <w:t xml:space="preserve">zijn </w:t>
      </w:r>
      <w:r w:rsidR="00B03EC1" w:rsidRPr="00043B8D">
        <w:t>exogene kosten</w:t>
      </w:r>
      <w:r w:rsidRPr="00043B8D">
        <w:t xml:space="preserve"> en anderzijds </w:t>
      </w:r>
      <w:r w:rsidR="00B03EC1" w:rsidRPr="00043B8D">
        <w:t xml:space="preserve">voor </w:t>
      </w:r>
      <w:r w:rsidRPr="00043B8D">
        <w:t xml:space="preserve">zijn </w:t>
      </w:r>
      <w:r w:rsidR="00B03EC1" w:rsidRPr="00043B8D">
        <w:rPr>
          <w:i/>
        </w:rPr>
        <w:t>niet-exogene kosten</w:t>
      </w:r>
      <w:r w:rsidRPr="00043B8D">
        <w:t>.</w:t>
      </w:r>
      <w:r w:rsidR="00681894" w:rsidRPr="00043B8D">
        <w:t xml:space="preserve"> </w:t>
      </w:r>
      <w:r w:rsidRPr="00043B8D">
        <w:t>Deze laatste kostengroep is onderhevig aan een inkomstenregulering waarin door de VREG een kapitaalkostenvergoeding wordt opgenomen</w:t>
      </w:r>
      <w:r w:rsidR="00B03EC1" w:rsidRPr="00043B8D">
        <w:t xml:space="preserve">. </w:t>
      </w:r>
      <w:r w:rsidR="00A763C0" w:rsidRPr="00043B8D">
        <w:t xml:space="preserve">Welke kosten de </w:t>
      </w:r>
      <w:r w:rsidR="00B03EC1" w:rsidRPr="00043B8D">
        <w:t>niet-exogene kos</w:t>
      </w:r>
      <w:r w:rsidR="00D86AB8" w:rsidRPr="00043B8D">
        <w:t xml:space="preserve">ten </w:t>
      </w:r>
      <w:r w:rsidR="00A763C0" w:rsidRPr="00043B8D">
        <w:t xml:space="preserve">zijn, </w:t>
      </w:r>
      <w:r w:rsidR="00A77C4D" w:rsidRPr="00043B8D">
        <w:t>word</w:t>
      </w:r>
      <w:r w:rsidR="00A763C0" w:rsidRPr="00043B8D">
        <w:t>t</w:t>
      </w:r>
      <w:r w:rsidR="00A77C4D" w:rsidRPr="00043B8D">
        <w:t xml:space="preserve"> verder </w:t>
      </w:r>
      <w:r w:rsidRPr="00043B8D">
        <w:t xml:space="preserve">in de tekst </w:t>
      </w:r>
      <w:r w:rsidR="00A77C4D" w:rsidRPr="00043B8D">
        <w:t>verduidelijk</w:t>
      </w:r>
      <w:r w:rsidR="00A763C0" w:rsidRPr="00043B8D">
        <w:t>t</w:t>
      </w:r>
      <w:r w:rsidR="00A77C4D" w:rsidRPr="00043B8D">
        <w:t xml:space="preserve"> (par. </w:t>
      </w:r>
      <w:r w:rsidR="00B03EC1" w:rsidRPr="00043B8D">
        <w:fldChar w:fldCharType="begin"/>
      </w:r>
      <w:r w:rsidR="00B03EC1" w:rsidRPr="00043B8D">
        <w:instrText xml:space="preserve"> REF _Ref363653859 \r \h </w:instrText>
      </w:r>
      <w:r w:rsidR="00043B8D">
        <w:instrText xml:space="preserve"> \* MERGEFORMAT </w:instrText>
      </w:r>
      <w:r w:rsidR="00B03EC1" w:rsidRPr="00043B8D">
        <w:fldChar w:fldCharType="separate"/>
      </w:r>
      <w:r w:rsidR="00B30F9B">
        <w:t>5.3</w:t>
      </w:r>
      <w:r w:rsidR="00B03EC1" w:rsidRPr="00043B8D">
        <w:fldChar w:fldCharType="end"/>
      </w:r>
      <w:r w:rsidR="00A77C4D" w:rsidRPr="00043B8D">
        <w:t>)</w:t>
      </w:r>
      <w:r w:rsidR="00B03EC1" w:rsidRPr="00043B8D">
        <w:t>.</w:t>
      </w:r>
    </w:p>
    <w:p w14:paraId="7DA3DBA1" w14:textId="77777777" w:rsidR="00CD4CFE" w:rsidRPr="00043B8D" w:rsidRDefault="00CD4CFE" w:rsidP="00B532CD"/>
    <w:p w14:paraId="122DB610" w14:textId="77777777" w:rsidR="00E621BB" w:rsidRPr="00043B8D" w:rsidRDefault="00E621BB" w:rsidP="00B532CD">
      <w:pPr>
        <w:rPr>
          <w:i/>
        </w:rPr>
      </w:pPr>
      <w:r w:rsidRPr="00043B8D">
        <w:rPr>
          <w:i/>
        </w:rPr>
        <w:t>Overige kosten</w:t>
      </w:r>
    </w:p>
    <w:p w14:paraId="7EAE3FFA" w14:textId="77777777" w:rsidR="00E621BB" w:rsidRPr="00043B8D" w:rsidRDefault="00E621BB" w:rsidP="00B532CD"/>
    <w:p w14:paraId="7DD9548D" w14:textId="432AE275" w:rsidR="00EA7CA6" w:rsidRPr="00043B8D" w:rsidRDefault="00EA7CA6" w:rsidP="00B532CD">
      <w:r w:rsidRPr="00043B8D">
        <w:t xml:space="preserve">Niet alle kosten van een distributienetbeheerder worden </w:t>
      </w:r>
      <w:r w:rsidR="00A763C0" w:rsidRPr="00043B8D">
        <w:t xml:space="preserve">door de VREG </w:t>
      </w:r>
      <w:r w:rsidRPr="00043B8D">
        <w:t xml:space="preserve">beschouwd ter bepaling van zijn toegelaten inkomen. Bijvoorbeeld de kosten van boetes die de distributienetbeheerder moet betalen, mogen niet aan de distributienetgebruikers doorgerekend worden. Deze zijn voor rekening van de distributienetbeheerder. Ook de boekhoudkundige kosten en opbrengsten in het kader van </w:t>
      </w:r>
      <w:r w:rsidR="00A763C0" w:rsidRPr="00043B8D">
        <w:t xml:space="preserve">een </w:t>
      </w:r>
      <w:r w:rsidRPr="00043B8D">
        <w:t>winstverwerking door de distributienetbeheerder zijn niet relevant. D</w:t>
      </w:r>
      <w:r w:rsidR="00D313E7" w:rsidRPr="00043B8D">
        <w:t xml:space="preserve">it beperkt aantal </w:t>
      </w:r>
      <w:r w:rsidRPr="00043B8D">
        <w:t>kosten word</w:t>
      </w:r>
      <w:r w:rsidR="00D313E7" w:rsidRPr="00043B8D">
        <w:t>t</w:t>
      </w:r>
      <w:r w:rsidR="00681894" w:rsidRPr="00043B8D">
        <w:t xml:space="preserve"> in de tariefmethodologie </w:t>
      </w:r>
      <w:r w:rsidRPr="00043B8D">
        <w:rPr>
          <w:i/>
        </w:rPr>
        <w:t>overige kosten</w:t>
      </w:r>
      <w:r w:rsidRPr="00043B8D">
        <w:t xml:space="preserve"> genoemd en worden o.a. vermeld in par. </w:t>
      </w:r>
      <w:r w:rsidRPr="00043B8D">
        <w:fldChar w:fldCharType="begin"/>
      </w:r>
      <w:r w:rsidRPr="00043B8D">
        <w:instrText xml:space="preserve"> REF _Ref363648921 \r \h </w:instrText>
      </w:r>
      <w:r w:rsidR="00043B8D">
        <w:instrText xml:space="preserve"> \* MERGEFORMAT </w:instrText>
      </w:r>
      <w:r w:rsidRPr="00043B8D">
        <w:fldChar w:fldCharType="separate"/>
      </w:r>
      <w:r w:rsidR="00B30F9B">
        <w:t>5.3.2</w:t>
      </w:r>
      <w:r w:rsidRPr="00043B8D">
        <w:fldChar w:fldCharType="end"/>
      </w:r>
      <w:r w:rsidRPr="00043B8D">
        <w:t xml:space="preserve">. Aldus kan een opdeling van de kosten van de distributienetbeheerder gemaakt worden volgens </w:t>
      </w:r>
      <w:r w:rsidR="002A794E" w:rsidRPr="00043B8D">
        <w:fldChar w:fldCharType="begin"/>
      </w:r>
      <w:r w:rsidR="002A794E" w:rsidRPr="00043B8D">
        <w:instrText xml:space="preserve"> REF _Ref390765932 \h </w:instrText>
      </w:r>
      <w:r w:rsidR="00043B8D">
        <w:instrText xml:space="preserve"> \* MERGEFORMAT </w:instrText>
      </w:r>
      <w:r w:rsidR="002A794E" w:rsidRPr="00043B8D">
        <w:fldChar w:fldCharType="separate"/>
      </w:r>
      <w:r w:rsidR="00B30F9B" w:rsidRPr="00043B8D">
        <w:t xml:space="preserve">Tabel </w:t>
      </w:r>
      <w:r w:rsidR="00B30F9B">
        <w:rPr>
          <w:noProof/>
        </w:rPr>
        <w:t>1</w:t>
      </w:r>
      <w:r w:rsidR="002A794E" w:rsidRPr="00043B8D">
        <w:fldChar w:fldCharType="end"/>
      </w:r>
      <w:r w:rsidR="002A794E" w:rsidRPr="00043B8D">
        <w:t>.</w:t>
      </w:r>
      <w:r w:rsidRPr="00043B8D">
        <w:t xml:space="preserve">  </w:t>
      </w:r>
    </w:p>
    <w:p w14:paraId="158D9372" w14:textId="77777777" w:rsidR="00EA7CA6" w:rsidRPr="00043B8D" w:rsidRDefault="00EA7CA6" w:rsidP="00B532CD"/>
    <w:p w14:paraId="735E3761" w14:textId="77777777" w:rsidR="00D313E7" w:rsidRPr="000D284A" w:rsidRDefault="00D313E7" w:rsidP="00654C50">
      <w:pPr>
        <w:pStyle w:val="Bijschrift"/>
        <w:keepNext/>
        <w:jc w:val="left"/>
        <w:rPr>
          <w:b w:val="0"/>
          <w:i/>
        </w:rPr>
      </w:pPr>
      <w:bookmarkStart w:id="313" w:name="_Ref390765932"/>
      <w:r w:rsidRPr="000D284A">
        <w:rPr>
          <w:b w:val="0"/>
          <w:i/>
        </w:rPr>
        <w:t xml:space="preserve">Tabel </w:t>
      </w:r>
      <w:r w:rsidRPr="000D284A">
        <w:rPr>
          <w:b w:val="0"/>
          <w:i/>
        </w:rPr>
        <w:fldChar w:fldCharType="begin"/>
      </w:r>
      <w:r w:rsidRPr="000D284A">
        <w:rPr>
          <w:b w:val="0"/>
          <w:i/>
        </w:rPr>
        <w:instrText xml:space="preserve"> SEQ Tabel \* ARABIC </w:instrText>
      </w:r>
      <w:r w:rsidRPr="000D284A">
        <w:rPr>
          <w:b w:val="0"/>
          <w:i/>
        </w:rPr>
        <w:fldChar w:fldCharType="separate"/>
      </w:r>
      <w:r w:rsidR="000D284A">
        <w:rPr>
          <w:b w:val="0"/>
          <w:i/>
          <w:noProof/>
        </w:rPr>
        <w:t>1</w:t>
      </w:r>
      <w:r w:rsidRPr="000D284A">
        <w:rPr>
          <w:b w:val="0"/>
          <w:i/>
        </w:rPr>
        <w:fldChar w:fldCharType="end"/>
      </w:r>
      <w:bookmarkEnd w:id="313"/>
      <w:r w:rsidRPr="000D284A">
        <w:rPr>
          <w:b w:val="0"/>
          <w:i/>
        </w:rPr>
        <w:t xml:space="preserve"> Indeling kosten van de distributienetbeheerder </w:t>
      </w:r>
      <w:r w:rsidR="00FE35A9" w:rsidRPr="000D284A">
        <w:rPr>
          <w:b w:val="0"/>
          <w:i/>
        </w:rPr>
        <w:t xml:space="preserve">in tariefmethodologie </w:t>
      </w:r>
    </w:p>
    <w:tbl>
      <w:tblPr>
        <w:tblStyle w:val="Tabelraster"/>
        <w:tblW w:w="9072" w:type="dxa"/>
        <w:tblInd w:w="108" w:type="dxa"/>
        <w:tblLook w:val="04A0" w:firstRow="1" w:lastRow="0" w:firstColumn="1" w:lastColumn="0" w:noHBand="0" w:noVBand="1"/>
      </w:tblPr>
      <w:tblGrid>
        <w:gridCol w:w="3070"/>
        <w:gridCol w:w="3070"/>
        <w:gridCol w:w="2932"/>
      </w:tblGrid>
      <w:tr w:rsidR="00D313E7" w:rsidRPr="00043B8D" w14:paraId="1F2F5F13" w14:textId="77777777" w:rsidTr="00132786">
        <w:trPr>
          <w:trHeight w:val="681"/>
        </w:trPr>
        <w:tc>
          <w:tcPr>
            <w:tcW w:w="9072" w:type="dxa"/>
            <w:gridSpan w:val="3"/>
            <w:vAlign w:val="center"/>
          </w:tcPr>
          <w:p w14:paraId="007F8292" w14:textId="77777777" w:rsidR="00D313E7" w:rsidRPr="00043B8D" w:rsidRDefault="00D313E7" w:rsidP="00D313E7">
            <w:pPr>
              <w:jc w:val="center"/>
            </w:pPr>
            <w:r w:rsidRPr="00043B8D">
              <w:t>Kosten van de distributienetbeheerder</w:t>
            </w:r>
          </w:p>
          <w:p w14:paraId="36C0D81B" w14:textId="77777777" w:rsidR="00E621BB" w:rsidRPr="00043B8D" w:rsidRDefault="00E621BB" w:rsidP="00D313E7">
            <w:pPr>
              <w:jc w:val="center"/>
            </w:pPr>
            <w:r w:rsidRPr="00043B8D">
              <w:t>Gereguleerde activiteit</w:t>
            </w:r>
          </w:p>
        </w:tc>
      </w:tr>
      <w:tr w:rsidR="00D313E7" w:rsidRPr="00043B8D" w14:paraId="32FC5821" w14:textId="77777777" w:rsidTr="00132786">
        <w:trPr>
          <w:trHeight w:val="571"/>
        </w:trPr>
        <w:tc>
          <w:tcPr>
            <w:tcW w:w="3070" w:type="dxa"/>
            <w:vAlign w:val="center"/>
          </w:tcPr>
          <w:p w14:paraId="775F23FB" w14:textId="54FEA24A" w:rsidR="00D313E7" w:rsidRPr="00043B8D" w:rsidRDefault="00D313E7" w:rsidP="00E621BB">
            <w:pPr>
              <w:jc w:val="center"/>
            </w:pPr>
            <w:r w:rsidRPr="00043B8D">
              <w:t>Exogene</w:t>
            </w:r>
            <w:r w:rsidR="00A763C0" w:rsidRPr="00043B8D">
              <w:t xml:space="preserve"> kosten</w:t>
            </w:r>
          </w:p>
        </w:tc>
        <w:tc>
          <w:tcPr>
            <w:tcW w:w="3070" w:type="dxa"/>
            <w:vAlign w:val="center"/>
          </w:tcPr>
          <w:p w14:paraId="17F44A59" w14:textId="47A4D9C8" w:rsidR="00D313E7" w:rsidRPr="00043B8D" w:rsidRDefault="00D313E7" w:rsidP="00E621BB">
            <w:pPr>
              <w:jc w:val="center"/>
            </w:pPr>
            <w:r w:rsidRPr="00043B8D">
              <w:t>Niet-exogene</w:t>
            </w:r>
            <w:r w:rsidR="00A763C0" w:rsidRPr="00043B8D">
              <w:t xml:space="preserve"> kosten</w:t>
            </w:r>
          </w:p>
        </w:tc>
        <w:tc>
          <w:tcPr>
            <w:tcW w:w="2932" w:type="dxa"/>
            <w:vAlign w:val="center"/>
          </w:tcPr>
          <w:p w14:paraId="11D4FD0B" w14:textId="1A43B2E3" w:rsidR="00D313E7" w:rsidRPr="00043B8D" w:rsidRDefault="00D313E7" w:rsidP="00E621BB">
            <w:pPr>
              <w:jc w:val="center"/>
            </w:pPr>
            <w:r w:rsidRPr="00043B8D">
              <w:t>Overige</w:t>
            </w:r>
            <w:r w:rsidR="00A763C0" w:rsidRPr="00043B8D">
              <w:t xml:space="preserve"> kosten</w:t>
            </w:r>
          </w:p>
        </w:tc>
      </w:tr>
      <w:tr w:rsidR="00A763C0" w:rsidRPr="00043B8D" w14:paraId="2495471D" w14:textId="77777777" w:rsidTr="00132786">
        <w:trPr>
          <w:trHeight w:val="1022"/>
        </w:trPr>
        <w:tc>
          <w:tcPr>
            <w:tcW w:w="3070" w:type="dxa"/>
            <w:vAlign w:val="center"/>
          </w:tcPr>
          <w:p w14:paraId="0CF8CF3D" w14:textId="0DF2958B" w:rsidR="00A763C0" w:rsidRPr="00043B8D" w:rsidRDefault="006E5F89" w:rsidP="00A763C0">
            <w:pPr>
              <w:jc w:val="center"/>
            </w:pPr>
            <w:r w:rsidRPr="00043B8D">
              <w:t xml:space="preserve">Voor rekening van de distributienetgebruikers </w:t>
            </w:r>
            <w:r w:rsidR="00A763C0" w:rsidRPr="00043B8D">
              <w:t xml:space="preserve"> </w:t>
            </w:r>
          </w:p>
        </w:tc>
        <w:tc>
          <w:tcPr>
            <w:tcW w:w="3070" w:type="dxa"/>
            <w:vAlign w:val="center"/>
          </w:tcPr>
          <w:p w14:paraId="40331A39" w14:textId="2C159DF2" w:rsidR="00A763C0" w:rsidRPr="00043B8D" w:rsidRDefault="006E5F89" w:rsidP="006E5F89">
            <w:pPr>
              <w:jc w:val="center"/>
            </w:pPr>
            <w:r w:rsidRPr="00043B8D">
              <w:t>Verrekening naar distributienettarieven via  i</w:t>
            </w:r>
            <w:r w:rsidR="00A763C0" w:rsidRPr="00043B8D">
              <w:t>nkomstenregulering</w:t>
            </w:r>
          </w:p>
        </w:tc>
        <w:tc>
          <w:tcPr>
            <w:tcW w:w="2932" w:type="dxa"/>
            <w:vAlign w:val="center"/>
          </w:tcPr>
          <w:p w14:paraId="0381C5FE" w14:textId="66A8A333" w:rsidR="00A763C0" w:rsidRPr="00043B8D" w:rsidRDefault="006E5F89" w:rsidP="00E621BB">
            <w:pPr>
              <w:jc w:val="center"/>
            </w:pPr>
            <w:r w:rsidRPr="00043B8D">
              <w:t>Voor rekening van de distributienetbeheerder</w:t>
            </w:r>
          </w:p>
        </w:tc>
      </w:tr>
    </w:tbl>
    <w:p w14:paraId="15CDA842" w14:textId="77777777" w:rsidR="00E621BB" w:rsidRPr="00043B8D" w:rsidRDefault="00E621BB" w:rsidP="00B532CD"/>
    <w:p w14:paraId="03C1C2B4" w14:textId="4F0EB740" w:rsidR="005A6DC2" w:rsidRPr="00043B8D" w:rsidRDefault="00E621BB" w:rsidP="00B532CD">
      <w:r w:rsidRPr="00043B8D">
        <w:t xml:space="preserve">De VREG zal bijgevolg een toegelaten inkomen uit periodieke distributienettarieven bepalen per distributienetbeheerder en per jaar van de reguleringsperiode </w:t>
      </w:r>
      <w:r w:rsidR="00E34F83" w:rsidRPr="00043B8D">
        <w:t xml:space="preserve">met onderscheid tussen </w:t>
      </w:r>
      <w:r w:rsidRPr="00043B8D">
        <w:t>exogene</w:t>
      </w:r>
      <w:r w:rsidR="00E34F83" w:rsidRPr="00043B8D">
        <w:t xml:space="preserve">, </w:t>
      </w:r>
      <w:r w:rsidRPr="00043B8D">
        <w:t xml:space="preserve">niet-exogene </w:t>
      </w:r>
      <w:r w:rsidR="00E34F83" w:rsidRPr="00043B8D">
        <w:t xml:space="preserve">en overige </w:t>
      </w:r>
      <w:r w:rsidRPr="00043B8D">
        <w:t>kosten. De inkomsten v</w:t>
      </w:r>
      <w:r w:rsidR="00E34F83" w:rsidRPr="00043B8D">
        <w:t>oor</w:t>
      </w:r>
      <w:r w:rsidRPr="00043B8D">
        <w:t xml:space="preserve"> de exogene kosten zijn </w:t>
      </w:r>
      <w:r w:rsidR="00E34F83" w:rsidRPr="00043B8D">
        <w:t xml:space="preserve">op </w:t>
      </w:r>
      <w:r w:rsidRPr="00043B8D">
        <w:t xml:space="preserve">maat van de exogene kosten waarmee de individuele distributienetbeheerder wordt geconfronteerd. De inkomsten voor de niet-exogene kosten volgen uit een bevorderende </w:t>
      </w:r>
      <w:r w:rsidR="00E34F83" w:rsidRPr="00043B8D">
        <w:t>inkomsten</w:t>
      </w:r>
      <w:r w:rsidRPr="00043B8D">
        <w:t>regulering toegepast op de groep van distributienetbeheerders binnen eenzelfde activiteit ter stimulering van een efficiënte bedrijfsvoering</w:t>
      </w:r>
      <w:r w:rsidR="00E34F83" w:rsidRPr="00043B8D">
        <w:t xml:space="preserve">, zoals verder in de tekst verduidelijkt. </w:t>
      </w:r>
      <w:r w:rsidR="005A6DC2" w:rsidRPr="00043B8D">
        <w:t>De distributienetbeheerder zal het toegelaten inkomen vervolgens omzetten tot een tariefvoorstel voor periodieke distributienettarieven.</w:t>
      </w:r>
    </w:p>
    <w:p w14:paraId="3B572F42" w14:textId="77777777" w:rsidR="005A6DC2" w:rsidRPr="00043B8D" w:rsidRDefault="005A6DC2" w:rsidP="00B532CD"/>
    <w:p w14:paraId="0410979B" w14:textId="77777777" w:rsidR="00E34F83" w:rsidRPr="00043B8D" w:rsidRDefault="00E34F83" w:rsidP="00E34F83">
      <w:pPr>
        <w:rPr>
          <w:i/>
        </w:rPr>
      </w:pPr>
      <w:r w:rsidRPr="00043B8D">
        <w:rPr>
          <w:i/>
        </w:rPr>
        <w:t>Uitwerking tot formule</w:t>
      </w:r>
    </w:p>
    <w:p w14:paraId="5B6D1D79" w14:textId="77777777" w:rsidR="00E34F83" w:rsidRPr="00043B8D" w:rsidRDefault="00E34F83" w:rsidP="00B532CD"/>
    <w:p w14:paraId="270A0555" w14:textId="53382A43" w:rsidR="00E34F83" w:rsidRPr="00043B8D" w:rsidRDefault="000D2719" w:rsidP="00E34F83">
      <w:r w:rsidRPr="00043B8D">
        <w:t xml:space="preserve">De formule </w:t>
      </w:r>
      <w:r w:rsidR="004A026F" w:rsidRPr="00043B8D">
        <w:t xml:space="preserve">ter berekening van het </w:t>
      </w:r>
      <w:r w:rsidR="001667E1" w:rsidRPr="00043B8D">
        <w:t>toegelaten</w:t>
      </w:r>
      <w:r w:rsidR="00A35535" w:rsidRPr="00043B8D">
        <w:t xml:space="preserve"> </w:t>
      </w:r>
      <w:r w:rsidR="004A026F" w:rsidRPr="00043B8D">
        <w:t>inkome</w:t>
      </w:r>
      <w:r w:rsidR="00850888" w:rsidRPr="00043B8D">
        <w:t>n</w:t>
      </w:r>
      <w:r w:rsidR="004A026F" w:rsidRPr="00043B8D">
        <w:t xml:space="preserve"> </w:t>
      </w:r>
      <w:r w:rsidR="008F11D6" w:rsidRPr="00043B8D">
        <w:t xml:space="preserve">(EUR) </w:t>
      </w:r>
      <w:r w:rsidR="00B547B3" w:rsidRPr="00043B8D">
        <w:t>van een distributienetbeheerder</w:t>
      </w:r>
      <w:r w:rsidR="00672E76" w:rsidRPr="00043B8D">
        <w:t xml:space="preserve"> </w:t>
      </w:r>
      <w:r w:rsidR="00337125" w:rsidRPr="00043B8D">
        <w:rPr>
          <w:i/>
        </w:rPr>
        <w:t>i</w:t>
      </w:r>
      <w:r w:rsidR="00337125" w:rsidRPr="00043B8D">
        <w:t xml:space="preserve"> </w:t>
      </w:r>
      <w:r w:rsidR="00672E76" w:rsidRPr="00043B8D">
        <w:t xml:space="preserve">uit zijn </w:t>
      </w:r>
      <w:r w:rsidR="00E51D19" w:rsidRPr="00043B8D">
        <w:t xml:space="preserve">periodieke </w:t>
      </w:r>
      <w:r w:rsidR="00672E76" w:rsidRPr="00043B8D">
        <w:t xml:space="preserve">distributienettarieven </w:t>
      </w:r>
      <w:r w:rsidR="00E51D19" w:rsidRPr="00043B8D">
        <w:t xml:space="preserve">in </w:t>
      </w:r>
      <w:r w:rsidR="00FF76B8" w:rsidRPr="00043B8D">
        <w:t>het</w:t>
      </w:r>
      <w:r w:rsidR="00E51D19" w:rsidRPr="00043B8D">
        <w:t xml:space="preserve"> </w:t>
      </w:r>
      <w:r w:rsidR="00672E76" w:rsidRPr="00043B8D">
        <w:t xml:space="preserve">jaar </w:t>
      </w:r>
      <w:r w:rsidR="00672E76" w:rsidRPr="00043B8D">
        <w:rPr>
          <w:i/>
        </w:rPr>
        <w:t>j</w:t>
      </w:r>
      <w:r w:rsidR="008E61C4" w:rsidRPr="00043B8D">
        <w:t xml:space="preserve"> binnen een lopende reguleringsperiode,</w:t>
      </w:r>
      <w:r w:rsidR="00532510" w:rsidRPr="00043B8D">
        <w:t xml:space="preserve"> </w:t>
      </w:r>
      <w:r w:rsidR="0011461F" w:rsidRPr="00043B8D">
        <w:t xml:space="preserve">vervolgens </w:t>
      </w:r>
      <w:r w:rsidR="00A35535" w:rsidRPr="00043B8D">
        <w:t xml:space="preserve">te </w:t>
      </w:r>
      <w:r w:rsidR="008E61C4" w:rsidRPr="00043B8D">
        <w:t xml:space="preserve">vertalen door de distributienetbeheerder </w:t>
      </w:r>
      <w:r w:rsidR="004400CD" w:rsidRPr="00043B8D">
        <w:t xml:space="preserve">naar </w:t>
      </w:r>
      <w:r w:rsidR="008E61C4" w:rsidRPr="00043B8D">
        <w:t xml:space="preserve">zijn </w:t>
      </w:r>
      <w:r w:rsidR="00316E03" w:rsidRPr="00043B8D">
        <w:t xml:space="preserve">periodieke </w:t>
      </w:r>
      <w:r w:rsidR="00532510" w:rsidRPr="00043B8D">
        <w:t>distributienettarieven</w:t>
      </w:r>
      <w:r w:rsidR="00A35535" w:rsidRPr="00043B8D">
        <w:t xml:space="preserve"> voor dat jaar </w:t>
      </w:r>
      <w:r w:rsidR="00A35535" w:rsidRPr="00043B8D">
        <w:rPr>
          <w:i/>
        </w:rPr>
        <w:t>j</w:t>
      </w:r>
      <w:r w:rsidR="00532510" w:rsidRPr="00043B8D">
        <w:t>,</w:t>
      </w:r>
      <w:r w:rsidR="00B547B3" w:rsidRPr="00043B8D">
        <w:t xml:space="preserve"> </w:t>
      </w:r>
      <w:r w:rsidR="0011461F" w:rsidRPr="00043B8D">
        <w:t xml:space="preserve">is de volgende </w:t>
      </w:r>
      <w:r w:rsidR="005A6DC2" w:rsidRPr="00043B8D">
        <w:fldChar w:fldCharType="begin"/>
      </w:r>
      <w:r w:rsidR="005A6DC2" w:rsidRPr="00043B8D">
        <w:instrText xml:space="preserve"> REF _Ref388616399 \h  \* MERGEFORMAT </w:instrText>
      </w:r>
      <w:r w:rsidR="005A6DC2" w:rsidRPr="00043B8D">
        <w:fldChar w:fldCharType="separate"/>
      </w:r>
      <w:r w:rsidR="00B30F9B" w:rsidRPr="00B30F9B">
        <w:t xml:space="preserve">formule </w:t>
      </w:r>
      <w:r w:rsidR="00B30F9B" w:rsidRPr="00B30F9B">
        <w:rPr>
          <w:noProof/>
        </w:rPr>
        <w:t>1</w:t>
      </w:r>
      <w:r w:rsidR="005A6DC2" w:rsidRPr="00043B8D">
        <w:fldChar w:fldCharType="end"/>
      </w:r>
      <w:r w:rsidR="008B7231" w:rsidRPr="00043B8D">
        <w:t>:</w:t>
      </w:r>
    </w:p>
    <w:p w14:paraId="59644AEE" w14:textId="3FE8C3BA" w:rsidR="0011461F" w:rsidRPr="00043B8D" w:rsidRDefault="0011461F" w:rsidP="00E34F83"/>
    <w:bookmarkStart w:id="314" w:name="_Ref388616256"/>
    <w:p w14:paraId="779B84A5" w14:textId="77777777" w:rsidR="005E7122" w:rsidRPr="00043B8D" w:rsidRDefault="000937A6" w:rsidP="00BF0E0F">
      <w:pPr>
        <w:pStyle w:val="StijlStijlBijschriftCambriaMathNietVetCursiefVet"/>
        <w:pBdr>
          <w:top w:val="dotted" w:sz="4" w:space="1" w:color="auto"/>
          <w:left w:val="dotted" w:sz="4" w:space="4" w:color="auto"/>
          <w:bottom w:val="dotted" w:sz="4" w:space="1" w:color="auto"/>
          <w:right w:val="dotted" w:sz="4" w:space="4" w:color="auto"/>
        </w:pBdr>
        <w:jc w:val="center"/>
        <w:rPr>
          <w:b w:val="0"/>
          <w:i/>
        </w:rPr>
      </w:pPr>
      <m:oMath>
        <m:sSub>
          <m:sSubPr>
            <m:ctrlPr>
              <w:rPr>
                <w:b w:val="0"/>
                <w:i/>
              </w:rPr>
            </m:ctrlPr>
          </m:sSubPr>
          <m:e>
            <m:r>
              <m:rPr>
                <m:sty m:val="bi"/>
              </m:rPr>
              <m:t>TI</m:t>
            </m:r>
          </m:e>
          <m:sub>
            <m:r>
              <m:rPr>
                <m:sty m:val="bi"/>
              </m:rPr>
              <m:t>j,i</m:t>
            </m:r>
          </m:sub>
        </m:sSub>
        <m:r>
          <m:rPr>
            <m:sty m:val="bi"/>
          </m:rPr>
          <m:t>=</m:t>
        </m:r>
        <m:sSub>
          <m:sSubPr>
            <m:ctrlPr>
              <w:rPr>
                <w:b w:val="0"/>
                <w:i/>
              </w:rPr>
            </m:ctrlPr>
          </m:sSubPr>
          <m:e>
            <m:r>
              <m:rPr>
                <m:sty m:val="bi"/>
              </m:rPr>
              <m:t>TI</m:t>
            </m:r>
          </m:e>
          <m:sub>
            <m:r>
              <m:rPr>
                <m:sty m:val="bi"/>
              </m:rPr>
              <m:t>n-ex,j,i</m:t>
            </m:r>
          </m:sub>
        </m:sSub>
        <m:r>
          <m:rPr>
            <m:sty m:val="bi"/>
          </m:rPr>
          <m:t>+</m:t>
        </m:r>
        <m:sSub>
          <m:sSubPr>
            <m:ctrlPr>
              <w:rPr>
                <w:b w:val="0"/>
                <w:i/>
              </w:rPr>
            </m:ctrlPr>
          </m:sSubPr>
          <m:e>
            <m:r>
              <m:rPr>
                <m:sty m:val="bi"/>
              </m:rPr>
              <m:t>TI</m:t>
            </m:r>
          </m:e>
          <m:sub>
            <m:r>
              <m:rPr>
                <m:sty m:val="bi"/>
              </m:rPr>
              <m:t>ex,j,i</m:t>
            </m:r>
          </m:sub>
        </m:sSub>
        <m:r>
          <m:rPr>
            <m:sty m:val="bi"/>
          </m:rPr>
          <m:t>=</m:t>
        </m:r>
        <m:nary>
          <m:naryPr>
            <m:chr m:val="∑"/>
            <m:limLoc m:val="undOvr"/>
            <m:grow m:val="1"/>
            <m:supHide m:val="1"/>
            <m:ctrlPr>
              <w:rPr>
                <w:b w:val="0"/>
                <w:i/>
              </w:rPr>
            </m:ctrlPr>
          </m:naryPr>
          <m:sub>
            <m:r>
              <m:rPr>
                <m:sty m:val="bi"/>
              </m:rPr>
              <m:t>∀ klanten</m:t>
            </m:r>
          </m:sub>
          <m:sup/>
          <m:e>
            <m:d>
              <m:dPr>
                <m:ctrlPr>
                  <w:rPr>
                    <w:b w:val="0"/>
                    <w:i/>
                  </w:rPr>
                </m:ctrlPr>
              </m:dPr>
              <m:e>
                <m:nary>
                  <m:naryPr>
                    <m:chr m:val="∑"/>
                    <m:limLoc m:val="undOvr"/>
                    <m:supHide m:val="1"/>
                    <m:ctrlPr>
                      <w:rPr>
                        <w:b w:val="0"/>
                        <w:i/>
                      </w:rPr>
                    </m:ctrlPr>
                  </m:naryPr>
                  <m:sub>
                    <m:r>
                      <m:rPr>
                        <m:sty m:val="bi"/>
                      </m:rPr>
                      <m:t>∀ diensten</m:t>
                    </m:r>
                  </m:sub>
                  <m:sup/>
                  <m:e>
                    <m:d>
                      <m:dPr>
                        <m:ctrlPr>
                          <w:rPr>
                            <w:b w:val="0"/>
                            <w:i/>
                          </w:rPr>
                        </m:ctrlPr>
                      </m:dPr>
                      <m:e>
                        <m:sSub>
                          <m:sSubPr>
                            <m:ctrlPr>
                              <w:rPr>
                                <w:b w:val="0"/>
                                <w:i/>
                              </w:rPr>
                            </m:ctrlPr>
                          </m:sSubPr>
                          <m:e>
                            <m:r>
                              <m:rPr>
                                <m:sty m:val="bi"/>
                              </m:rPr>
                              <m:t>t</m:t>
                            </m:r>
                          </m:e>
                          <m:sub>
                            <m:r>
                              <m:rPr>
                                <m:sty m:val="bi"/>
                              </m:rPr>
                              <m:t>j,i</m:t>
                            </m:r>
                          </m:sub>
                        </m:sSub>
                        <m:r>
                          <m:rPr>
                            <m:sty m:val="bi"/>
                          </m:rPr>
                          <m:t>×</m:t>
                        </m:r>
                        <m:sSub>
                          <m:sSubPr>
                            <m:ctrlPr>
                              <w:rPr>
                                <w:b w:val="0"/>
                                <w:i/>
                              </w:rPr>
                            </m:ctrlPr>
                          </m:sSubPr>
                          <m:e>
                            <m:r>
                              <m:rPr>
                                <m:sty m:val="bi"/>
                              </m:rPr>
                              <m:t>v</m:t>
                            </m:r>
                          </m:e>
                          <m:sub>
                            <m:r>
                              <m:rPr>
                                <m:sty m:val="bi"/>
                              </m:rPr>
                              <m:t>rp,i</m:t>
                            </m:r>
                          </m:sub>
                        </m:sSub>
                      </m:e>
                    </m:d>
                  </m:e>
                </m:nary>
              </m:e>
            </m:d>
          </m:e>
        </m:nary>
      </m:oMath>
      <w:r w:rsidR="00AB1974" w:rsidRPr="00043B8D">
        <w:rPr>
          <w:b w:val="0"/>
          <w:i/>
        </w:rPr>
        <w:tab/>
      </w:r>
      <w:r w:rsidR="00AB1974" w:rsidRPr="00043B8D">
        <w:rPr>
          <w:b w:val="0"/>
          <w:i/>
        </w:rPr>
        <w:tab/>
      </w:r>
      <w:bookmarkEnd w:id="314"/>
    </w:p>
    <w:p w14:paraId="243C9545" w14:textId="77777777" w:rsidR="00376606" w:rsidRPr="000D284A" w:rsidRDefault="005E7122" w:rsidP="000D284A">
      <w:pPr>
        <w:pStyle w:val="Bijschrift"/>
        <w:jc w:val="right"/>
        <w:rPr>
          <w:b w:val="0"/>
          <w:i/>
        </w:rPr>
      </w:pPr>
      <w:r w:rsidRPr="000D284A">
        <w:rPr>
          <w:b w:val="0"/>
          <w:i/>
        </w:rPr>
        <w:tab/>
      </w:r>
      <w:bookmarkStart w:id="315" w:name="_Ref388616399"/>
      <w:r w:rsidR="007A3C3F" w:rsidRPr="000D284A">
        <w:rPr>
          <w:b w:val="0"/>
          <w:i/>
        </w:rPr>
        <w:t xml:space="preserve">formule </w:t>
      </w:r>
      <w:r w:rsidR="007A3C3F" w:rsidRPr="000D284A">
        <w:rPr>
          <w:b w:val="0"/>
          <w:i/>
        </w:rPr>
        <w:fldChar w:fldCharType="begin"/>
      </w:r>
      <w:r w:rsidR="007A3C3F" w:rsidRPr="000D284A">
        <w:rPr>
          <w:b w:val="0"/>
          <w:i/>
        </w:rPr>
        <w:instrText xml:space="preserve"> SEQ formule \* ARABIC </w:instrText>
      </w:r>
      <w:r w:rsidR="007A3C3F" w:rsidRPr="000D284A">
        <w:rPr>
          <w:b w:val="0"/>
          <w:i/>
        </w:rPr>
        <w:fldChar w:fldCharType="separate"/>
      </w:r>
      <w:r w:rsidR="00BD536B">
        <w:rPr>
          <w:b w:val="0"/>
          <w:i/>
          <w:noProof/>
        </w:rPr>
        <w:t>1</w:t>
      </w:r>
      <w:r w:rsidR="007A3C3F" w:rsidRPr="000D284A">
        <w:rPr>
          <w:b w:val="0"/>
          <w:i/>
        </w:rPr>
        <w:fldChar w:fldCharType="end"/>
      </w:r>
      <w:bookmarkEnd w:id="315"/>
    </w:p>
    <w:p w14:paraId="43373E20" w14:textId="77777777" w:rsidR="005E7122" w:rsidRPr="00043B8D" w:rsidRDefault="005E7122" w:rsidP="00376606">
      <w:pPr>
        <w:ind w:firstLine="708"/>
        <w:rPr>
          <w:rFonts w:cs="Tahoma"/>
        </w:rPr>
      </w:pPr>
      <w:r w:rsidRPr="00043B8D">
        <w:rPr>
          <w:rFonts w:cs="Tahoma"/>
        </w:rPr>
        <w:t>Met hierin:</w:t>
      </w:r>
    </w:p>
    <w:p w14:paraId="39572519" w14:textId="77777777" w:rsidR="005E7122" w:rsidRPr="00043B8D" w:rsidRDefault="005E7122" w:rsidP="005E7122">
      <w:pPr>
        <w:rPr>
          <w:rFonts w:cs="Tahoma"/>
        </w:rPr>
      </w:pPr>
    </w:p>
    <w:p w14:paraId="5F36F0E5" w14:textId="41CB34A6" w:rsidR="005E7122" w:rsidRPr="00043B8D" w:rsidRDefault="005E7122" w:rsidP="005E7122">
      <w:pPr>
        <w:ind w:left="1418" w:hanging="709"/>
        <w:rPr>
          <w:rFonts w:cs="Tahoma"/>
          <w:i/>
        </w:rPr>
      </w:pPr>
      <w:r w:rsidRPr="00043B8D">
        <w:rPr>
          <w:rFonts w:cs="Tahoma"/>
          <w:i/>
        </w:rPr>
        <w:t>TI</w:t>
      </w:r>
      <w:r w:rsidR="00672E76" w:rsidRPr="00043B8D">
        <w:rPr>
          <w:rFonts w:cs="Tahoma"/>
          <w:i/>
          <w:vertAlign w:val="subscript"/>
        </w:rPr>
        <w:t>j</w:t>
      </w:r>
      <w:r w:rsidR="00337125" w:rsidRPr="00043B8D">
        <w:rPr>
          <w:rFonts w:cs="Tahoma"/>
          <w:i/>
          <w:vertAlign w:val="subscript"/>
        </w:rPr>
        <w:t>,i</w:t>
      </w:r>
      <w:r w:rsidRPr="00043B8D">
        <w:rPr>
          <w:rFonts w:cs="Tahoma"/>
          <w:i/>
        </w:rPr>
        <w:tab/>
      </w:r>
      <w:r w:rsidR="00CF6DE8" w:rsidRPr="00043B8D">
        <w:rPr>
          <w:rFonts w:cs="Tahoma"/>
          <w:i/>
        </w:rPr>
        <w:t xml:space="preserve">Het </w:t>
      </w:r>
      <w:r w:rsidR="00672E76" w:rsidRPr="00043B8D">
        <w:rPr>
          <w:rFonts w:cs="Tahoma"/>
          <w:i/>
        </w:rPr>
        <w:t xml:space="preserve">door de VREG </w:t>
      </w:r>
      <w:r w:rsidR="00A01C71" w:rsidRPr="00043B8D">
        <w:rPr>
          <w:rFonts w:cs="Tahoma"/>
          <w:i/>
        </w:rPr>
        <w:t xml:space="preserve">voor het jaar j voor de distributienetbeheerder </w:t>
      </w:r>
      <w:r w:rsidR="00337125" w:rsidRPr="00043B8D">
        <w:rPr>
          <w:rFonts w:cs="Tahoma"/>
          <w:i/>
        </w:rPr>
        <w:t xml:space="preserve">i </w:t>
      </w:r>
      <w:r w:rsidR="00672E76" w:rsidRPr="00043B8D">
        <w:rPr>
          <w:rFonts w:cs="Tahoma"/>
          <w:i/>
        </w:rPr>
        <w:t xml:space="preserve">toegelaten </w:t>
      </w:r>
      <w:r w:rsidRPr="00043B8D">
        <w:rPr>
          <w:rFonts w:cs="Tahoma"/>
          <w:i/>
        </w:rPr>
        <w:t xml:space="preserve">totale </w:t>
      </w:r>
      <w:r w:rsidR="00CF6DE8" w:rsidRPr="00043B8D">
        <w:rPr>
          <w:rFonts w:cs="Tahoma"/>
          <w:i/>
        </w:rPr>
        <w:t xml:space="preserve">inkomen </w:t>
      </w:r>
      <w:r w:rsidR="00A01C71" w:rsidRPr="00043B8D">
        <w:rPr>
          <w:rFonts w:cs="Tahoma"/>
          <w:i/>
        </w:rPr>
        <w:t xml:space="preserve">uit zijn </w:t>
      </w:r>
      <w:r w:rsidR="00FF76B8" w:rsidRPr="00043B8D">
        <w:rPr>
          <w:rFonts w:cs="Tahoma"/>
          <w:i/>
        </w:rPr>
        <w:t xml:space="preserve">periodieke </w:t>
      </w:r>
      <w:r w:rsidR="00A01C71" w:rsidRPr="00043B8D">
        <w:rPr>
          <w:rFonts w:cs="Tahoma"/>
          <w:i/>
        </w:rPr>
        <w:t>distributienettarieven</w:t>
      </w:r>
      <w:r w:rsidR="008F11D6" w:rsidRPr="00043B8D">
        <w:rPr>
          <w:rFonts w:cs="Tahoma"/>
          <w:i/>
        </w:rPr>
        <w:t xml:space="preserve"> (EUR)</w:t>
      </w:r>
      <w:r w:rsidR="00672E76" w:rsidRPr="00043B8D">
        <w:rPr>
          <w:rFonts w:cs="Tahoma"/>
          <w:i/>
        </w:rPr>
        <w:t>.</w:t>
      </w:r>
    </w:p>
    <w:p w14:paraId="59C45F9A" w14:textId="77777777" w:rsidR="0003466E" w:rsidRPr="00043B8D" w:rsidRDefault="0003466E" w:rsidP="005E7122">
      <w:pPr>
        <w:ind w:left="1418" w:hanging="709"/>
        <w:rPr>
          <w:rFonts w:cs="Tahoma"/>
          <w:i/>
        </w:rPr>
      </w:pPr>
    </w:p>
    <w:p w14:paraId="5D946BB0" w14:textId="03E23718" w:rsidR="00FF76B8" w:rsidRPr="00043B8D" w:rsidRDefault="000A7E48" w:rsidP="00FF76B8">
      <w:pPr>
        <w:ind w:left="1418" w:hanging="709"/>
        <w:rPr>
          <w:rFonts w:cs="Tahoma"/>
          <w:i/>
        </w:rPr>
      </w:pPr>
      <w:r w:rsidRPr="00043B8D">
        <w:rPr>
          <w:rFonts w:cs="Tahoma"/>
          <w:i/>
        </w:rPr>
        <w:t>T</w:t>
      </w:r>
      <w:r w:rsidR="005E7122" w:rsidRPr="00043B8D">
        <w:rPr>
          <w:rFonts w:cs="Tahoma"/>
          <w:i/>
        </w:rPr>
        <w:t>I</w:t>
      </w:r>
      <w:r w:rsidR="00672E76" w:rsidRPr="00043B8D">
        <w:rPr>
          <w:rFonts w:cs="Tahoma"/>
          <w:i/>
          <w:vertAlign w:val="subscript"/>
        </w:rPr>
        <w:t>n-ex,j</w:t>
      </w:r>
      <w:r w:rsidR="00337125" w:rsidRPr="00043B8D">
        <w:rPr>
          <w:rFonts w:cs="Tahoma"/>
          <w:i/>
          <w:vertAlign w:val="subscript"/>
        </w:rPr>
        <w:t>,i</w:t>
      </w:r>
      <w:r w:rsidR="005E7122" w:rsidRPr="00043B8D">
        <w:rPr>
          <w:rFonts w:cs="Tahoma"/>
          <w:i/>
        </w:rPr>
        <w:tab/>
      </w:r>
      <w:r w:rsidR="00FF76B8" w:rsidRPr="00043B8D">
        <w:rPr>
          <w:rFonts w:cs="Tahoma"/>
          <w:i/>
        </w:rPr>
        <w:t xml:space="preserve">Het door de VREG in het jaar j voor distributienetbeheerder i toegelaten inkomen </w:t>
      </w:r>
      <w:r w:rsidR="00674DAB" w:rsidRPr="00043B8D">
        <w:rPr>
          <w:rFonts w:cs="Tahoma"/>
          <w:i/>
        </w:rPr>
        <w:t xml:space="preserve">(EUR) </w:t>
      </w:r>
      <w:r w:rsidR="00FF76B8" w:rsidRPr="00043B8D">
        <w:rPr>
          <w:rFonts w:cs="Tahoma"/>
          <w:i/>
        </w:rPr>
        <w:t xml:space="preserve">uit zijn periodieke distributienettarieven voor de kosten van de distributienetbeheerder die </w:t>
      </w:r>
      <w:r w:rsidR="00A11730" w:rsidRPr="00043B8D">
        <w:rPr>
          <w:rFonts w:cs="Tahoma"/>
          <w:i/>
        </w:rPr>
        <w:t>als niet-</w:t>
      </w:r>
      <w:r w:rsidR="00FF76B8" w:rsidRPr="00043B8D">
        <w:rPr>
          <w:rFonts w:cs="Tahoma"/>
          <w:i/>
        </w:rPr>
        <w:t xml:space="preserve">exogeen worden beschouwd. Er wordt in de bepaling van het inkomen </w:t>
      </w:r>
      <w:r w:rsidR="00D8701A" w:rsidRPr="00043B8D">
        <w:rPr>
          <w:rFonts w:cs="Tahoma"/>
          <w:i/>
        </w:rPr>
        <w:t xml:space="preserve">een onderscheid gemaakt </w:t>
      </w:r>
      <w:r w:rsidR="00FF76B8" w:rsidRPr="00043B8D">
        <w:rPr>
          <w:rFonts w:cs="Tahoma"/>
          <w:i/>
        </w:rPr>
        <w:t xml:space="preserve">tussen het inkomen voor het eerste jaar van een nieuwe reguleringsperiode </w:t>
      </w:r>
      <w:r w:rsidR="00674DAB" w:rsidRPr="00043B8D">
        <w:rPr>
          <w:rFonts w:cs="Tahoma"/>
          <w:i/>
        </w:rPr>
        <w:t xml:space="preserve">(2015) </w:t>
      </w:r>
      <w:r w:rsidR="00FF76B8" w:rsidRPr="00043B8D">
        <w:rPr>
          <w:rFonts w:cs="Tahoma"/>
          <w:i/>
        </w:rPr>
        <w:t xml:space="preserve">en </w:t>
      </w:r>
      <w:r w:rsidR="00674DAB" w:rsidRPr="00043B8D">
        <w:rPr>
          <w:rFonts w:cs="Tahoma"/>
          <w:i/>
        </w:rPr>
        <w:t xml:space="preserve">het </w:t>
      </w:r>
      <w:r w:rsidR="00FF76B8" w:rsidRPr="00043B8D">
        <w:rPr>
          <w:rFonts w:cs="Tahoma"/>
          <w:i/>
        </w:rPr>
        <w:t>daaropvolgend j</w:t>
      </w:r>
      <w:r w:rsidR="00674DAB" w:rsidRPr="00043B8D">
        <w:rPr>
          <w:rFonts w:cs="Tahoma"/>
          <w:i/>
        </w:rPr>
        <w:t>a</w:t>
      </w:r>
      <w:r w:rsidR="00FF76B8" w:rsidRPr="00043B8D">
        <w:rPr>
          <w:rFonts w:cs="Tahoma"/>
          <w:i/>
        </w:rPr>
        <w:t>ar</w:t>
      </w:r>
      <w:r w:rsidR="00674DAB" w:rsidRPr="00043B8D">
        <w:rPr>
          <w:rFonts w:cs="Tahoma"/>
          <w:i/>
        </w:rPr>
        <w:t xml:space="preserve"> (2016)</w:t>
      </w:r>
      <w:r w:rsidR="00FF76B8" w:rsidRPr="00043B8D">
        <w:rPr>
          <w:rFonts w:cs="Tahoma"/>
          <w:i/>
        </w:rPr>
        <w:t>.</w:t>
      </w:r>
    </w:p>
    <w:p w14:paraId="21F4297D" w14:textId="77777777" w:rsidR="00FF76B8" w:rsidRPr="00043B8D" w:rsidRDefault="00FF76B8" w:rsidP="00FF76B8">
      <w:pPr>
        <w:ind w:left="1418" w:hanging="709"/>
        <w:rPr>
          <w:rFonts w:cs="Tahoma"/>
          <w:i/>
        </w:rPr>
      </w:pPr>
    </w:p>
    <w:p w14:paraId="2EE85F20" w14:textId="7A6616F3" w:rsidR="00FF76B8" w:rsidRPr="00043B8D" w:rsidRDefault="00FF76B8" w:rsidP="00A11730">
      <w:pPr>
        <w:ind w:left="2125" w:hanging="709"/>
        <w:rPr>
          <w:rFonts w:cs="Tahoma"/>
          <w:i/>
        </w:rPr>
      </w:pPr>
      <w:r w:rsidRPr="00043B8D">
        <w:rPr>
          <w:rFonts w:cs="Tahoma"/>
          <w:i/>
        </w:rPr>
        <w:tab/>
        <w:t xml:space="preserve">Voor het eerste jaar van </w:t>
      </w:r>
      <w:r w:rsidR="00674DAB" w:rsidRPr="00043B8D">
        <w:rPr>
          <w:rFonts w:cs="Tahoma"/>
          <w:i/>
        </w:rPr>
        <w:t xml:space="preserve">de </w:t>
      </w:r>
      <w:r w:rsidRPr="00043B8D">
        <w:rPr>
          <w:rFonts w:cs="Tahoma"/>
          <w:i/>
        </w:rPr>
        <w:t xml:space="preserve">reguleringsperiode </w:t>
      </w:r>
      <w:r w:rsidR="00674DAB" w:rsidRPr="00043B8D">
        <w:rPr>
          <w:rFonts w:cs="Tahoma"/>
          <w:i/>
        </w:rPr>
        <w:t xml:space="preserve">(2015) </w:t>
      </w:r>
      <w:r w:rsidRPr="00043B8D">
        <w:rPr>
          <w:rFonts w:cs="Tahoma"/>
          <w:i/>
        </w:rPr>
        <w:t xml:space="preserve">worden deze inkomsten bepaald uit de recente historische kosten van de distributienetbeheerders en de door de VREG vastgestelde vermogenskostenvergoeding. </w:t>
      </w:r>
      <w:r w:rsidR="00E34F83" w:rsidRPr="00043B8D">
        <w:rPr>
          <w:rFonts w:cs="Tahoma"/>
          <w:i/>
        </w:rPr>
        <w:t>(</w:t>
      </w:r>
      <w:r w:rsidRPr="00043B8D">
        <w:rPr>
          <w:rFonts w:cs="Tahoma"/>
          <w:i/>
        </w:rPr>
        <w:t xml:space="preserve">Dit wordt verder verduidelijkt onder par. </w:t>
      </w:r>
      <w:r w:rsidRPr="00043B8D">
        <w:rPr>
          <w:rFonts w:cs="Tahoma"/>
          <w:i/>
        </w:rPr>
        <w:fldChar w:fldCharType="begin"/>
      </w:r>
      <w:r w:rsidRPr="00043B8D">
        <w:rPr>
          <w:rFonts w:cs="Tahoma"/>
          <w:i/>
        </w:rPr>
        <w:instrText xml:space="preserve"> REF _Ref363653859 \r \h </w:instrText>
      </w:r>
      <w:r w:rsidR="00043B8D">
        <w:rPr>
          <w:rFonts w:cs="Tahoma"/>
          <w:i/>
        </w:rPr>
        <w:instrText xml:space="preserve"> \* MERGEFORMAT </w:instrText>
      </w:r>
      <w:r w:rsidRPr="00043B8D">
        <w:rPr>
          <w:rFonts w:cs="Tahoma"/>
          <w:i/>
        </w:rPr>
      </w:r>
      <w:r w:rsidRPr="00043B8D">
        <w:rPr>
          <w:rFonts w:cs="Tahoma"/>
          <w:i/>
        </w:rPr>
        <w:fldChar w:fldCharType="separate"/>
      </w:r>
      <w:r w:rsidR="00B30F9B">
        <w:rPr>
          <w:rFonts w:cs="Tahoma"/>
          <w:i/>
        </w:rPr>
        <w:t>5.3</w:t>
      </w:r>
      <w:r w:rsidRPr="00043B8D">
        <w:rPr>
          <w:rFonts w:cs="Tahoma"/>
          <w:i/>
        </w:rPr>
        <w:fldChar w:fldCharType="end"/>
      </w:r>
      <w:r w:rsidRPr="00043B8D">
        <w:rPr>
          <w:rFonts w:cs="Tahoma"/>
          <w:i/>
        </w:rPr>
        <w:t xml:space="preserve"> en </w:t>
      </w:r>
      <w:r w:rsidR="00D8701A" w:rsidRPr="00043B8D">
        <w:rPr>
          <w:rFonts w:cs="Tahoma"/>
          <w:i/>
        </w:rPr>
        <w:t xml:space="preserve">par. </w:t>
      </w:r>
      <w:r w:rsidRPr="00043B8D">
        <w:rPr>
          <w:rFonts w:cs="Tahoma"/>
          <w:i/>
        </w:rPr>
        <w:fldChar w:fldCharType="begin"/>
      </w:r>
      <w:r w:rsidRPr="00043B8D">
        <w:rPr>
          <w:rFonts w:cs="Tahoma"/>
          <w:i/>
        </w:rPr>
        <w:instrText xml:space="preserve"> REF _Ref390156197 \r \h </w:instrText>
      </w:r>
      <w:r w:rsidR="00043B8D">
        <w:rPr>
          <w:rFonts w:cs="Tahoma"/>
          <w:i/>
        </w:rPr>
        <w:instrText xml:space="preserve"> \* MERGEFORMAT </w:instrText>
      </w:r>
      <w:r w:rsidRPr="00043B8D">
        <w:rPr>
          <w:rFonts w:cs="Tahoma"/>
          <w:i/>
        </w:rPr>
      </w:r>
      <w:r w:rsidRPr="00043B8D">
        <w:rPr>
          <w:rFonts w:cs="Tahoma"/>
          <w:i/>
        </w:rPr>
        <w:fldChar w:fldCharType="separate"/>
      </w:r>
      <w:r w:rsidR="00B30F9B">
        <w:rPr>
          <w:rFonts w:cs="Tahoma"/>
          <w:i/>
        </w:rPr>
        <w:t>5.6</w:t>
      </w:r>
      <w:r w:rsidRPr="00043B8D">
        <w:rPr>
          <w:rFonts w:cs="Tahoma"/>
          <w:i/>
        </w:rPr>
        <w:fldChar w:fldCharType="end"/>
      </w:r>
      <w:r w:rsidRPr="00043B8D">
        <w:rPr>
          <w:rFonts w:cs="Tahoma"/>
          <w:i/>
        </w:rPr>
        <w:t>.</w:t>
      </w:r>
      <w:r w:rsidR="00E34F83" w:rsidRPr="00043B8D">
        <w:rPr>
          <w:rFonts w:cs="Tahoma"/>
          <w:i/>
        </w:rPr>
        <w:t>)</w:t>
      </w:r>
    </w:p>
    <w:p w14:paraId="239629BD" w14:textId="77777777" w:rsidR="00FF76B8" w:rsidRPr="00043B8D" w:rsidRDefault="00FF76B8" w:rsidP="00A11730">
      <w:pPr>
        <w:ind w:left="2125" w:hanging="709"/>
        <w:rPr>
          <w:rFonts w:cs="Tahoma"/>
          <w:i/>
        </w:rPr>
      </w:pPr>
    </w:p>
    <w:p w14:paraId="52CC0CB4" w14:textId="7BEA494B" w:rsidR="00FF76B8" w:rsidRPr="00043B8D" w:rsidRDefault="00FF76B8" w:rsidP="00A11730">
      <w:pPr>
        <w:ind w:left="2125" w:hanging="709"/>
        <w:rPr>
          <w:rFonts w:cs="Tahoma"/>
          <w:i/>
        </w:rPr>
      </w:pPr>
      <w:r w:rsidRPr="00043B8D">
        <w:rPr>
          <w:rFonts w:cs="Tahoma"/>
          <w:i/>
        </w:rPr>
        <w:tab/>
        <w:t xml:space="preserve">Voor het tweede jaar van de reguleringsperiode </w:t>
      </w:r>
      <w:r w:rsidR="00674DAB" w:rsidRPr="00043B8D">
        <w:rPr>
          <w:rFonts w:cs="Tahoma"/>
          <w:i/>
        </w:rPr>
        <w:t>(2016)</w:t>
      </w:r>
      <w:r w:rsidRPr="00043B8D">
        <w:rPr>
          <w:rFonts w:cs="Tahoma"/>
          <w:i/>
        </w:rPr>
        <w:t xml:space="preserve">, wordt </w:t>
      </w:r>
      <w:r w:rsidR="00A11730" w:rsidRPr="00043B8D">
        <w:rPr>
          <w:rFonts w:cs="Tahoma"/>
          <w:i/>
        </w:rPr>
        <w:t xml:space="preserve">dit </w:t>
      </w:r>
      <w:r w:rsidRPr="00043B8D">
        <w:rPr>
          <w:rFonts w:cs="Tahoma"/>
          <w:i/>
        </w:rPr>
        <w:t>inkomen door indexering afgeleid uit het inkomen van het voorafgaande jaar</w:t>
      </w:r>
      <w:r w:rsidR="00B433FB" w:rsidRPr="00043B8D">
        <w:rPr>
          <w:rFonts w:cs="Tahoma"/>
          <w:i/>
        </w:rPr>
        <w:t xml:space="preserve"> (2015)</w:t>
      </w:r>
      <w:r w:rsidRPr="00043B8D">
        <w:rPr>
          <w:rFonts w:cs="Tahoma"/>
          <w:i/>
        </w:rPr>
        <w:t xml:space="preserve">, volgens </w:t>
      </w:r>
      <w:r w:rsidRPr="00043B8D">
        <w:rPr>
          <w:rFonts w:cs="Tahoma"/>
          <w:i/>
        </w:rPr>
        <w:fldChar w:fldCharType="begin"/>
      </w:r>
      <w:r w:rsidRPr="00043B8D">
        <w:rPr>
          <w:rFonts w:cs="Tahoma"/>
          <w:i/>
        </w:rPr>
        <w:instrText xml:space="preserve"> REF _Ref388628565 \h  \* MERGEFORMAT </w:instrText>
      </w:r>
      <w:r w:rsidRPr="00043B8D">
        <w:rPr>
          <w:rFonts w:cs="Tahoma"/>
          <w:i/>
        </w:rPr>
      </w:r>
      <w:r w:rsidRPr="00043B8D">
        <w:rPr>
          <w:rFonts w:cs="Tahoma"/>
          <w:i/>
        </w:rPr>
        <w:fldChar w:fldCharType="separate"/>
      </w:r>
      <w:r w:rsidR="00B30F9B" w:rsidRPr="00B30F9B">
        <w:rPr>
          <w:i/>
        </w:rPr>
        <w:t xml:space="preserve">formule </w:t>
      </w:r>
      <w:r w:rsidR="00B30F9B" w:rsidRPr="00B30F9B">
        <w:rPr>
          <w:i/>
          <w:noProof/>
        </w:rPr>
        <w:t>2</w:t>
      </w:r>
      <w:r w:rsidRPr="00043B8D">
        <w:rPr>
          <w:rFonts w:cs="Tahoma"/>
          <w:i/>
        </w:rPr>
        <w:fldChar w:fldCharType="end"/>
      </w:r>
      <w:r w:rsidRPr="00043B8D">
        <w:rPr>
          <w:rFonts w:cs="Tahoma"/>
          <w:i/>
        </w:rPr>
        <w:t>.</w:t>
      </w:r>
    </w:p>
    <w:p w14:paraId="79103572" w14:textId="77777777" w:rsidR="004D5686" w:rsidRPr="00043B8D" w:rsidRDefault="004D5686" w:rsidP="00A11730">
      <w:pPr>
        <w:ind w:left="2125" w:hanging="709"/>
        <w:rPr>
          <w:rFonts w:cs="Tahoma"/>
          <w:i/>
        </w:rPr>
      </w:pPr>
    </w:p>
    <w:p w14:paraId="7DDF515E" w14:textId="77777777" w:rsidR="007A3C3F" w:rsidRPr="00043B8D" w:rsidRDefault="000937A6" w:rsidP="00A11730">
      <w:pPr>
        <w:pStyle w:val="StijlStijlBijschriftCambriaMathNietVetCursiefVet"/>
        <w:pBdr>
          <w:top w:val="dotted" w:sz="4" w:space="1" w:color="auto"/>
          <w:left w:val="dotted" w:sz="4" w:space="5" w:color="auto"/>
          <w:bottom w:val="dotted" w:sz="4" w:space="1" w:color="auto"/>
          <w:right w:val="dotted" w:sz="4" w:space="4" w:color="auto"/>
        </w:pBdr>
        <w:ind w:left="707"/>
        <w:jc w:val="center"/>
        <w:rPr>
          <w:b w:val="0"/>
          <w:i/>
        </w:rPr>
      </w:pPr>
      <m:oMath>
        <m:sSub>
          <m:sSubPr>
            <m:ctrlPr>
              <w:rPr>
                <w:b w:val="0"/>
                <w:i/>
              </w:rPr>
            </m:ctrlPr>
          </m:sSubPr>
          <m:e>
            <m:r>
              <m:rPr>
                <m:sty m:val="bi"/>
              </m:rPr>
              <m:t>TI</m:t>
            </m:r>
          </m:e>
          <m:sub>
            <m:r>
              <m:rPr>
                <m:sty m:val="bi"/>
              </m:rPr>
              <m:t>n-ex,2016,i</m:t>
            </m:r>
          </m:sub>
        </m:sSub>
        <m:r>
          <m:rPr>
            <m:sty m:val="bi"/>
          </m:rPr>
          <m:t>= T</m:t>
        </m:r>
        <m:sSub>
          <m:sSubPr>
            <m:ctrlPr>
              <w:rPr>
                <w:b w:val="0"/>
                <w:i/>
              </w:rPr>
            </m:ctrlPr>
          </m:sSubPr>
          <m:e>
            <m:r>
              <m:rPr>
                <m:sty m:val="bi"/>
              </m:rPr>
              <m:t>I</m:t>
            </m:r>
          </m:e>
          <m:sub>
            <m:r>
              <m:rPr>
                <m:sty m:val="bi"/>
              </m:rPr>
              <m:t>n-ex,2015,i</m:t>
            </m:r>
          </m:sub>
        </m:sSub>
        <m:r>
          <m:rPr>
            <m:sty m:val="bi"/>
          </m:rPr>
          <m:t>×</m:t>
        </m:r>
        <m:d>
          <m:dPr>
            <m:ctrlPr>
              <w:rPr>
                <w:b w:val="0"/>
                <w:i/>
              </w:rPr>
            </m:ctrlPr>
          </m:dPr>
          <m:e>
            <m:r>
              <m:rPr>
                <m:sty m:val="bi"/>
              </m:rPr>
              <m:t>1+C</m:t>
            </m:r>
            <m:r>
              <m:rPr>
                <m:sty m:val="bi"/>
              </m:rPr>
              <m:t>PI-x+</m:t>
            </m:r>
            <m:sSub>
              <m:sSubPr>
                <m:ctrlPr>
                  <w:rPr>
                    <w:i/>
                  </w:rPr>
                </m:ctrlPr>
              </m:sSubPr>
              <m:e>
                <m:r>
                  <m:rPr>
                    <m:sty m:val="bi"/>
                  </m:rPr>
                  <m:t>q</m:t>
                </m:r>
              </m:e>
              <m:sub>
                <m:r>
                  <m:rPr>
                    <m:sty m:val="bi"/>
                  </m:rPr>
                  <m:t>i</m:t>
                </m:r>
              </m:sub>
            </m:sSub>
          </m:e>
        </m:d>
      </m:oMath>
      <w:r w:rsidR="000938D2" w:rsidRPr="00043B8D">
        <w:rPr>
          <w:b w:val="0"/>
          <w:i/>
        </w:rPr>
        <w:t xml:space="preserve"> </w:t>
      </w:r>
      <w:r w:rsidR="00820B9F" w:rsidRPr="00043B8D">
        <w:rPr>
          <w:b w:val="0"/>
          <w:i/>
        </w:rPr>
        <w:tab/>
      </w:r>
    </w:p>
    <w:p w14:paraId="7B418632" w14:textId="77777777" w:rsidR="007A3C3F" w:rsidRPr="000D284A" w:rsidRDefault="007A3C3F" w:rsidP="000D284A">
      <w:pPr>
        <w:pStyle w:val="Bijschrift"/>
        <w:ind w:left="707"/>
        <w:jc w:val="right"/>
        <w:rPr>
          <w:rFonts w:cs="Tahoma"/>
          <w:b w:val="0"/>
          <w:i/>
        </w:rPr>
      </w:pPr>
      <w:r w:rsidRPr="000D284A">
        <w:rPr>
          <w:rFonts w:cs="Tahoma"/>
          <w:b w:val="0"/>
          <w:i/>
        </w:rPr>
        <w:tab/>
      </w:r>
      <w:bookmarkStart w:id="316" w:name="_Ref388628565"/>
      <w:r w:rsidRPr="000D284A">
        <w:rPr>
          <w:b w:val="0"/>
          <w:i/>
        </w:rPr>
        <w:t xml:space="preserve">formule </w:t>
      </w:r>
      <w:r w:rsidRPr="000D284A">
        <w:rPr>
          <w:b w:val="0"/>
          <w:i/>
        </w:rPr>
        <w:fldChar w:fldCharType="begin"/>
      </w:r>
      <w:r w:rsidRPr="000D284A">
        <w:rPr>
          <w:b w:val="0"/>
          <w:i/>
        </w:rPr>
        <w:instrText xml:space="preserve"> SEQ formule \* ARABIC </w:instrText>
      </w:r>
      <w:r w:rsidRPr="000D284A">
        <w:rPr>
          <w:b w:val="0"/>
          <w:i/>
        </w:rPr>
        <w:fldChar w:fldCharType="separate"/>
      </w:r>
      <w:r w:rsidR="000D284A">
        <w:rPr>
          <w:b w:val="0"/>
          <w:i/>
          <w:noProof/>
        </w:rPr>
        <w:t>2</w:t>
      </w:r>
      <w:r w:rsidRPr="000D284A">
        <w:rPr>
          <w:b w:val="0"/>
          <w:i/>
        </w:rPr>
        <w:fldChar w:fldCharType="end"/>
      </w:r>
      <w:bookmarkEnd w:id="316"/>
    </w:p>
    <w:p w14:paraId="1BC62088" w14:textId="77777777" w:rsidR="009B5A7F" w:rsidRPr="00043B8D" w:rsidRDefault="009B5A7F" w:rsidP="00A11730">
      <w:pPr>
        <w:ind w:left="2125" w:hanging="709"/>
        <w:rPr>
          <w:rFonts w:cs="Tahoma"/>
        </w:rPr>
      </w:pPr>
      <w:r w:rsidRPr="00043B8D">
        <w:rPr>
          <w:rFonts w:cs="Tahoma"/>
        </w:rPr>
        <w:tab/>
        <w:t>Met hierin:</w:t>
      </w:r>
    </w:p>
    <w:p w14:paraId="1ADAB855" w14:textId="77777777" w:rsidR="009B5A7F" w:rsidRPr="00043B8D" w:rsidRDefault="009B5A7F" w:rsidP="00A11730">
      <w:pPr>
        <w:ind w:left="2125" w:hanging="709"/>
        <w:rPr>
          <w:rFonts w:cs="Tahoma"/>
        </w:rPr>
      </w:pPr>
    </w:p>
    <w:p w14:paraId="53DE4DD3" w14:textId="398B5DD7" w:rsidR="009B5A7F" w:rsidRPr="00043B8D" w:rsidRDefault="009B5A7F" w:rsidP="00657A02">
      <w:pPr>
        <w:ind w:left="2833" w:hanging="709"/>
        <w:rPr>
          <w:rFonts w:cs="Tahoma"/>
          <w:i/>
        </w:rPr>
      </w:pPr>
      <w:r w:rsidRPr="00043B8D">
        <w:rPr>
          <w:rFonts w:cs="Tahoma"/>
          <w:i/>
        </w:rPr>
        <w:t>CPI</w:t>
      </w:r>
      <w:r w:rsidRPr="00043B8D">
        <w:rPr>
          <w:rFonts w:cs="Tahoma"/>
          <w:i/>
        </w:rPr>
        <w:tab/>
      </w:r>
      <w:r w:rsidR="00176716" w:rsidRPr="00043B8D">
        <w:rPr>
          <w:rFonts w:cs="Tahoma"/>
          <w:i/>
        </w:rPr>
        <w:t xml:space="preserve">Het in het jaar </w:t>
      </w:r>
      <w:r w:rsidR="001771AF" w:rsidRPr="00043B8D">
        <w:rPr>
          <w:rFonts w:cs="Tahoma"/>
          <w:i/>
        </w:rPr>
        <w:t>2015</w:t>
      </w:r>
      <w:r w:rsidR="00176716" w:rsidRPr="00043B8D">
        <w:rPr>
          <w:rFonts w:cs="Tahoma"/>
          <w:i/>
        </w:rPr>
        <w:t xml:space="preserve"> laatst mogelijke, gelet op de timing ter voorbereiding van de nieuwe distributienettarieven, beschikbare inflatiecijfer</w:t>
      </w:r>
      <w:r w:rsidR="00B433FB" w:rsidRPr="00043B8D">
        <w:rPr>
          <w:rFonts w:cs="Tahoma"/>
          <w:i/>
        </w:rPr>
        <w:t xml:space="preserve"> </w:t>
      </w:r>
      <w:r w:rsidR="00176716" w:rsidRPr="00043B8D">
        <w:rPr>
          <w:rFonts w:cs="Tahoma"/>
          <w:i/>
        </w:rPr>
        <w:t xml:space="preserve">volgens de </w:t>
      </w:r>
      <w:r w:rsidR="00B433FB" w:rsidRPr="00043B8D">
        <w:rPr>
          <w:rFonts w:cs="Tahoma"/>
          <w:i/>
        </w:rPr>
        <w:t xml:space="preserve">evolutie jaar op jaar van de </w:t>
      </w:r>
      <w:r w:rsidR="00176716" w:rsidRPr="00043B8D">
        <w:rPr>
          <w:rFonts w:cs="Tahoma"/>
          <w:i/>
        </w:rPr>
        <w:t xml:space="preserve">consumptieprijsindex </w:t>
      </w:r>
      <w:r w:rsidR="00A17758" w:rsidRPr="00043B8D">
        <w:rPr>
          <w:rFonts w:cs="Tahoma"/>
          <w:i/>
        </w:rPr>
        <w:t>(zie verder onder</w:t>
      </w:r>
      <w:r w:rsidR="00A0233C" w:rsidRPr="00043B8D">
        <w:rPr>
          <w:rFonts w:cs="Tahoma"/>
          <w:i/>
        </w:rPr>
        <w:t xml:space="preserve"> </w:t>
      </w:r>
      <w:r w:rsidR="00A0233C" w:rsidRPr="00043B8D">
        <w:rPr>
          <w:rFonts w:cs="Tahoma"/>
          <w:i/>
        </w:rPr>
        <w:fldChar w:fldCharType="begin"/>
      </w:r>
      <w:r w:rsidR="00A0233C" w:rsidRPr="00043B8D">
        <w:rPr>
          <w:rFonts w:cs="Tahoma"/>
          <w:i/>
        </w:rPr>
        <w:instrText xml:space="preserve"> REF _Ref389656596 \r \h </w:instrText>
      </w:r>
      <w:r w:rsidR="00043B8D">
        <w:rPr>
          <w:rFonts w:cs="Tahoma"/>
          <w:i/>
        </w:rPr>
        <w:instrText xml:space="preserve"> \* MERGEFORMAT </w:instrText>
      </w:r>
      <w:r w:rsidR="00A0233C" w:rsidRPr="00043B8D">
        <w:rPr>
          <w:rFonts w:cs="Tahoma"/>
          <w:i/>
        </w:rPr>
      </w:r>
      <w:r w:rsidR="00A0233C" w:rsidRPr="00043B8D">
        <w:rPr>
          <w:rFonts w:cs="Tahoma"/>
          <w:i/>
        </w:rPr>
        <w:fldChar w:fldCharType="separate"/>
      </w:r>
      <w:r w:rsidR="00B30F9B">
        <w:rPr>
          <w:rFonts w:cs="Tahoma"/>
          <w:i/>
        </w:rPr>
        <w:t>5.6.2.4</w:t>
      </w:r>
      <w:r w:rsidR="00A0233C" w:rsidRPr="00043B8D">
        <w:rPr>
          <w:rFonts w:cs="Tahoma"/>
          <w:i/>
        </w:rPr>
        <w:fldChar w:fldCharType="end"/>
      </w:r>
      <w:r w:rsidR="00A17758" w:rsidRPr="00043B8D">
        <w:rPr>
          <w:rFonts w:cs="Tahoma"/>
          <w:i/>
        </w:rPr>
        <w:t>)</w:t>
      </w:r>
      <w:r w:rsidR="004E026F" w:rsidRPr="00043B8D">
        <w:rPr>
          <w:rFonts w:cs="Tahoma"/>
          <w:i/>
        </w:rPr>
        <w:t>.</w:t>
      </w:r>
      <w:r w:rsidR="00FF7ABB" w:rsidRPr="00043B8D">
        <w:rPr>
          <w:rFonts w:cs="Tahoma"/>
          <w:i/>
        </w:rPr>
        <w:t xml:space="preserve"> (-</w:t>
      </w:r>
      <w:r w:rsidR="008F11D6" w:rsidRPr="00043B8D">
        <w:rPr>
          <w:rFonts w:cs="Tahoma"/>
          <w:i/>
        </w:rPr>
        <w:t>)</w:t>
      </w:r>
    </w:p>
    <w:p w14:paraId="125C734B" w14:textId="77777777" w:rsidR="00FF7ABB" w:rsidRPr="00043B8D" w:rsidRDefault="00FF7ABB" w:rsidP="00A11730">
      <w:pPr>
        <w:tabs>
          <w:tab w:val="left" w:pos="1418"/>
        </w:tabs>
        <w:ind w:left="2834" w:hanging="1418"/>
        <w:rPr>
          <w:rFonts w:cs="Tahoma"/>
          <w:i/>
        </w:rPr>
      </w:pPr>
    </w:p>
    <w:p w14:paraId="7FBFBD57" w14:textId="329BDACC" w:rsidR="009B5A7F" w:rsidRPr="00043B8D" w:rsidRDefault="009B5A7F" w:rsidP="00657A02">
      <w:pPr>
        <w:ind w:left="2833" w:hanging="709"/>
        <w:rPr>
          <w:rFonts w:cs="Tahoma"/>
          <w:i/>
        </w:rPr>
      </w:pPr>
      <w:r w:rsidRPr="00043B8D">
        <w:rPr>
          <w:rFonts w:cs="Tahoma"/>
          <w:i/>
        </w:rPr>
        <w:t>x</w:t>
      </w:r>
      <w:r w:rsidRPr="00043B8D">
        <w:rPr>
          <w:rFonts w:cs="Tahoma"/>
          <w:i/>
        </w:rPr>
        <w:tab/>
      </w:r>
      <w:r w:rsidR="00176716" w:rsidRPr="00043B8D">
        <w:rPr>
          <w:rFonts w:cs="Tahoma"/>
          <w:i/>
        </w:rPr>
        <w:t>De x-waarde door de VREG vastgesteld per reguleringsperiode, positieve of negatieve waarde, van toepassing op alle distributienetbeheerders (zie verder onder</w:t>
      </w:r>
      <w:r w:rsidR="00D8701A" w:rsidRPr="00043B8D">
        <w:rPr>
          <w:rFonts w:cs="Tahoma"/>
          <w:i/>
        </w:rPr>
        <w:t xml:space="preserve"> par.</w:t>
      </w:r>
      <w:r w:rsidR="00176716" w:rsidRPr="00043B8D">
        <w:rPr>
          <w:rFonts w:cs="Tahoma"/>
          <w:i/>
        </w:rPr>
        <w:t xml:space="preserve"> </w:t>
      </w:r>
      <w:r w:rsidR="00176716" w:rsidRPr="00043B8D">
        <w:rPr>
          <w:rFonts w:cs="Tahoma"/>
          <w:i/>
        </w:rPr>
        <w:fldChar w:fldCharType="begin"/>
      </w:r>
      <w:r w:rsidR="00176716" w:rsidRPr="00043B8D">
        <w:rPr>
          <w:rFonts w:cs="Tahoma"/>
          <w:i/>
        </w:rPr>
        <w:instrText xml:space="preserve"> REF _Ref389818716 \r \h </w:instrText>
      </w:r>
      <w:r w:rsidR="00043B8D">
        <w:rPr>
          <w:rFonts w:cs="Tahoma"/>
          <w:i/>
        </w:rPr>
        <w:instrText xml:space="preserve"> \* MERGEFORMAT </w:instrText>
      </w:r>
      <w:r w:rsidR="00176716" w:rsidRPr="00043B8D">
        <w:rPr>
          <w:rFonts w:cs="Tahoma"/>
          <w:i/>
        </w:rPr>
      </w:r>
      <w:r w:rsidR="00176716" w:rsidRPr="00043B8D">
        <w:rPr>
          <w:rFonts w:cs="Tahoma"/>
          <w:i/>
        </w:rPr>
        <w:fldChar w:fldCharType="separate"/>
      </w:r>
      <w:r w:rsidR="00B30F9B">
        <w:rPr>
          <w:rFonts w:cs="Tahoma"/>
          <w:i/>
        </w:rPr>
        <w:t>5.6.2</w:t>
      </w:r>
      <w:r w:rsidR="00176716" w:rsidRPr="00043B8D">
        <w:rPr>
          <w:rFonts w:cs="Tahoma"/>
          <w:i/>
        </w:rPr>
        <w:fldChar w:fldCharType="end"/>
      </w:r>
      <w:r w:rsidR="00176716" w:rsidRPr="00043B8D">
        <w:rPr>
          <w:rFonts w:cs="Tahoma"/>
          <w:i/>
        </w:rPr>
        <w:t>)</w:t>
      </w:r>
      <w:r w:rsidR="004E026F" w:rsidRPr="00043B8D">
        <w:rPr>
          <w:rFonts w:cs="Tahoma"/>
          <w:i/>
        </w:rPr>
        <w:t>.</w:t>
      </w:r>
      <w:r w:rsidR="00176716" w:rsidRPr="00043B8D">
        <w:rPr>
          <w:rFonts w:cs="Tahoma"/>
          <w:i/>
        </w:rPr>
        <w:t xml:space="preserve"> </w:t>
      </w:r>
      <w:r w:rsidR="008F11D6" w:rsidRPr="00043B8D">
        <w:rPr>
          <w:rFonts w:cs="Tahoma"/>
          <w:i/>
        </w:rPr>
        <w:t>(-)</w:t>
      </w:r>
    </w:p>
    <w:p w14:paraId="79CF9C2D" w14:textId="77777777" w:rsidR="00FF7ABB" w:rsidRPr="00043B8D" w:rsidRDefault="00FF7ABB" w:rsidP="00A11730">
      <w:pPr>
        <w:tabs>
          <w:tab w:val="left" w:pos="1418"/>
        </w:tabs>
        <w:ind w:left="2834" w:hanging="1418"/>
        <w:rPr>
          <w:rFonts w:cs="Tahoma"/>
          <w:i/>
        </w:rPr>
      </w:pPr>
    </w:p>
    <w:p w14:paraId="2CA76801" w14:textId="202587D9" w:rsidR="009B5A7F" w:rsidRPr="00043B8D" w:rsidRDefault="009B5A7F" w:rsidP="00A11730">
      <w:pPr>
        <w:ind w:left="2833" w:hanging="709"/>
        <w:rPr>
          <w:rFonts w:cs="Tahoma"/>
          <w:i/>
          <w:lang w:val="nl-BE"/>
        </w:rPr>
      </w:pPr>
      <w:r w:rsidRPr="00043B8D">
        <w:rPr>
          <w:rFonts w:cs="Tahoma"/>
          <w:i/>
          <w:lang w:val="nl-BE"/>
        </w:rPr>
        <w:t>q</w:t>
      </w:r>
      <w:r w:rsidR="00337125" w:rsidRPr="00043B8D">
        <w:rPr>
          <w:rFonts w:cs="Tahoma"/>
          <w:i/>
          <w:vertAlign w:val="subscript"/>
          <w:lang w:val="nl-BE"/>
        </w:rPr>
        <w:t>i</w:t>
      </w:r>
      <w:r w:rsidRPr="00043B8D">
        <w:rPr>
          <w:rFonts w:cs="Tahoma"/>
          <w:i/>
          <w:lang w:val="nl-BE"/>
        </w:rPr>
        <w:tab/>
        <w:t xml:space="preserve">De </w:t>
      </w:r>
      <w:r w:rsidR="007F493C" w:rsidRPr="00043B8D">
        <w:rPr>
          <w:rFonts w:cs="Tahoma"/>
          <w:i/>
          <w:lang w:val="nl-BE"/>
        </w:rPr>
        <w:t xml:space="preserve">q-waarde door de VREG vastgesteld </w:t>
      </w:r>
      <w:r w:rsidR="001771AF" w:rsidRPr="00043B8D">
        <w:rPr>
          <w:rFonts w:cs="Tahoma"/>
          <w:i/>
          <w:lang w:val="nl-BE"/>
        </w:rPr>
        <w:t xml:space="preserve">voor </w:t>
      </w:r>
      <w:r w:rsidR="007F493C" w:rsidRPr="00043B8D">
        <w:rPr>
          <w:rFonts w:cs="Tahoma"/>
          <w:i/>
          <w:lang w:val="nl-BE"/>
        </w:rPr>
        <w:t>distributienetbeheerder</w:t>
      </w:r>
      <w:r w:rsidR="00ED46B8" w:rsidRPr="00043B8D">
        <w:rPr>
          <w:rFonts w:cs="Tahoma"/>
          <w:i/>
          <w:lang w:val="nl-BE"/>
        </w:rPr>
        <w:t xml:space="preserve"> </w:t>
      </w:r>
      <w:r w:rsidR="00337125" w:rsidRPr="00043B8D">
        <w:rPr>
          <w:rFonts w:cs="Tahoma"/>
          <w:i/>
          <w:lang w:val="nl-BE"/>
        </w:rPr>
        <w:t xml:space="preserve">i </w:t>
      </w:r>
      <w:r w:rsidR="001771AF" w:rsidRPr="00043B8D">
        <w:rPr>
          <w:rFonts w:cs="Tahoma"/>
          <w:i/>
          <w:lang w:val="nl-BE"/>
        </w:rPr>
        <w:t xml:space="preserve">en </w:t>
      </w:r>
      <w:r w:rsidR="00ED46B8" w:rsidRPr="00043B8D">
        <w:rPr>
          <w:rFonts w:cs="Tahoma"/>
          <w:i/>
          <w:lang w:val="nl-BE"/>
        </w:rPr>
        <w:t>per reguleringsperiode</w:t>
      </w:r>
      <w:r w:rsidR="007F493C" w:rsidRPr="00043B8D">
        <w:rPr>
          <w:rFonts w:cs="Tahoma"/>
          <w:i/>
          <w:lang w:val="nl-BE"/>
        </w:rPr>
        <w:t xml:space="preserve">, als </w:t>
      </w:r>
      <w:r w:rsidRPr="00043B8D">
        <w:rPr>
          <w:rFonts w:cs="Tahoma"/>
          <w:i/>
          <w:lang w:val="nl-BE"/>
        </w:rPr>
        <w:t xml:space="preserve">prikkel </w:t>
      </w:r>
      <w:r w:rsidR="007F493C" w:rsidRPr="00043B8D">
        <w:rPr>
          <w:rFonts w:cs="Tahoma"/>
          <w:i/>
          <w:lang w:val="nl-BE"/>
        </w:rPr>
        <w:t xml:space="preserve">voor de distributienetbeheerder voor het leveren van een </w:t>
      </w:r>
      <w:r w:rsidRPr="00043B8D">
        <w:rPr>
          <w:rFonts w:cs="Tahoma"/>
          <w:i/>
          <w:lang w:val="nl-BE"/>
        </w:rPr>
        <w:t>kwaliteit</w:t>
      </w:r>
      <w:r w:rsidR="007F493C" w:rsidRPr="00043B8D">
        <w:rPr>
          <w:rFonts w:cs="Tahoma"/>
          <w:i/>
          <w:lang w:val="nl-BE"/>
        </w:rPr>
        <w:t xml:space="preserve">svolle </w:t>
      </w:r>
      <w:r w:rsidRPr="00043B8D">
        <w:rPr>
          <w:rFonts w:cs="Tahoma"/>
          <w:i/>
          <w:lang w:val="nl-BE"/>
        </w:rPr>
        <w:t>dienstverlening</w:t>
      </w:r>
      <w:r w:rsidR="00952D29" w:rsidRPr="00043B8D">
        <w:rPr>
          <w:rFonts w:cs="Tahoma"/>
          <w:i/>
          <w:lang w:val="nl-BE"/>
        </w:rPr>
        <w:t xml:space="preserve"> (zie verder onder</w:t>
      </w:r>
      <w:r w:rsidR="00D86AB8" w:rsidRPr="00043B8D">
        <w:rPr>
          <w:rFonts w:cs="Tahoma"/>
          <w:i/>
          <w:lang w:val="nl-BE"/>
        </w:rPr>
        <w:t xml:space="preserve"> par</w:t>
      </w:r>
      <w:r w:rsidR="00D8701A" w:rsidRPr="00043B8D">
        <w:rPr>
          <w:rFonts w:cs="Tahoma"/>
          <w:i/>
          <w:lang w:val="nl-BE"/>
        </w:rPr>
        <w:t>.</w:t>
      </w:r>
      <w:r w:rsidR="00D86AB8" w:rsidRPr="00043B8D">
        <w:rPr>
          <w:rFonts w:cs="Tahoma"/>
          <w:i/>
          <w:lang w:val="nl-BE"/>
        </w:rPr>
        <w:t xml:space="preserve"> </w:t>
      </w:r>
      <w:r w:rsidR="006D01E3" w:rsidRPr="00043B8D">
        <w:rPr>
          <w:rFonts w:cs="Tahoma"/>
          <w:i/>
          <w:lang w:val="nl-BE"/>
        </w:rPr>
        <w:fldChar w:fldCharType="begin"/>
      </w:r>
      <w:r w:rsidR="006D01E3" w:rsidRPr="00043B8D">
        <w:rPr>
          <w:rFonts w:cs="Tahoma"/>
          <w:i/>
          <w:lang w:val="nl-BE"/>
        </w:rPr>
        <w:instrText xml:space="preserve"> REF _Ref363635595 \r \h </w:instrText>
      </w:r>
      <w:r w:rsidR="00043B8D">
        <w:rPr>
          <w:rFonts w:cs="Tahoma"/>
          <w:i/>
          <w:lang w:val="nl-BE"/>
        </w:rPr>
        <w:instrText xml:space="preserve"> \* MERGEFORMAT </w:instrText>
      </w:r>
      <w:r w:rsidR="006D01E3" w:rsidRPr="00043B8D">
        <w:rPr>
          <w:rFonts w:cs="Tahoma"/>
          <w:i/>
          <w:lang w:val="nl-BE"/>
        </w:rPr>
      </w:r>
      <w:r w:rsidR="006D01E3" w:rsidRPr="00043B8D">
        <w:rPr>
          <w:rFonts w:cs="Tahoma"/>
          <w:i/>
          <w:lang w:val="nl-BE"/>
        </w:rPr>
        <w:fldChar w:fldCharType="separate"/>
      </w:r>
      <w:r w:rsidR="00B30F9B">
        <w:rPr>
          <w:rFonts w:cs="Tahoma"/>
          <w:i/>
          <w:lang w:val="nl-BE"/>
        </w:rPr>
        <w:t>5.11</w:t>
      </w:r>
      <w:r w:rsidR="006D01E3" w:rsidRPr="00043B8D">
        <w:rPr>
          <w:rFonts w:cs="Tahoma"/>
          <w:i/>
          <w:lang w:val="nl-BE"/>
        </w:rPr>
        <w:fldChar w:fldCharType="end"/>
      </w:r>
      <w:r w:rsidR="00977895" w:rsidRPr="00043B8D">
        <w:rPr>
          <w:rFonts w:cs="Tahoma"/>
          <w:i/>
          <w:lang w:val="nl-BE"/>
        </w:rPr>
        <w:t>)</w:t>
      </w:r>
      <w:r w:rsidR="004E026F" w:rsidRPr="00043B8D">
        <w:rPr>
          <w:rFonts w:cs="Tahoma"/>
          <w:i/>
          <w:lang w:val="nl-BE"/>
        </w:rPr>
        <w:t>.</w:t>
      </w:r>
      <w:r w:rsidR="00FC01F2" w:rsidRPr="00043B8D">
        <w:rPr>
          <w:rFonts w:cs="Tahoma"/>
          <w:i/>
          <w:lang w:val="nl-BE"/>
        </w:rPr>
        <w:t xml:space="preserve"> </w:t>
      </w:r>
      <w:r w:rsidR="00674DAB" w:rsidRPr="00043B8D">
        <w:rPr>
          <w:rFonts w:cs="Tahoma"/>
          <w:i/>
          <w:lang w:val="nl-BE"/>
        </w:rPr>
        <w:t>(-</w:t>
      </w:r>
      <w:r w:rsidR="008F11D6" w:rsidRPr="00043B8D">
        <w:rPr>
          <w:rFonts w:cs="Tahoma"/>
          <w:i/>
          <w:lang w:val="nl-BE"/>
        </w:rPr>
        <w:t>)</w:t>
      </w:r>
      <w:r w:rsidR="007D1778" w:rsidRPr="00043B8D">
        <w:rPr>
          <w:rFonts w:cs="Tahoma"/>
          <w:i/>
          <w:lang w:val="nl-BE"/>
        </w:rPr>
        <w:t xml:space="preserve"> </w:t>
      </w:r>
    </w:p>
    <w:p w14:paraId="2D4DB95E" w14:textId="77777777" w:rsidR="00555432" w:rsidRPr="00043B8D" w:rsidRDefault="00555432" w:rsidP="009B5A7F">
      <w:pPr>
        <w:ind w:left="2126" w:hanging="709"/>
        <w:rPr>
          <w:rFonts w:cs="Tahoma"/>
          <w:i/>
          <w:lang w:val="nl-BE"/>
        </w:rPr>
      </w:pPr>
    </w:p>
    <w:p w14:paraId="19CD1E2C" w14:textId="77777777" w:rsidR="00EE66A7" w:rsidRPr="00043B8D" w:rsidRDefault="000A7E48" w:rsidP="000F5A05">
      <w:pPr>
        <w:ind w:left="1418" w:hanging="709"/>
        <w:rPr>
          <w:rFonts w:cs="Tahoma"/>
          <w:i/>
        </w:rPr>
      </w:pPr>
      <w:r w:rsidRPr="00043B8D">
        <w:rPr>
          <w:rFonts w:cs="Tahoma"/>
          <w:i/>
        </w:rPr>
        <w:t>T</w:t>
      </w:r>
      <w:r w:rsidR="00EE66A7" w:rsidRPr="00043B8D">
        <w:rPr>
          <w:rFonts w:cs="Tahoma"/>
          <w:i/>
        </w:rPr>
        <w:t>I</w:t>
      </w:r>
      <w:r w:rsidR="00EE66A7" w:rsidRPr="00043B8D">
        <w:rPr>
          <w:rFonts w:cs="Tahoma"/>
          <w:i/>
          <w:vertAlign w:val="subscript"/>
        </w:rPr>
        <w:t>ex,</w:t>
      </w:r>
      <w:r w:rsidR="00B67CF2" w:rsidRPr="00043B8D">
        <w:rPr>
          <w:rFonts w:cs="Tahoma"/>
          <w:i/>
          <w:vertAlign w:val="subscript"/>
        </w:rPr>
        <w:t>j</w:t>
      </w:r>
      <w:r w:rsidR="00337125" w:rsidRPr="00043B8D">
        <w:rPr>
          <w:rFonts w:cs="Tahoma"/>
          <w:i/>
          <w:vertAlign w:val="subscript"/>
        </w:rPr>
        <w:t>,i</w:t>
      </w:r>
      <w:r w:rsidR="00EE66A7" w:rsidRPr="00043B8D">
        <w:rPr>
          <w:rFonts w:cs="Tahoma"/>
          <w:i/>
        </w:rPr>
        <w:tab/>
      </w:r>
      <w:r w:rsidR="00ED2FAA" w:rsidRPr="00043B8D">
        <w:rPr>
          <w:rFonts w:cs="Tahoma"/>
          <w:i/>
        </w:rPr>
        <w:t xml:space="preserve">Het door de VREG voor het jaar j voor de distributienetbeheerder i toegelaten inkomen uit zijn periodieke distributienettarieven ter dekking van de kosten van de distributienetbeheerder die in de tariefmethodologie als exogeen worden beschouwd </w:t>
      </w:r>
      <w:r w:rsidR="00B67CF2" w:rsidRPr="00043B8D">
        <w:rPr>
          <w:rFonts w:cs="Tahoma"/>
          <w:i/>
        </w:rPr>
        <w:t>(EUR):</w:t>
      </w:r>
    </w:p>
    <w:p w14:paraId="6D0B3B59" w14:textId="77777777" w:rsidR="00390936" w:rsidRPr="00043B8D" w:rsidRDefault="00390936" w:rsidP="000F5A05">
      <w:pPr>
        <w:ind w:left="1418" w:hanging="709"/>
        <w:rPr>
          <w:rFonts w:cs="Tahoma"/>
        </w:rPr>
      </w:pPr>
    </w:p>
    <w:p w14:paraId="62F0BC77" w14:textId="77777777" w:rsidR="00820B9F" w:rsidRPr="00043B8D" w:rsidRDefault="002F2249" w:rsidP="00A01C71">
      <w:pPr>
        <w:pStyle w:val="StijlStijlBijschriftCambriaMathNietVetCursiefVet"/>
        <w:pBdr>
          <w:top w:val="dotted" w:sz="4" w:space="1" w:color="auto"/>
          <w:left w:val="dotted" w:sz="4" w:space="4" w:color="auto"/>
          <w:bottom w:val="dotted" w:sz="4" w:space="1" w:color="auto"/>
          <w:right w:val="dotted" w:sz="4" w:space="4" w:color="auto"/>
        </w:pBdr>
        <w:jc w:val="center"/>
        <w:rPr>
          <w:b w:val="0"/>
          <w:i/>
        </w:rPr>
      </w:pPr>
      <m:oMath>
        <m:r>
          <m:rPr>
            <m:sty m:val="bi"/>
          </m:rPr>
          <m:t>T</m:t>
        </m:r>
        <m:sSub>
          <m:sSubPr>
            <m:ctrlPr>
              <w:rPr>
                <w:b w:val="0"/>
                <w:i/>
              </w:rPr>
            </m:ctrlPr>
          </m:sSubPr>
          <m:e>
            <m:r>
              <m:rPr>
                <m:sty m:val="bi"/>
              </m:rPr>
              <m:t>I</m:t>
            </m:r>
          </m:e>
          <m:sub>
            <m:r>
              <m:rPr>
                <m:sty m:val="bi"/>
              </m:rPr>
              <m:t>ex,j,i</m:t>
            </m:r>
          </m:sub>
        </m:sSub>
        <m:r>
          <m:rPr>
            <m:sty m:val="bi"/>
          </m:rPr>
          <m:t xml:space="preserve">= </m:t>
        </m:r>
        <m:sSub>
          <m:sSubPr>
            <m:ctrlPr>
              <w:rPr>
                <w:b w:val="0"/>
                <w:i/>
              </w:rPr>
            </m:ctrlPr>
          </m:sSubPr>
          <m:e>
            <m:r>
              <m:rPr>
                <m:sty m:val="bi"/>
              </m:rPr>
              <m:t>TI</m:t>
            </m:r>
          </m:e>
          <m:sub>
            <m:r>
              <m:rPr>
                <m:sty m:val="bi"/>
              </m:rPr>
              <m:t>ex,j,budget,i</m:t>
            </m:r>
          </m:sub>
        </m:sSub>
      </m:oMath>
      <w:r w:rsidR="00390936" w:rsidRPr="00043B8D">
        <w:rPr>
          <w:b w:val="0"/>
          <w:i/>
        </w:rPr>
        <w:t xml:space="preserve"> </w:t>
      </w:r>
      <w:r w:rsidR="00820B9F" w:rsidRPr="00043B8D">
        <w:rPr>
          <w:b w:val="0"/>
          <w:i/>
        </w:rPr>
        <w:tab/>
      </w:r>
      <w:r w:rsidR="00820B9F" w:rsidRPr="00043B8D">
        <w:rPr>
          <w:b w:val="0"/>
          <w:i/>
        </w:rPr>
        <w:tab/>
      </w:r>
    </w:p>
    <w:p w14:paraId="487B1A3D" w14:textId="77777777" w:rsidR="007A3C3F" w:rsidRPr="000D284A" w:rsidRDefault="007A3C3F" w:rsidP="000D284A">
      <w:pPr>
        <w:pStyle w:val="Bijschrift"/>
        <w:jc w:val="right"/>
        <w:rPr>
          <w:b w:val="0"/>
          <w:i/>
        </w:rPr>
      </w:pPr>
      <w:r w:rsidRPr="000D284A">
        <w:rPr>
          <w:b w:val="0"/>
          <w:i/>
        </w:rPr>
        <w:tab/>
      </w:r>
      <w:bookmarkStart w:id="317" w:name="_Ref389029855"/>
      <w:r w:rsidRPr="000D284A">
        <w:rPr>
          <w:b w:val="0"/>
          <w:i/>
        </w:rPr>
        <w:t xml:space="preserve">formule </w:t>
      </w:r>
      <w:r w:rsidRPr="000D284A">
        <w:rPr>
          <w:b w:val="0"/>
          <w:i/>
        </w:rPr>
        <w:fldChar w:fldCharType="begin"/>
      </w:r>
      <w:r w:rsidRPr="000D284A">
        <w:rPr>
          <w:b w:val="0"/>
          <w:i/>
        </w:rPr>
        <w:instrText xml:space="preserve"> SEQ formule \* ARABIC </w:instrText>
      </w:r>
      <w:r w:rsidRPr="000D284A">
        <w:rPr>
          <w:b w:val="0"/>
          <w:i/>
        </w:rPr>
        <w:fldChar w:fldCharType="separate"/>
      </w:r>
      <w:r w:rsidR="00BD536B">
        <w:rPr>
          <w:b w:val="0"/>
          <w:i/>
          <w:noProof/>
        </w:rPr>
        <w:t>3</w:t>
      </w:r>
      <w:r w:rsidRPr="000D284A">
        <w:rPr>
          <w:b w:val="0"/>
          <w:i/>
        </w:rPr>
        <w:fldChar w:fldCharType="end"/>
      </w:r>
      <w:bookmarkEnd w:id="317"/>
    </w:p>
    <w:p w14:paraId="35AA7D6A" w14:textId="77777777" w:rsidR="0035773D" w:rsidRPr="00043B8D" w:rsidRDefault="0035773D" w:rsidP="00390936">
      <w:pPr>
        <w:ind w:left="1418" w:hanging="2"/>
        <w:rPr>
          <w:rFonts w:cs="Tahoma"/>
        </w:rPr>
      </w:pPr>
    </w:p>
    <w:p w14:paraId="689A0A85" w14:textId="77777777" w:rsidR="00390936" w:rsidRPr="00043B8D" w:rsidRDefault="00390936" w:rsidP="00390936">
      <w:pPr>
        <w:ind w:left="1418" w:hanging="2"/>
        <w:rPr>
          <w:rFonts w:cs="Tahoma"/>
        </w:rPr>
      </w:pPr>
      <w:r w:rsidRPr="00043B8D">
        <w:rPr>
          <w:rFonts w:cs="Tahoma"/>
        </w:rPr>
        <w:t>Met hierin:</w:t>
      </w:r>
    </w:p>
    <w:p w14:paraId="7892874D" w14:textId="77777777" w:rsidR="00390936" w:rsidRPr="00043B8D" w:rsidRDefault="00390936" w:rsidP="00390936">
      <w:pPr>
        <w:ind w:left="1418" w:hanging="709"/>
        <w:rPr>
          <w:rFonts w:cs="Tahoma"/>
        </w:rPr>
      </w:pPr>
    </w:p>
    <w:p w14:paraId="285D7FE6" w14:textId="2603EAA3" w:rsidR="00926C2C" w:rsidRPr="00043B8D" w:rsidRDefault="009D13D9" w:rsidP="009D13D9">
      <w:pPr>
        <w:ind w:left="2835" w:hanging="1419"/>
        <w:rPr>
          <w:rFonts w:cs="Tahoma"/>
          <w:i/>
        </w:rPr>
      </w:pPr>
      <w:r w:rsidRPr="00043B8D">
        <w:rPr>
          <w:rFonts w:cs="Tahoma"/>
          <w:i/>
        </w:rPr>
        <w:t>TI</w:t>
      </w:r>
      <w:r w:rsidRPr="00043B8D">
        <w:rPr>
          <w:rFonts w:cs="Tahoma"/>
          <w:i/>
          <w:vertAlign w:val="subscript"/>
        </w:rPr>
        <w:t>ex,j,budget</w:t>
      </w:r>
      <w:r w:rsidR="003C5AE4" w:rsidRPr="00043B8D">
        <w:rPr>
          <w:rFonts w:cs="Tahoma"/>
          <w:i/>
          <w:vertAlign w:val="subscript"/>
        </w:rPr>
        <w:t>,i</w:t>
      </w:r>
      <w:r w:rsidR="00926C2C" w:rsidRPr="00043B8D">
        <w:rPr>
          <w:rFonts w:cs="Tahoma"/>
          <w:i/>
        </w:rPr>
        <w:tab/>
      </w:r>
      <w:r w:rsidR="00ED2FAA" w:rsidRPr="00043B8D">
        <w:rPr>
          <w:rFonts w:cs="Tahoma"/>
          <w:i/>
        </w:rPr>
        <w:t>Het door de VREG aanvaarde budget van distributienetbeheerder i aan verwachte exogene kosten in het jaar j, dat een geplande afbouw van in het verleden opgebouwde regulatoire rekeningen kan omvatten</w:t>
      </w:r>
      <w:r w:rsidR="004E026F" w:rsidRPr="00043B8D">
        <w:rPr>
          <w:rFonts w:cs="Tahoma"/>
          <w:i/>
        </w:rPr>
        <w:t>.</w:t>
      </w:r>
      <w:r w:rsidR="00ED2FAA" w:rsidRPr="00043B8D">
        <w:rPr>
          <w:rFonts w:cs="Tahoma"/>
          <w:i/>
        </w:rPr>
        <w:t xml:space="preserve"> </w:t>
      </w:r>
      <w:r w:rsidR="00FF7ABB" w:rsidRPr="00043B8D">
        <w:rPr>
          <w:rFonts w:cs="Tahoma"/>
          <w:i/>
        </w:rPr>
        <w:t>(EUR)</w:t>
      </w:r>
    </w:p>
    <w:p w14:paraId="260055D3" w14:textId="77777777" w:rsidR="00ED2FAA" w:rsidRPr="00043B8D" w:rsidRDefault="00ED2FAA" w:rsidP="009D13D9">
      <w:pPr>
        <w:ind w:left="2835" w:hanging="1419"/>
        <w:rPr>
          <w:rFonts w:cs="Tahoma"/>
          <w:i/>
        </w:rPr>
      </w:pPr>
    </w:p>
    <w:p w14:paraId="75E94D20" w14:textId="5AD94B19" w:rsidR="00ED2FAA" w:rsidRPr="00043B8D" w:rsidRDefault="00ED2FAA" w:rsidP="00ED2FAA">
      <w:pPr>
        <w:ind w:left="1418" w:hanging="709"/>
        <w:rPr>
          <w:rFonts w:cs="Tahoma"/>
          <w:i/>
          <w:lang w:val="nl-BE"/>
        </w:rPr>
      </w:pPr>
      <w:r w:rsidRPr="00043B8D">
        <w:rPr>
          <w:rFonts w:cs="Tahoma"/>
          <w:i/>
          <w:lang w:val="nl-BE"/>
        </w:rPr>
        <w:t>t</w:t>
      </w:r>
      <w:r w:rsidRPr="00043B8D">
        <w:rPr>
          <w:rFonts w:cs="Tahoma"/>
          <w:i/>
          <w:vertAlign w:val="subscript"/>
          <w:lang w:val="nl-BE"/>
        </w:rPr>
        <w:t>j,i</w:t>
      </w:r>
      <w:r w:rsidRPr="00043B8D">
        <w:rPr>
          <w:rFonts w:cs="Tahoma"/>
          <w:i/>
          <w:lang w:val="nl-BE"/>
        </w:rPr>
        <w:tab/>
        <w:t>Het periodiek distributienettarief van de distributienetbeheerder i voor jaar j voor een bepaalde klantengroep en een bepaalde categorie in de tariefstructuur</w:t>
      </w:r>
      <w:r w:rsidR="00B03EC1" w:rsidRPr="00043B8D">
        <w:rPr>
          <w:rFonts w:cs="Tahoma"/>
          <w:i/>
          <w:lang w:val="nl-BE"/>
        </w:rPr>
        <w:t xml:space="preserve"> (zie verder par. </w:t>
      </w:r>
      <w:r w:rsidR="00B03EC1" w:rsidRPr="00043B8D">
        <w:rPr>
          <w:rFonts w:cs="Tahoma"/>
          <w:i/>
          <w:lang w:val="nl-BE"/>
        </w:rPr>
        <w:fldChar w:fldCharType="begin"/>
      </w:r>
      <w:r w:rsidR="00B03EC1" w:rsidRPr="00043B8D">
        <w:rPr>
          <w:rFonts w:cs="Tahoma"/>
          <w:i/>
          <w:lang w:val="nl-BE"/>
        </w:rPr>
        <w:instrText xml:space="preserve"> REF _Ref390241304 \r \h </w:instrText>
      </w:r>
      <w:r w:rsidR="00043B8D">
        <w:rPr>
          <w:rFonts w:cs="Tahoma"/>
          <w:i/>
          <w:lang w:val="nl-BE"/>
        </w:rPr>
        <w:instrText xml:space="preserve"> \* MERGEFORMAT </w:instrText>
      </w:r>
      <w:r w:rsidR="00B03EC1" w:rsidRPr="00043B8D">
        <w:rPr>
          <w:rFonts w:cs="Tahoma"/>
          <w:i/>
          <w:lang w:val="nl-BE"/>
        </w:rPr>
      </w:r>
      <w:r w:rsidR="00B03EC1" w:rsidRPr="00043B8D">
        <w:rPr>
          <w:rFonts w:cs="Tahoma"/>
          <w:i/>
          <w:lang w:val="nl-BE"/>
        </w:rPr>
        <w:fldChar w:fldCharType="separate"/>
      </w:r>
      <w:r w:rsidR="00B30F9B">
        <w:rPr>
          <w:rFonts w:cs="Tahoma"/>
          <w:i/>
          <w:lang w:val="nl-BE"/>
        </w:rPr>
        <w:t>6</w:t>
      </w:r>
      <w:r w:rsidR="00B03EC1" w:rsidRPr="00043B8D">
        <w:rPr>
          <w:rFonts w:cs="Tahoma"/>
          <w:i/>
          <w:lang w:val="nl-BE"/>
        </w:rPr>
        <w:fldChar w:fldCharType="end"/>
      </w:r>
      <w:r w:rsidR="00B03EC1" w:rsidRPr="00043B8D">
        <w:rPr>
          <w:rFonts w:cs="Tahoma"/>
          <w:i/>
          <w:lang w:val="nl-BE"/>
        </w:rPr>
        <w:t>)</w:t>
      </w:r>
      <w:r w:rsidRPr="00043B8D">
        <w:rPr>
          <w:rFonts w:cs="Tahoma"/>
          <w:i/>
          <w:lang w:val="nl-BE"/>
        </w:rPr>
        <w:t>.</w:t>
      </w:r>
      <w:r w:rsidR="004E026F" w:rsidRPr="00043B8D">
        <w:rPr>
          <w:rFonts w:cs="Tahoma"/>
          <w:i/>
          <w:lang w:val="nl-BE"/>
        </w:rPr>
        <w:t xml:space="preserve"> (EUR/tariefdrager)</w:t>
      </w:r>
    </w:p>
    <w:p w14:paraId="1240BDCA" w14:textId="77777777" w:rsidR="00ED2FAA" w:rsidRPr="00043B8D" w:rsidRDefault="00ED2FAA" w:rsidP="00ED2FAA">
      <w:pPr>
        <w:ind w:left="1418" w:hanging="709"/>
        <w:rPr>
          <w:rFonts w:cs="Tahoma"/>
          <w:i/>
          <w:lang w:val="nl-BE"/>
        </w:rPr>
      </w:pPr>
    </w:p>
    <w:p w14:paraId="58BD96EB" w14:textId="5D22F1EB" w:rsidR="00ED2FAA" w:rsidRPr="00043B8D" w:rsidRDefault="00ED2FAA" w:rsidP="00ED2FAA">
      <w:pPr>
        <w:ind w:left="1418" w:hanging="709"/>
        <w:rPr>
          <w:rFonts w:cs="Tahoma"/>
          <w:i/>
          <w:lang w:val="nl-BE"/>
        </w:rPr>
      </w:pPr>
      <w:r w:rsidRPr="00043B8D">
        <w:rPr>
          <w:rFonts w:cs="Tahoma"/>
          <w:i/>
          <w:lang w:val="nl-BE"/>
        </w:rPr>
        <w:t>v</w:t>
      </w:r>
      <w:r w:rsidRPr="00043B8D">
        <w:rPr>
          <w:rFonts w:cs="Tahoma"/>
          <w:i/>
          <w:vertAlign w:val="subscript"/>
          <w:lang w:val="nl-BE"/>
        </w:rPr>
        <w:t>rp,i</w:t>
      </w:r>
      <w:r w:rsidRPr="00043B8D">
        <w:rPr>
          <w:rFonts w:cs="Tahoma"/>
          <w:i/>
          <w:lang w:val="nl-BE"/>
        </w:rPr>
        <w:tab/>
      </w:r>
      <w:r w:rsidR="008F590B" w:rsidRPr="00043B8D">
        <w:rPr>
          <w:rFonts w:cs="Tahoma"/>
          <w:i/>
          <w:lang w:val="nl-BE"/>
        </w:rPr>
        <w:t>Het rekenvolume van distributienetbeheerder i voor het periodieke distributienettarief t</w:t>
      </w:r>
      <w:r w:rsidR="008F590B" w:rsidRPr="00043B8D">
        <w:rPr>
          <w:rFonts w:cs="Tahoma"/>
          <w:i/>
          <w:vertAlign w:val="subscript"/>
          <w:lang w:val="nl-BE"/>
        </w:rPr>
        <w:t>j,i</w:t>
      </w:r>
      <w:r w:rsidR="008F590B" w:rsidRPr="00043B8D">
        <w:rPr>
          <w:rFonts w:cs="Tahoma"/>
          <w:i/>
          <w:lang w:val="nl-BE"/>
        </w:rPr>
        <w:t xml:space="preserve">, dit is het vooraf vastgestelde jaarvolume van de overeenstemmende tariefdrager </w:t>
      </w:r>
      <w:r w:rsidRPr="00043B8D">
        <w:rPr>
          <w:rFonts w:cs="Tahoma"/>
          <w:i/>
          <w:lang w:val="nl-BE"/>
        </w:rPr>
        <w:t>(zie verder</w:t>
      </w:r>
      <w:r w:rsidR="00B03EC1" w:rsidRPr="00043B8D">
        <w:rPr>
          <w:rFonts w:cs="Tahoma"/>
          <w:i/>
          <w:lang w:val="nl-BE"/>
        </w:rPr>
        <w:t xml:space="preserve"> par</w:t>
      </w:r>
      <w:r w:rsidR="00D8701A" w:rsidRPr="00043B8D">
        <w:rPr>
          <w:rFonts w:cs="Tahoma"/>
          <w:i/>
          <w:lang w:val="nl-BE"/>
        </w:rPr>
        <w:t>.</w:t>
      </w:r>
      <w:r w:rsidR="00CA75AE" w:rsidRPr="00043B8D">
        <w:rPr>
          <w:rFonts w:cs="Tahoma"/>
          <w:i/>
          <w:lang w:val="nl-BE"/>
        </w:rPr>
        <w:fldChar w:fldCharType="begin"/>
      </w:r>
      <w:r w:rsidR="00CA75AE" w:rsidRPr="00043B8D">
        <w:rPr>
          <w:rFonts w:cs="Tahoma"/>
          <w:i/>
          <w:lang w:val="nl-BE"/>
        </w:rPr>
        <w:instrText xml:space="preserve"> REF _Ref397507997 \r \h </w:instrText>
      </w:r>
      <w:r w:rsidR="00043B8D">
        <w:rPr>
          <w:rFonts w:cs="Tahoma"/>
          <w:i/>
          <w:lang w:val="nl-BE"/>
        </w:rPr>
        <w:instrText xml:space="preserve"> \* MERGEFORMAT </w:instrText>
      </w:r>
      <w:r w:rsidR="00CA75AE" w:rsidRPr="00043B8D">
        <w:rPr>
          <w:rFonts w:cs="Tahoma"/>
          <w:i/>
          <w:lang w:val="nl-BE"/>
        </w:rPr>
      </w:r>
      <w:r w:rsidR="00CA75AE" w:rsidRPr="00043B8D">
        <w:rPr>
          <w:rFonts w:cs="Tahoma"/>
          <w:i/>
          <w:lang w:val="nl-BE"/>
        </w:rPr>
        <w:fldChar w:fldCharType="separate"/>
      </w:r>
      <w:r w:rsidR="00B30F9B">
        <w:rPr>
          <w:rFonts w:cs="Tahoma"/>
          <w:i/>
          <w:lang w:val="nl-BE"/>
        </w:rPr>
        <w:t>5.7</w:t>
      </w:r>
      <w:r w:rsidR="00CA75AE" w:rsidRPr="00043B8D">
        <w:rPr>
          <w:rFonts w:cs="Tahoma"/>
          <w:i/>
          <w:lang w:val="nl-BE"/>
        </w:rPr>
        <w:fldChar w:fldCharType="end"/>
      </w:r>
      <w:r w:rsidRPr="00043B8D">
        <w:rPr>
          <w:rFonts w:cs="Tahoma"/>
          <w:i/>
          <w:lang w:val="nl-BE"/>
        </w:rPr>
        <w:t>)</w:t>
      </w:r>
      <w:r w:rsidR="004E026F" w:rsidRPr="00043B8D">
        <w:rPr>
          <w:rFonts w:cs="Tahoma"/>
          <w:i/>
          <w:lang w:val="nl-BE"/>
        </w:rPr>
        <w:t>.</w:t>
      </w:r>
      <w:r w:rsidRPr="00043B8D">
        <w:rPr>
          <w:rFonts w:cs="Tahoma"/>
          <w:i/>
          <w:lang w:val="nl-BE"/>
        </w:rPr>
        <w:t xml:space="preserve"> (eenheid van de tariefdrager)  </w:t>
      </w:r>
    </w:p>
    <w:p w14:paraId="7C539979" w14:textId="77777777" w:rsidR="007514A4" w:rsidRPr="00043B8D" w:rsidRDefault="007514A4" w:rsidP="007514A4"/>
    <w:p w14:paraId="2E33AA93" w14:textId="77777777" w:rsidR="007514A4" w:rsidRPr="00043B8D" w:rsidRDefault="007514A4" w:rsidP="005251E2">
      <w:pPr>
        <w:pStyle w:val="Kop2"/>
        <w:numPr>
          <w:ilvl w:val="1"/>
          <w:numId w:val="24"/>
        </w:numPr>
        <w:ind w:hanging="644"/>
      </w:pPr>
      <w:bookmarkStart w:id="318" w:name="_Ref363653859"/>
      <w:bookmarkStart w:id="319" w:name="_Toc454186664"/>
      <w:r w:rsidRPr="00043B8D">
        <w:t>Niet-exogene kosten</w:t>
      </w:r>
      <w:bookmarkEnd w:id="318"/>
      <w:bookmarkEnd w:id="319"/>
    </w:p>
    <w:p w14:paraId="0F23875F" w14:textId="77777777" w:rsidR="007514A4" w:rsidRPr="00043B8D" w:rsidRDefault="007514A4" w:rsidP="007514A4">
      <w:pPr>
        <w:tabs>
          <w:tab w:val="left" w:pos="1701"/>
        </w:tabs>
        <w:rPr>
          <w:rFonts w:cs="Tahoma"/>
          <w:lang w:val="nl-BE"/>
        </w:rPr>
      </w:pPr>
    </w:p>
    <w:p w14:paraId="610D034E" w14:textId="463A02DE" w:rsidR="007514A4" w:rsidRPr="00043B8D" w:rsidRDefault="007514A4" w:rsidP="007514A4">
      <w:r w:rsidRPr="00043B8D">
        <w:t xml:space="preserve">De VREG </w:t>
      </w:r>
      <w:r w:rsidR="00666648" w:rsidRPr="00043B8D">
        <w:t xml:space="preserve">zal </w:t>
      </w:r>
      <w:r w:rsidRPr="00043B8D">
        <w:t xml:space="preserve">voor de </w:t>
      </w:r>
      <w:r w:rsidR="00666648" w:rsidRPr="00043B8D">
        <w:t xml:space="preserve">niet-exogene </w:t>
      </w:r>
      <w:r w:rsidRPr="00043B8D">
        <w:t>kosten</w:t>
      </w:r>
      <w:r w:rsidR="00666648" w:rsidRPr="00043B8D">
        <w:t xml:space="preserve"> </w:t>
      </w:r>
      <w:r w:rsidRPr="00043B8D">
        <w:t xml:space="preserve">een bevorderende regulering toepassen die </w:t>
      </w:r>
      <w:r w:rsidR="0014278A" w:rsidRPr="00043B8D">
        <w:t xml:space="preserve">de distributienetbeheerder </w:t>
      </w:r>
      <w:r w:rsidRPr="00043B8D">
        <w:t xml:space="preserve">prikkelt tot een duurzaam en kostenbewust beheer van zijn distributienet. Hiertoe zal de VREG per distributienetbeheerder een bepaald </w:t>
      </w:r>
      <w:r w:rsidR="00666648" w:rsidRPr="00043B8D">
        <w:t xml:space="preserve">toegelaten </w:t>
      </w:r>
      <w:r w:rsidRPr="00043B8D">
        <w:t>inkomen uit periodieke distributienettarieven per jaar bepalen (</w:t>
      </w:r>
      <w:r w:rsidRPr="00043B8D">
        <w:rPr>
          <w:rFonts w:cs="Tahoma"/>
          <w:i/>
        </w:rPr>
        <w:t>TI</w:t>
      </w:r>
      <w:r w:rsidRPr="00043B8D">
        <w:rPr>
          <w:rFonts w:cs="Tahoma"/>
          <w:i/>
          <w:vertAlign w:val="subscript"/>
        </w:rPr>
        <w:t>n-ex,j</w:t>
      </w:r>
      <w:r w:rsidR="00DB5890" w:rsidRPr="00043B8D">
        <w:rPr>
          <w:rFonts w:cs="Tahoma"/>
          <w:i/>
          <w:vertAlign w:val="subscript"/>
        </w:rPr>
        <w:t>,i</w:t>
      </w:r>
      <w:r w:rsidRPr="00043B8D">
        <w:rPr>
          <w:rFonts w:cs="Tahoma"/>
          <w:i/>
          <w:vertAlign w:val="subscript"/>
        </w:rPr>
        <w:t xml:space="preserve"> </w:t>
      </w:r>
      <w:r w:rsidRPr="00043B8D">
        <w:rPr>
          <w:rFonts w:cs="Tahoma"/>
        </w:rPr>
        <w:t xml:space="preserve">in </w:t>
      </w:r>
      <w:r w:rsidRPr="00043B8D">
        <w:rPr>
          <w:rFonts w:cs="Tahoma"/>
        </w:rPr>
        <w:fldChar w:fldCharType="begin"/>
      </w:r>
      <w:r w:rsidRPr="00043B8D">
        <w:rPr>
          <w:rFonts w:cs="Tahoma"/>
        </w:rPr>
        <w:instrText xml:space="preserve"> REF _Ref388616399 \h  \* MERGEFORMAT </w:instrText>
      </w:r>
      <w:r w:rsidRPr="00043B8D">
        <w:rPr>
          <w:rFonts w:cs="Tahoma"/>
        </w:rPr>
      </w:r>
      <w:r w:rsidRPr="00043B8D">
        <w:rPr>
          <w:rFonts w:cs="Tahoma"/>
        </w:rPr>
        <w:fldChar w:fldCharType="separate"/>
      </w:r>
      <w:r w:rsidR="00B30F9B" w:rsidRPr="00B30F9B">
        <w:t xml:space="preserve">formule </w:t>
      </w:r>
      <w:r w:rsidR="00B30F9B" w:rsidRPr="00B30F9B">
        <w:rPr>
          <w:noProof/>
        </w:rPr>
        <w:t>1</w:t>
      </w:r>
      <w:r w:rsidRPr="00043B8D">
        <w:rPr>
          <w:rFonts w:cs="Tahoma"/>
        </w:rPr>
        <w:fldChar w:fldCharType="end"/>
      </w:r>
      <w:r w:rsidRPr="00043B8D">
        <w:rPr>
          <w:rFonts w:cs="Tahoma"/>
        </w:rPr>
        <w:t>)</w:t>
      </w:r>
      <w:r w:rsidRPr="00043B8D">
        <w:t xml:space="preserve">. </w:t>
      </w:r>
    </w:p>
    <w:p w14:paraId="4B449F3A" w14:textId="77777777" w:rsidR="007514A4" w:rsidRPr="00043B8D" w:rsidRDefault="007514A4" w:rsidP="007514A4"/>
    <w:p w14:paraId="667B3605" w14:textId="20A7BD88" w:rsidR="00EF4693" w:rsidRPr="00043B8D" w:rsidRDefault="007514A4" w:rsidP="007514A4">
      <w:r w:rsidRPr="00043B8D">
        <w:t>Het startbudget in het eerste jaar van een nieuwe reguleringsperiode (</w:t>
      </w:r>
      <w:r w:rsidR="00DB5890" w:rsidRPr="00043B8D">
        <w:t xml:space="preserve">kalenderjaar </w:t>
      </w:r>
      <w:r w:rsidRPr="00043B8D">
        <w:t>2015</w:t>
      </w:r>
      <w:r w:rsidR="00DB5890" w:rsidRPr="00043B8D">
        <w:t xml:space="preserve"> voor deze reguleringsperiode</w:t>
      </w:r>
      <w:r w:rsidRPr="00043B8D">
        <w:t xml:space="preserve">) zal bepaald worden op basis van de recente historische evolutie van de niet-exogene </w:t>
      </w:r>
      <w:r w:rsidR="00FF5764" w:rsidRPr="00043B8D">
        <w:t>sector</w:t>
      </w:r>
      <w:r w:rsidRPr="00043B8D">
        <w:t xml:space="preserve">kosten en het aandeel van de individuele distributienetbeheerder daarin. </w:t>
      </w:r>
      <w:r w:rsidR="00EF4693" w:rsidRPr="00043B8D">
        <w:t>Dit berekenings</w:t>
      </w:r>
      <w:r w:rsidRPr="00043B8D">
        <w:t>proces wordt verder toegelicht (</w:t>
      </w:r>
      <w:r w:rsidR="00DB5890" w:rsidRPr="00043B8D">
        <w:t>par</w:t>
      </w:r>
      <w:r w:rsidR="00656322" w:rsidRPr="00043B8D">
        <w:t>.</w:t>
      </w:r>
      <w:r w:rsidR="00DB5890" w:rsidRPr="00043B8D">
        <w:t xml:space="preserve"> </w:t>
      </w:r>
      <w:r w:rsidRPr="00043B8D">
        <w:fldChar w:fldCharType="begin"/>
      </w:r>
      <w:r w:rsidRPr="00043B8D">
        <w:instrText xml:space="preserve"> REF _Ref389818716 \r \h </w:instrText>
      </w:r>
      <w:r w:rsidR="00043B8D">
        <w:instrText xml:space="preserve"> \* MERGEFORMAT </w:instrText>
      </w:r>
      <w:r w:rsidRPr="00043B8D">
        <w:fldChar w:fldCharType="separate"/>
      </w:r>
      <w:r w:rsidR="00B30F9B">
        <w:t>5.6.2</w:t>
      </w:r>
      <w:r w:rsidRPr="00043B8D">
        <w:fldChar w:fldCharType="end"/>
      </w:r>
      <w:r w:rsidRPr="00043B8D">
        <w:t>).</w:t>
      </w:r>
      <w:r w:rsidR="00EF4693" w:rsidRPr="00043B8D">
        <w:t xml:space="preserve"> </w:t>
      </w:r>
    </w:p>
    <w:p w14:paraId="2D8D0101" w14:textId="77777777" w:rsidR="00EF4693" w:rsidRPr="00043B8D" w:rsidRDefault="00EF4693" w:rsidP="007514A4"/>
    <w:p w14:paraId="0AC66436" w14:textId="1FD445F8" w:rsidR="007514A4" w:rsidRPr="00043B8D" w:rsidRDefault="00EF4693" w:rsidP="007514A4">
      <w:r w:rsidRPr="00043B8D">
        <w:t xml:space="preserve">Er zijn </w:t>
      </w:r>
      <w:r w:rsidR="007514A4" w:rsidRPr="00043B8D">
        <w:t>drie groepen van niet-exogene kosten:</w:t>
      </w:r>
    </w:p>
    <w:p w14:paraId="77FF1FD7" w14:textId="77777777" w:rsidR="007514A4" w:rsidRPr="00043B8D" w:rsidRDefault="007514A4" w:rsidP="00B376D5">
      <w:pPr>
        <w:pStyle w:val="Lijstalinea"/>
        <w:numPr>
          <w:ilvl w:val="0"/>
          <w:numId w:val="21"/>
        </w:numPr>
      </w:pPr>
      <w:r w:rsidRPr="00043B8D">
        <w:t xml:space="preserve">de afschrijvingen </w:t>
      </w:r>
    </w:p>
    <w:p w14:paraId="11756C1A" w14:textId="77777777" w:rsidR="007514A4" w:rsidRPr="00043B8D" w:rsidRDefault="00EF5BA6" w:rsidP="00B376D5">
      <w:pPr>
        <w:pStyle w:val="Lijstalinea"/>
        <w:numPr>
          <w:ilvl w:val="0"/>
          <w:numId w:val="21"/>
        </w:numPr>
      </w:pPr>
      <w:r w:rsidRPr="00043B8D">
        <w:t>de operationele nettokosten</w:t>
      </w:r>
    </w:p>
    <w:p w14:paraId="60C0D19F" w14:textId="77777777" w:rsidR="007514A4" w:rsidRPr="00043B8D" w:rsidRDefault="007514A4" w:rsidP="00B376D5">
      <w:pPr>
        <w:pStyle w:val="Lijstalinea"/>
        <w:numPr>
          <w:ilvl w:val="0"/>
          <w:numId w:val="21"/>
        </w:numPr>
      </w:pPr>
      <w:bookmarkStart w:id="320" w:name="_Ref398103867"/>
      <w:r w:rsidRPr="00043B8D">
        <w:t>de kapitaalkosten</w:t>
      </w:r>
      <w:r w:rsidR="00EF5BA6" w:rsidRPr="00043B8D">
        <w:t>vergoeding.</w:t>
      </w:r>
      <w:bookmarkEnd w:id="320"/>
    </w:p>
    <w:p w14:paraId="6036B918" w14:textId="77777777" w:rsidR="001F5362" w:rsidRPr="00043B8D" w:rsidRDefault="001F5362" w:rsidP="001F5362"/>
    <w:p w14:paraId="2E67C2FC" w14:textId="6FFB7896" w:rsidR="00BE5763" w:rsidRPr="00043B8D" w:rsidRDefault="00EF5BA6" w:rsidP="007514A4">
      <w:r w:rsidRPr="00043B8D">
        <w:t xml:space="preserve">Het zijn kosten die ex-post gerapporteerd worden door de distributienetbeheerders </w:t>
      </w:r>
      <w:r w:rsidR="00BE5763" w:rsidRPr="00043B8D">
        <w:t xml:space="preserve">aan de VREG </w:t>
      </w:r>
      <w:r w:rsidRPr="00043B8D">
        <w:t xml:space="preserve">over </w:t>
      </w:r>
      <w:r w:rsidR="00BE5763" w:rsidRPr="00043B8D">
        <w:t xml:space="preserve">de meest </w:t>
      </w:r>
      <w:r w:rsidRPr="00043B8D">
        <w:t xml:space="preserve">recente, voorbije jaren, met </w:t>
      </w:r>
      <w:r w:rsidR="00BE5763" w:rsidRPr="00043B8D">
        <w:t xml:space="preserve">een </w:t>
      </w:r>
      <w:r w:rsidRPr="00043B8D">
        <w:t xml:space="preserve">uitzondering </w:t>
      </w:r>
      <w:r w:rsidR="00E80DDF" w:rsidRPr="00043B8D">
        <w:t xml:space="preserve">van </w:t>
      </w:r>
      <w:r w:rsidRPr="00043B8D">
        <w:t>de kapitaalkostenvergoeding</w:t>
      </w:r>
      <w:r w:rsidR="00E80DDF" w:rsidRPr="00043B8D">
        <w:t>, waarvan de hoogte door de regulator wordt vastgesteld</w:t>
      </w:r>
      <w:r w:rsidRPr="00043B8D">
        <w:t xml:space="preserve">. </w:t>
      </w:r>
    </w:p>
    <w:p w14:paraId="5DAFFB49" w14:textId="77777777" w:rsidR="00BE5763" w:rsidRPr="00043B8D" w:rsidRDefault="00BE5763" w:rsidP="007514A4"/>
    <w:p w14:paraId="43481322" w14:textId="4A179109" w:rsidR="007514A4" w:rsidRPr="00043B8D" w:rsidRDefault="007514A4" w:rsidP="007514A4">
      <w:r w:rsidRPr="00043B8D">
        <w:t xml:space="preserve">In formulevorm worden </w:t>
      </w:r>
      <w:r w:rsidR="00BE5763" w:rsidRPr="00043B8D">
        <w:t xml:space="preserve">de drie </w:t>
      </w:r>
      <w:r w:rsidR="00007DA0" w:rsidRPr="00043B8D">
        <w:t xml:space="preserve">niet-exogene </w:t>
      </w:r>
      <w:r w:rsidR="00BE5763" w:rsidRPr="00043B8D">
        <w:t xml:space="preserve">kosten samen </w:t>
      </w:r>
      <w:r w:rsidRPr="00043B8D">
        <w:t xml:space="preserve">weergegeven </w:t>
      </w:r>
      <w:r w:rsidR="00BE5763" w:rsidRPr="00043B8D">
        <w:t xml:space="preserve">volgens </w:t>
      </w:r>
      <w:r w:rsidRPr="00043B8D">
        <w:fldChar w:fldCharType="begin"/>
      </w:r>
      <w:r w:rsidRPr="00043B8D">
        <w:instrText xml:space="preserve"> REF _Ref389036124 \h  \* MERGEFORMAT </w:instrText>
      </w:r>
      <w:r w:rsidRPr="00043B8D">
        <w:fldChar w:fldCharType="separate"/>
      </w:r>
      <w:r w:rsidR="00B30F9B" w:rsidRPr="00B30F9B">
        <w:t xml:space="preserve">formule </w:t>
      </w:r>
      <w:r w:rsidR="00B30F9B" w:rsidRPr="00B30F9B">
        <w:rPr>
          <w:noProof/>
        </w:rPr>
        <w:t>4</w:t>
      </w:r>
      <w:r w:rsidRPr="00043B8D">
        <w:fldChar w:fldCharType="end"/>
      </w:r>
      <w:r w:rsidRPr="00043B8D">
        <w:t xml:space="preserve"> voor een bepaalde distributienetbeheerder </w:t>
      </w:r>
      <w:r w:rsidRPr="00043B8D">
        <w:rPr>
          <w:i/>
        </w:rPr>
        <w:t>i</w:t>
      </w:r>
      <w:r w:rsidRPr="00043B8D">
        <w:t xml:space="preserve"> voor een bepaald jaar </w:t>
      </w:r>
      <w:r w:rsidRPr="00043B8D">
        <w:rPr>
          <w:i/>
        </w:rPr>
        <w:t>j</w:t>
      </w:r>
      <w:r w:rsidR="00B458F7" w:rsidRPr="00043B8D">
        <w:rPr>
          <w:i/>
        </w:rPr>
        <w:t xml:space="preserve"> </w:t>
      </w:r>
      <w:r w:rsidR="00B458F7" w:rsidRPr="00043B8D">
        <w:t>uit het recente verleden</w:t>
      </w:r>
      <w:r w:rsidR="008B7231" w:rsidRPr="00043B8D">
        <w:t>:</w:t>
      </w:r>
    </w:p>
    <w:p w14:paraId="3F12E39B" w14:textId="77777777" w:rsidR="007514A4" w:rsidRPr="00043B8D" w:rsidRDefault="007514A4" w:rsidP="007514A4">
      <w:pPr>
        <w:tabs>
          <w:tab w:val="left" w:pos="1701"/>
        </w:tabs>
        <w:rPr>
          <w:rFonts w:cs="Tahoma"/>
        </w:rPr>
      </w:pPr>
    </w:p>
    <w:p w14:paraId="65220917" w14:textId="77777777" w:rsidR="00D37FA0" w:rsidRPr="00043B8D" w:rsidRDefault="00D37FA0" w:rsidP="007514A4">
      <w:pPr>
        <w:tabs>
          <w:tab w:val="left" w:pos="1701"/>
        </w:tabs>
        <w:rPr>
          <w:rFonts w:cs="Tahoma"/>
        </w:rPr>
      </w:pPr>
    </w:p>
    <w:p w14:paraId="65C39264" w14:textId="77777777" w:rsidR="00D37FA0" w:rsidRPr="00043B8D" w:rsidRDefault="00D37FA0" w:rsidP="007514A4">
      <w:pPr>
        <w:tabs>
          <w:tab w:val="left" w:pos="1701"/>
        </w:tabs>
        <w:rPr>
          <w:rFonts w:cs="Tahoma"/>
        </w:rPr>
      </w:pPr>
    </w:p>
    <w:p w14:paraId="1AD3FAC5" w14:textId="77777777" w:rsidR="00D37FA0" w:rsidRPr="00043B8D" w:rsidRDefault="00D37FA0" w:rsidP="007514A4">
      <w:pPr>
        <w:tabs>
          <w:tab w:val="left" w:pos="1701"/>
        </w:tabs>
        <w:rPr>
          <w:rFonts w:cs="Tahoma"/>
        </w:rPr>
      </w:pPr>
    </w:p>
    <w:p w14:paraId="51481562" w14:textId="77777777" w:rsidR="00D37FA0" w:rsidRPr="00043B8D" w:rsidRDefault="00D37FA0" w:rsidP="007514A4">
      <w:pPr>
        <w:tabs>
          <w:tab w:val="left" w:pos="1701"/>
        </w:tabs>
        <w:rPr>
          <w:rFonts w:cs="Tahoma"/>
        </w:rPr>
      </w:pPr>
    </w:p>
    <w:bookmarkStart w:id="321" w:name="_Ref364950859"/>
    <w:p w14:paraId="52B28C7F" w14:textId="77777777" w:rsidR="007514A4" w:rsidRPr="00043B8D" w:rsidRDefault="000937A6" w:rsidP="007514A4">
      <w:pPr>
        <w:pStyle w:val="StijlStijlBijschriftCambriaMathNietVetCursiefVet"/>
        <w:pBdr>
          <w:top w:val="dotted" w:sz="4" w:space="1" w:color="auto"/>
          <w:left w:val="dotted" w:sz="4" w:space="4" w:color="auto"/>
          <w:bottom w:val="dotted" w:sz="4" w:space="1" w:color="auto"/>
          <w:right w:val="dotted" w:sz="4" w:space="4" w:color="auto"/>
        </w:pBdr>
        <w:jc w:val="center"/>
        <w:rPr>
          <w:i/>
        </w:rPr>
      </w:pPr>
      <m:oMath>
        <m:sSub>
          <m:sSubPr>
            <m:ctrlPr>
              <w:rPr>
                <w:b w:val="0"/>
                <w:i/>
              </w:rPr>
            </m:ctrlPr>
          </m:sSubPr>
          <m:e>
            <m:r>
              <m:rPr>
                <m:sty m:val="bi"/>
              </m:rPr>
              <m:t>TK</m:t>
            </m:r>
          </m:e>
          <m:sub>
            <m:r>
              <m:rPr>
                <m:sty m:val="bi"/>
              </m:rPr>
              <m:t>j,i</m:t>
            </m:r>
          </m:sub>
        </m:sSub>
        <m:r>
          <m:rPr>
            <m:sty m:val="bi"/>
          </m:rPr>
          <m:t>=</m:t>
        </m:r>
        <m:sSub>
          <m:sSubPr>
            <m:ctrlPr>
              <w:rPr>
                <w:b w:val="0"/>
                <w:i/>
              </w:rPr>
            </m:ctrlPr>
          </m:sSubPr>
          <m:e>
            <m:r>
              <m:rPr>
                <m:sty m:val="bi"/>
              </m:rPr>
              <m:t>AF</m:t>
            </m:r>
          </m:e>
          <m:sub>
            <m:r>
              <m:rPr>
                <m:sty m:val="bi"/>
              </m:rPr>
              <m:t>j,i</m:t>
            </m:r>
          </m:sub>
        </m:sSub>
        <m:r>
          <m:rPr>
            <m:sty m:val="bi"/>
          </m:rPr>
          <m:t xml:space="preserve">+ </m:t>
        </m:r>
        <m:sSub>
          <m:sSubPr>
            <m:ctrlPr>
              <w:rPr>
                <w:b w:val="0"/>
                <w:i/>
              </w:rPr>
            </m:ctrlPr>
          </m:sSubPr>
          <m:e>
            <m:r>
              <m:rPr>
                <m:sty m:val="bi"/>
              </m:rPr>
              <m:t>OK</m:t>
            </m:r>
          </m:e>
          <m:sub>
            <m:r>
              <m:rPr>
                <m:sty m:val="bi"/>
              </m:rPr>
              <m:t>j,i</m:t>
            </m:r>
          </m:sub>
        </m:sSub>
        <m:r>
          <m:rPr>
            <m:sty m:val="bi"/>
          </m:rPr>
          <m:t xml:space="preserve">- </m:t>
        </m:r>
        <m:sSub>
          <m:sSubPr>
            <m:ctrlPr>
              <w:rPr>
                <w:b w:val="0"/>
                <w:i/>
              </w:rPr>
            </m:ctrlPr>
          </m:sSubPr>
          <m:e>
            <m:r>
              <m:rPr>
                <m:sty m:val="bi"/>
              </m:rPr>
              <m:t>OO</m:t>
            </m:r>
          </m:e>
          <m:sub>
            <m:r>
              <m:rPr>
                <m:sty m:val="bi"/>
              </m:rPr>
              <m:t>j,i</m:t>
            </m:r>
          </m:sub>
        </m:sSub>
        <m:r>
          <m:rPr>
            <m:sty m:val="bi"/>
          </m:rPr>
          <m:t>+</m:t>
        </m:r>
        <m:sSub>
          <m:sSubPr>
            <m:ctrlPr>
              <w:rPr>
                <w:b w:val="0"/>
                <w:i/>
              </w:rPr>
            </m:ctrlPr>
          </m:sSubPr>
          <m:e>
            <m:r>
              <m:rPr>
                <m:sty m:val="bi"/>
              </m:rPr>
              <m:t>KK</m:t>
            </m:r>
          </m:e>
          <m:sub>
            <m:r>
              <m:rPr>
                <m:sty m:val="bi"/>
              </m:rPr>
              <m:t>j,i</m:t>
            </m:r>
          </m:sub>
        </m:sSub>
      </m:oMath>
      <w:r w:rsidR="007514A4" w:rsidRPr="00043B8D">
        <w:rPr>
          <w:b w:val="0"/>
          <w:i/>
        </w:rPr>
        <w:tab/>
      </w:r>
      <w:bookmarkEnd w:id="321"/>
      <w:r w:rsidR="007514A4" w:rsidRPr="00043B8D">
        <w:rPr>
          <w:b w:val="0"/>
          <w:i/>
        </w:rPr>
        <w:t xml:space="preserve"> </w:t>
      </w:r>
    </w:p>
    <w:p w14:paraId="26C4C027" w14:textId="77777777" w:rsidR="007514A4" w:rsidRPr="000D284A" w:rsidRDefault="007514A4" w:rsidP="000D284A">
      <w:pPr>
        <w:pStyle w:val="Bijschrift"/>
        <w:jc w:val="right"/>
        <w:rPr>
          <w:b w:val="0"/>
          <w:i/>
        </w:rPr>
      </w:pPr>
      <w:r w:rsidRPr="000D284A">
        <w:rPr>
          <w:b w:val="0"/>
          <w:i/>
        </w:rPr>
        <w:tab/>
      </w:r>
      <w:bookmarkStart w:id="322" w:name="_Ref389036124"/>
      <w:r w:rsidRPr="000D284A">
        <w:rPr>
          <w:b w:val="0"/>
          <w:i/>
        </w:rPr>
        <w:t xml:space="preserve">formule </w:t>
      </w:r>
      <w:r w:rsidRPr="000D284A">
        <w:rPr>
          <w:b w:val="0"/>
          <w:i/>
        </w:rPr>
        <w:fldChar w:fldCharType="begin"/>
      </w:r>
      <w:r w:rsidRPr="000D284A">
        <w:rPr>
          <w:b w:val="0"/>
          <w:i/>
        </w:rPr>
        <w:instrText xml:space="preserve"> SEQ formule \* ARABIC </w:instrText>
      </w:r>
      <w:r w:rsidRPr="000D284A">
        <w:rPr>
          <w:b w:val="0"/>
          <w:i/>
        </w:rPr>
        <w:fldChar w:fldCharType="separate"/>
      </w:r>
      <w:r w:rsidR="00BD536B">
        <w:rPr>
          <w:b w:val="0"/>
          <w:i/>
          <w:noProof/>
        </w:rPr>
        <w:t>4</w:t>
      </w:r>
      <w:r w:rsidRPr="000D284A">
        <w:rPr>
          <w:b w:val="0"/>
          <w:i/>
        </w:rPr>
        <w:fldChar w:fldCharType="end"/>
      </w:r>
      <w:bookmarkEnd w:id="322"/>
    </w:p>
    <w:p w14:paraId="650C4DBD" w14:textId="77777777" w:rsidR="007514A4" w:rsidRPr="00043B8D" w:rsidRDefault="007514A4" w:rsidP="007514A4"/>
    <w:p w14:paraId="240F46FF" w14:textId="77777777" w:rsidR="007514A4" w:rsidRPr="00043B8D" w:rsidRDefault="007514A4" w:rsidP="007514A4">
      <w:r w:rsidRPr="00043B8D">
        <w:t>Met hierin:</w:t>
      </w:r>
    </w:p>
    <w:p w14:paraId="7923575C" w14:textId="588EF970" w:rsidR="007514A4" w:rsidRPr="00043B8D" w:rsidRDefault="007514A4" w:rsidP="007514A4">
      <w:pPr>
        <w:tabs>
          <w:tab w:val="left" w:pos="4820"/>
        </w:tabs>
        <w:ind w:left="2409" w:hanging="993"/>
        <w:rPr>
          <w:rFonts w:cs="Tahoma"/>
          <w:i/>
          <w:lang w:val="nl-BE"/>
        </w:rPr>
      </w:pPr>
      <w:r w:rsidRPr="00043B8D">
        <w:rPr>
          <w:rFonts w:cs="Tahoma"/>
          <w:i/>
        </w:rPr>
        <w:t>TK</w:t>
      </w:r>
      <w:r w:rsidRPr="00043B8D">
        <w:rPr>
          <w:rFonts w:cs="Tahoma"/>
          <w:i/>
          <w:vertAlign w:val="subscript"/>
          <w:lang w:val="nl-BE"/>
        </w:rPr>
        <w:t>j,i</w:t>
      </w:r>
      <w:r w:rsidRPr="00043B8D">
        <w:rPr>
          <w:rFonts w:cs="Tahoma"/>
          <w:i/>
          <w:lang w:val="nl-BE"/>
        </w:rPr>
        <w:tab/>
        <w:t xml:space="preserve">De niet-exogene kosten van distributienetbeheerder i voor het </w:t>
      </w:r>
      <w:r w:rsidRPr="00043B8D">
        <w:rPr>
          <w:rFonts w:cs="Tahoma"/>
          <w:i/>
          <w:u w:val="single"/>
          <w:lang w:val="nl-BE"/>
        </w:rPr>
        <w:t>afgelopen</w:t>
      </w:r>
      <w:r w:rsidRPr="00043B8D">
        <w:rPr>
          <w:rFonts w:cs="Tahoma"/>
          <w:i/>
          <w:lang w:val="nl-BE"/>
        </w:rPr>
        <w:t xml:space="preserve"> jaar j die zullen meegenomen worden </w:t>
      </w:r>
      <w:r w:rsidR="00BE5763" w:rsidRPr="00043B8D">
        <w:rPr>
          <w:rFonts w:cs="Tahoma"/>
          <w:i/>
          <w:lang w:val="nl-BE"/>
        </w:rPr>
        <w:t xml:space="preserve">in de berekening </w:t>
      </w:r>
      <w:r w:rsidR="00EF5BA6" w:rsidRPr="00043B8D">
        <w:rPr>
          <w:rFonts w:cs="Tahoma"/>
          <w:i/>
          <w:lang w:val="nl-BE"/>
        </w:rPr>
        <w:t xml:space="preserve">door de VREG </w:t>
      </w:r>
      <w:r w:rsidR="00BE5763" w:rsidRPr="00043B8D">
        <w:rPr>
          <w:rFonts w:cs="Tahoma"/>
          <w:i/>
          <w:lang w:val="nl-BE"/>
        </w:rPr>
        <w:t xml:space="preserve">ter bepaling </w:t>
      </w:r>
      <w:r w:rsidRPr="00043B8D">
        <w:rPr>
          <w:rFonts w:cs="Tahoma"/>
          <w:i/>
          <w:lang w:val="nl-BE"/>
        </w:rPr>
        <w:t xml:space="preserve">van het toegelaten inkomen </w:t>
      </w:r>
      <w:r w:rsidR="00BE5763" w:rsidRPr="00043B8D">
        <w:rPr>
          <w:rFonts w:cs="Tahoma"/>
          <w:i/>
          <w:lang w:val="nl-BE"/>
        </w:rPr>
        <w:t xml:space="preserve">per distributienetbeheerder </w:t>
      </w:r>
      <w:r w:rsidR="00EF5BA6" w:rsidRPr="00043B8D">
        <w:rPr>
          <w:rFonts w:cs="Tahoma"/>
          <w:i/>
          <w:lang w:val="nl-BE"/>
        </w:rPr>
        <w:t xml:space="preserve">uit </w:t>
      </w:r>
      <w:r w:rsidR="00BE5763" w:rsidRPr="00043B8D">
        <w:rPr>
          <w:rFonts w:cs="Tahoma"/>
          <w:i/>
          <w:lang w:val="nl-BE"/>
        </w:rPr>
        <w:t xml:space="preserve">zijn </w:t>
      </w:r>
      <w:r w:rsidR="00EF5BA6" w:rsidRPr="00043B8D">
        <w:rPr>
          <w:rFonts w:cs="Tahoma"/>
          <w:i/>
          <w:lang w:val="nl-BE"/>
        </w:rPr>
        <w:t xml:space="preserve">periodieke distributienettarieven </w:t>
      </w:r>
      <w:r w:rsidRPr="00043B8D">
        <w:rPr>
          <w:rFonts w:cs="Tahoma"/>
          <w:i/>
          <w:lang w:val="nl-BE"/>
        </w:rPr>
        <w:t xml:space="preserve">voor niet-exogene kosten in het eerste jaar van de </w:t>
      </w:r>
      <w:r w:rsidRPr="00043B8D">
        <w:rPr>
          <w:rFonts w:cs="Tahoma"/>
          <w:i/>
          <w:u w:val="single"/>
          <w:lang w:val="nl-BE"/>
        </w:rPr>
        <w:t>volgende</w:t>
      </w:r>
      <w:r w:rsidRPr="00043B8D">
        <w:rPr>
          <w:rFonts w:cs="Tahoma"/>
          <w:i/>
          <w:lang w:val="nl-BE"/>
        </w:rPr>
        <w:t xml:space="preserve"> reguleringsperiode</w:t>
      </w:r>
      <w:r w:rsidR="00A454AE" w:rsidRPr="00043B8D">
        <w:rPr>
          <w:rFonts w:cs="Tahoma"/>
          <w:i/>
          <w:lang w:val="nl-BE"/>
        </w:rPr>
        <w:t xml:space="preserve"> (2015)</w:t>
      </w:r>
      <w:r w:rsidRPr="00043B8D">
        <w:rPr>
          <w:rFonts w:cs="Tahoma"/>
          <w:i/>
          <w:lang w:val="nl-BE"/>
        </w:rPr>
        <w:t>.</w:t>
      </w:r>
      <w:r w:rsidR="004E026F" w:rsidRPr="00043B8D">
        <w:rPr>
          <w:rFonts w:cs="Tahoma"/>
          <w:i/>
          <w:lang w:val="nl-BE"/>
        </w:rPr>
        <w:t xml:space="preserve"> (EUR)</w:t>
      </w:r>
    </w:p>
    <w:p w14:paraId="5BDB6380" w14:textId="77777777" w:rsidR="007514A4" w:rsidRPr="00043B8D" w:rsidRDefault="007514A4" w:rsidP="007514A4">
      <w:pPr>
        <w:tabs>
          <w:tab w:val="left" w:pos="4820"/>
        </w:tabs>
        <w:ind w:left="2409" w:hanging="993"/>
        <w:rPr>
          <w:rFonts w:cs="Tahoma"/>
          <w:i/>
          <w:lang w:val="nl-BE"/>
        </w:rPr>
      </w:pPr>
    </w:p>
    <w:p w14:paraId="0A8501BE" w14:textId="5E1ED93B" w:rsidR="007514A4" w:rsidRPr="00043B8D" w:rsidRDefault="007514A4" w:rsidP="007514A4">
      <w:pPr>
        <w:tabs>
          <w:tab w:val="left" w:pos="4820"/>
        </w:tabs>
        <w:ind w:left="2409" w:hanging="993"/>
        <w:rPr>
          <w:rFonts w:cs="Tahoma"/>
          <w:i/>
          <w:lang w:val="nl-BE"/>
        </w:rPr>
      </w:pPr>
      <w:r w:rsidRPr="00043B8D">
        <w:rPr>
          <w:rFonts w:cs="Tahoma"/>
          <w:i/>
        </w:rPr>
        <w:t>AF</w:t>
      </w:r>
      <w:r w:rsidRPr="00043B8D">
        <w:rPr>
          <w:rFonts w:cs="Tahoma"/>
          <w:i/>
          <w:vertAlign w:val="subscript"/>
          <w:lang w:val="nl-BE"/>
        </w:rPr>
        <w:t>j,i</w:t>
      </w:r>
      <w:r w:rsidRPr="00043B8D">
        <w:rPr>
          <w:rFonts w:cs="Tahoma"/>
          <w:i/>
          <w:lang w:val="nl-BE"/>
        </w:rPr>
        <w:tab/>
        <w:t>De afschrijvingen van distributienetbeheerder i op zijn gereguleerde activa in het jaar j (</w:t>
      </w:r>
      <w:r w:rsidR="00DB5890" w:rsidRPr="00043B8D">
        <w:rPr>
          <w:rFonts w:cs="Tahoma"/>
          <w:i/>
          <w:lang w:val="nl-BE"/>
        </w:rPr>
        <w:t>par</w:t>
      </w:r>
      <w:r w:rsidR="00656322" w:rsidRPr="00043B8D">
        <w:rPr>
          <w:rFonts w:cs="Tahoma"/>
          <w:i/>
          <w:lang w:val="nl-BE"/>
        </w:rPr>
        <w:t>.</w:t>
      </w:r>
      <w:r w:rsidR="00DB5890" w:rsidRPr="00043B8D">
        <w:rPr>
          <w:rFonts w:cs="Tahoma"/>
          <w:i/>
          <w:lang w:val="nl-BE"/>
        </w:rPr>
        <w:t xml:space="preserve"> </w:t>
      </w:r>
      <w:r w:rsidRPr="00043B8D">
        <w:rPr>
          <w:rFonts w:cs="Tahoma"/>
          <w:i/>
          <w:lang w:val="nl-BE"/>
        </w:rPr>
        <w:fldChar w:fldCharType="begin"/>
      </w:r>
      <w:r w:rsidRPr="00043B8D">
        <w:rPr>
          <w:rFonts w:cs="Tahoma"/>
          <w:i/>
          <w:lang w:val="nl-BE"/>
        </w:rPr>
        <w:instrText xml:space="preserve"> REF _Ref363650267 \r \h </w:instrText>
      </w:r>
      <w:r w:rsidR="00043B8D">
        <w:rPr>
          <w:rFonts w:cs="Tahoma"/>
          <w:i/>
          <w:lang w:val="nl-BE"/>
        </w:rPr>
        <w:instrText xml:space="preserve"> \* MERGEFORMAT </w:instrText>
      </w:r>
      <w:r w:rsidRPr="00043B8D">
        <w:rPr>
          <w:rFonts w:cs="Tahoma"/>
          <w:i/>
          <w:lang w:val="nl-BE"/>
        </w:rPr>
      </w:r>
      <w:r w:rsidRPr="00043B8D">
        <w:rPr>
          <w:rFonts w:cs="Tahoma"/>
          <w:i/>
          <w:lang w:val="nl-BE"/>
        </w:rPr>
        <w:fldChar w:fldCharType="separate"/>
      </w:r>
      <w:r w:rsidR="00B30F9B">
        <w:rPr>
          <w:rFonts w:cs="Tahoma"/>
          <w:i/>
          <w:lang w:val="nl-BE"/>
        </w:rPr>
        <w:t>5.3.1</w:t>
      </w:r>
      <w:r w:rsidRPr="00043B8D">
        <w:rPr>
          <w:rFonts w:cs="Tahoma"/>
          <w:i/>
          <w:lang w:val="nl-BE"/>
        </w:rPr>
        <w:fldChar w:fldCharType="end"/>
      </w:r>
      <w:r w:rsidRPr="00043B8D">
        <w:rPr>
          <w:rFonts w:cs="Tahoma"/>
          <w:i/>
          <w:lang w:val="nl-BE"/>
        </w:rPr>
        <w:t>).</w:t>
      </w:r>
      <w:r w:rsidR="004E026F" w:rsidRPr="00043B8D">
        <w:rPr>
          <w:rFonts w:cs="Tahoma"/>
          <w:i/>
          <w:lang w:val="nl-BE"/>
        </w:rPr>
        <w:t xml:space="preserve"> (EUR)</w:t>
      </w:r>
    </w:p>
    <w:p w14:paraId="2BA07A24" w14:textId="77777777" w:rsidR="007514A4" w:rsidRPr="00043B8D" w:rsidRDefault="007514A4" w:rsidP="007514A4">
      <w:pPr>
        <w:tabs>
          <w:tab w:val="left" w:pos="4820"/>
        </w:tabs>
        <w:ind w:left="2409" w:hanging="993"/>
        <w:rPr>
          <w:rFonts w:cs="Tahoma"/>
          <w:i/>
          <w:lang w:val="nl-BE"/>
        </w:rPr>
      </w:pPr>
    </w:p>
    <w:p w14:paraId="467A7FAF" w14:textId="60808991" w:rsidR="007514A4" w:rsidRPr="00043B8D" w:rsidRDefault="007514A4" w:rsidP="007514A4">
      <w:pPr>
        <w:tabs>
          <w:tab w:val="left" w:pos="4820"/>
        </w:tabs>
        <w:ind w:left="2409" w:hanging="993"/>
        <w:rPr>
          <w:rFonts w:cs="Tahoma"/>
          <w:i/>
          <w:lang w:val="nl-BE"/>
        </w:rPr>
      </w:pPr>
      <w:r w:rsidRPr="00043B8D">
        <w:rPr>
          <w:rFonts w:cs="Tahoma"/>
          <w:i/>
          <w:lang w:val="nl-BE"/>
        </w:rPr>
        <w:t>OK</w:t>
      </w:r>
      <w:r w:rsidRPr="00043B8D">
        <w:rPr>
          <w:rFonts w:cs="Tahoma"/>
          <w:i/>
          <w:vertAlign w:val="subscript"/>
          <w:lang w:val="nl-BE"/>
        </w:rPr>
        <w:t>j,i</w:t>
      </w:r>
      <w:r w:rsidRPr="00043B8D">
        <w:rPr>
          <w:rFonts w:cs="Tahoma"/>
          <w:i/>
          <w:lang w:val="nl-BE"/>
        </w:rPr>
        <w:tab/>
        <w:t>De operationele kosten van distributienetbeheerder i voor zijn gereguleerde activiteiten in het jaar j (</w:t>
      </w:r>
      <w:r w:rsidR="00DB5890" w:rsidRPr="00043B8D">
        <w:rPr>
          <w:rFonts w:cs="Tahoma"/>
          <w:i/>
          <w:lang w:val="nl-BE"/>
        </w:rPr>
        <w:t>par</w:t>
      </w:r>
      <w:r w:rsidR="00656322" w:rsidRPr="00043B8D">
        <w:rPr>
          <w:rFonts w:cs="Tahoma"/>
          <w:i/>
          <w:lang w:val="nl-BE"/>
        </w:rPr>
        <w:t>.</w:t>
      </w:r>
      <w:r w:rsidR="00DB5890" w:rsidRPr="00043B8D">
        <w:rPr>
          <w:rFonts w:cs="Tahoma"/>
          <w:i/>
          <w:lang w:val="nl-BE"/>
        </w:rPr>
        <w:t xml:space="preserve"> </w:t>
      </w:r>
      <w:r w:rsidRPr="00043B8D">
        <w:rPr>
          <w:rFonts w:cs="Tahoma"/>
          <w:i/>
          <w:lang w:val="nl-BE"/>
        </w:rPr>
        <w:fldChar w:fldCharType="begin"/>
      </w:r>
      <w:r w:rsidRPr="00043B8D">
        <w:rPr>
          <w:rFonts w:cs="Tahoma"/>
          <w:i/>
          <w:lang w:val="nl-BE"/>
        </w:rPr>
        <w:instrText xml:space="preserve"> REF _Ref363648921 \r \h </w:instrText>
      </w:r>
      <w:r w:rsidR="00043B8D">
        <w:rPr>
          <w:rFonts w:cs="Tahoma"/>
          <w:i/>
          <w:lang w:val="nl-BE"/>
        </w:rPr>
        <w:instrText xml:space="preserve"> \* MERGEFORMAT </w:instrText>
      </w:r>
      <w:r w:rsidRPr="00043B8D">
        <w:rPr>
          <w:rFonts w:cs="Tahoma"/>
          <w:i/>
          <w:lang w:val="nl-BE"/>
        </w:rPr>
      </w:r>
      <w:r w:rsidRPr="00043B8D">
        <w:rPr>
          <w:rFonts w:cs="Tahoma"/>
          <w:i/>
          <w:lang w:val="nl-BE"/>
        </w:rPr>
        <w:fldChar w:fldCharType="separate"/>
      </w:r>
      <w:r w:rsidR="00B30F9B">
        <w:rPr>
          <w:rFonts w:cs="Tahoma"/>
          <w:i/>
          <w:lang w:val="nl-BE"/>
        </w:rPr>
        <w:t>5.3.2</w:t>
      </w:r>
      <w:r w:rsidRPr="00043B8D">
        <w:rPr>
          <w:rFonts w:cs="Tahoma"/>
          <w:i/>
          <w:lang w:val="nl-BE"/>
        </w:rPr>
        <w:fldChar w:fldCharType="end"/>
      </w:r>
      <w:r w:rsidRPr="00043B8D">
        <w:rPr>
          <w:rFonts w:cs="Tahoma"/>
          <w:i/>
          <w:lang w:val="nl-BE"/>
        </w:rPr>
        <w:t>).</w:t>
      </w:r>
      <w:r w:rsidR="004E026F" w:rsidRPr="00043B8D">
        <w:rPr>
          <w:rFonts w:cs="Tahoma"/>
          <w:i/>
          <w:lang w:val="nl-BE"/>
        </w:rPr>
        <w:t xml:space="preserve"> (EUR)</w:t>
      </w:r>
    </w:p>
    <w:p w14:paraId="648136C9" w14:textId="77777777" w:rsidR="007514A4" w:rsidRPr="00043B8D" w:rsidRDefault="007514A4" w:rsidP="007514A4">
      <w:pPr>
        <w:tabs>
          <w:tab w:val="left" w:pos="4820"/>
        </w:tabs>
        <w:ind w:left="2409" w:hanging="993"/>
        <w:rPr>
          <w:lang w:val="nl-BE"/>
        </w:rPr>
      </w:pPr>
    </w:p>
    <w:p w14:paraId="4C1FB188" w14:textId="3E2A7769" w:rsidR="007514A4" w:rsidRPr="00043B8D" w:rsidRDefault="007514A4" w:rsidP="007514A4">
      <w:pPr>
        <w:tabs>
          <w:tab w:val="left" w:pos="4820"/>
        </w:tabs>
        <w:ind w:left="2409" w:hanging="993"/>
        <w:rPr>
          <w:rFonts w:cs="Tahoma"/>
          <w:i/>
          <w:lang w:val="nl-BE"/>
        </w:rPr>
      </w:pPr>
      <w:r w:rsidRPr="00043B8D">
        <w:rPr>
          <w:rFonts w:cs="Tahoma"/>
          <w:i/>
          <w:lang w:val="nl-BE"/>
        </w:rPr>
        <w:t>OO</w:t>
      </w:r>
      <w:r w:rsidRPr="00043B8D">
        <w:rPr>
          <w:rFonts w:cs="Tahoma"/>
          <w:i/>
          <w:vertAlign w:val="subscript"/>
          <w:lang w:val="nl-BE"/>
        </w:rPr>
        <w:t>j,i</w:t>
      </w:r>
      <w:r w:rsidRPr="00043B8D">
        <w:rPr>
          <w:rFonts w:cs="Tahoma"/>
          <w:i/>
          <w:lang w:val="nl-BE"/>
        </w:rPr>
        <w:tab/>
        <w:t>De operationele opbrengsten van distributienetbeheerder i in het jaar j, niet verkregen uit de inning van de periodieke distributienettarieven (</w:t>
      </w:r>
      <w:r w:rsidR="00DB5890" w:rsidRPr="00043B8D">
        <w:rPr>
          <w:rFonts w:cs="Tahoma"/>
          <w:i/>
          <w:lang w:val="nl-BE"/>
        </w:rPr>
        <w:t>par</w:t>
      </w:r>
      <w:r w:rsidR="00656322" w:rsidRPr="00043B8D">
        <w:rPr>
          <w:rFonts w:cs="Tahoma"/>
          <w:i/>
          <w:lang w:val="nl-BE"/>
        </w:rPr>
        <w:t>.</w:t>
      </w:r>
      <w:r w:rsidR="00DB5890" w:rsidRPr="00043B8D">
        <w:rPr>
          <w:rFonts w:cs="Tahoma"/>
          <w:i/>
          <w:lang w:val="nl-BE"/>
        </w:rPr>
        <w:t xml:space="preserve"> </w:t>
      </w:r>
      <w:r w:rsidRPr="00043B8D">
        <w:rPr>
          <w:rFonts w:cs="Tahoma"/>
          <w:i/>
          <w:lang w:val="nl-BE"/>
        </w:rPr>
        <w:fldChar w:fldCharType="begin"/>
      </w:r>
      <w:r w:rsidRPr="00043B8D">
        <w:rPr>
          <w:rFonts w:cs="Tahoma"/>
          <w:i/>
          <w:lang w:val="nl-BE"/>
        </w:rPr>
        <w:instrText xml:space="preserve"> REF _Ref363648921 \r \h </w:instrText>
      </w:r>
      <w:r w:rsidR="00043B8D">
        <w:rPr>
          <w:rFonts w:cs="Tahoma"/>
          <w:i/>
          <w:lang w:val="nl-BE"/>
        </w:rPr>
        <w:instrText xml:space="preserve"> \* MERGEFORMAT </w:instrText>
      </w:r>
      <w:r w:rsidRPr="00043B8D">
        <w:rPr>
          <w:rFonts w:cs="Tahoma"/>
          <w:i/>
          <w:lang w:val="nl-BE"/>
        </w:rPr>
      </w:r>
      <w:r w:rsidRPr="00043B8D">
        <w:rPr>
          <w:rFonts w:cs="Tahoma"/>
          <w:i/>
          <w:lang w:val="nl-BE"/>
        </w:rPr>
        <w:fldChar w:fldCharType="separate"/>
      </w:r>
      <w:r w:rsidR="00B30F9B">
        <w:rPr>
          <w:rFonts w:cs="Tahoma"/>
          <w:i/>
          <w:lang w:val="nl-BE"/>
        </w:rPr>
        <w:t>5.3.2</w:t>
      </w:r>
      <w:r w:rsidRPr="00043B8D">
        <w:rPr>
          <w:rFonts w:cs="Tahoma"/>
          <w:i/>
          <w:lang w:val="nl-BE"/>
        </w:rPr>
        <w:fldChar w:fldCharType="end"/>
      </w:r>
      <w:r w:rsidRPr="00043B8D">
        <w:rPr>
          <w:rFonts w:cs="Tahoma"/>
          <w:i/>
          <w:lang w:val="nl-BE"/>
        </w:rPr>
        <w:t>).</w:t>
      </w:r>
      <w:r w:rsidR="004E026F" w:rsidRPr="00043B8D">
        <w:rPr>
          <w:rFonts w:cs="Tahoma"/>
          <w:i/>
          <w:lang w:val="nl-BE"/>
        </w:rPr>
        <w:t xml:space="preserve"> (EUR)</w:t>
      </w:r>
    </w:p>
    <w:p w14:paraId="76EA998D" w14:textId="77777777" w:rsidR="007514A4" w:rsidRPr="00043B8D" w:rsidRDefault="007514A4" w:rsidP="007514A4">
      <w:pPr>
        <w:tabs>
          <w:tab w:val="left" w:pos="4820"/>
        </w:tabs>
        <w:ind w:left="2409" w:hanging="993"/>
        <w:rPr>
          <w:rFonts w:cs="Tahoma"/>
          <w:i/>
          <w:lang w:val="nl-BE"/>
        </w:rPr>
      </w:pPr>
    </w:p>
    <w:p w14:paraId="2111ACB0" w14:textId="7E33DB05" w:rsidR="007514A4" w:rsidRPr="00043B8D" w:rsidRDefault="007514A4" w:rsidP="007514A4">
      <w:pPr>
        <w:tabs>
          <w:tab w:val="left" w:pos="4820"/>
        </w:tabs>
        <w:ind w:left="2409" w:hanging="993"/>
        <w:rPr>
          <w:rFonts w:cs="Tahoma"/>
          <w:i/>
          <w:lang w:val="nl-BE"/>
        </w:rPr>
      </w:pPr>
      <w:r w:rsidRPr="00043B8D">
        <w:rPr>
          <w:rFonts w:cs="Tahoma"/>
          <w:i/>
          <w:lang w:val="nl-BE"/>
        </w:rPr>
        <w:t>KK</w:t>
      </w:r>
      <w:r w:rsidRPr="00043B8D">
        <w:rPr>
          <w:rFonts w:cs="Tahoma"/>
          <w:i/>
          <w:vertAlign w:val="subscript"/>
          <w:lang w:val="nl-BE"/>
        </w:rPr>
        <w:t>j,i</w:t>
      </w:r>
      <w:r w:rsidRPr="00043B8D">
        <w:rPr>
          <w:rFonts w:cs="Tahoma"/>
          <w:i/>
          <w:lang w:val="nl-BE"/>
        </w:rPr>
        <w:tab/>
        <w:t>De door de VREG vastgestelde kapitaalkost</w:t>
      </w:r>
      <w:r w:rsidR="00C86732" w:rsidRPr="00043B8D">
        <w:rPr>
          <w:rFonts w:cs="Tahoma"/>
          <w:i/>
          <w:lang w:val="nl-BE"/>
        </w:rPr>
        <w:t>en</w:t>
      </w:r>
      <w:r w:rsidR="00A454AE" w:rsidRPr="00043B8D">
        <w:rPr>
          <w:rFonts w:cs="Tahoma"/>
          <w:i/>
          <w:lang w:val="nl-BE"/>
        </w:rPr>
        <w:t>vergoeding</w:t>
      </w:r>
      <w:r w:rsidRPr="00043B8D">
        <w:rPr>
          <w:rFonts w:cs="Tahoma"/>
          <w:i/>
          <w:lang w:val="nl-BE"/>
        </w:rPr>
        <w:t xml:space="preserve"> voor distributienetbeheerder i </w:t>
      </w:r>
      <w:r w:rsidR="00A454AE" w:rsidRPr="00043B8D">
        <w:rPr>
          <w:rFonts w:cs="Tahoma"/>
          <w:i/>
          <w:lang w:val="nl-BE"/>
        </w:rPr>
        <w:t xml:space="preserve">gerelateerd aan </w:t>
      </w:r>
      <w:r w:rsidRPr="00043B8D">
        <w:rPr>
          <w:rFonts w:cs="Tahoma"/>
          <w:i/>
          <w:lang w:val="nl-BE"/>
        </w:rPr>
        <w:t>zijn gereguleerde activa in het jaar j (</w:t>
      </w:r>
      <w:r w:rsidR="00DB5890" w:rsidRPr="00043B8D">
        <w:rPr>
          <w:rFonts w:cs="Tahoma"/>
          <w:i/>
          <w:lang w:val="nl-BE"/>
        </w:rPr>
        <w:t>par</w:t>
      </w:r>
      <w:r w:rsidR="00656322" w:rsidRPr="00043B8D">
        <w:rPr>
          <w:rFonts w:cs="Tahoma"/>
          <w:i/>
          <w:lang w:val="nl-BE"/>
        </w:rPr>
        <w:t>.</w:t>
      </w:r>
      <w:r w:rsidR="00DB5890" w:rsidRPr="00043B8D">
        <w:rPr>
          <w:rFonts w:cs="Tahoma"/>
          <w:i/>
          <w:lang w:val="nl-BE"/>
        </w:rPr>
        <w:t xml:space="preserve"> </w:t>
      </w:r>
      <w:r w:rsidRPr="00043B8D">
        <w:rPr>
          <w:rFonts w:cs="Tahoma"/>
          <w:i/>
          <w:lang w:val="nl-BE"/>
        </w:rPr>
        <w:fldChar w:fldCharType="begin"/>
      </w:r>
      <w:r w:rsidRPr="00043B8D">
        <w:rPr>
          <w:rFonts w:cs="Tahoma"/>
          <w:i/>
          <w:lang w:val="nl-BE"/>
        </w:rPr>
        <w:instrText xml:space="preserve"> REF _Ref363651144 \r \h </w:instrText>
      </w:r>
      <w:r w:rsidR="00043B8D">
        <w:rPr>
          <w:rFonts w:cs="Tahoma"/>
          <w:i/>
          <w:lang w:val="nl-BE"/>
        </w:rPr>
        <w:instrText xml:space="preserve"> \* MERGEFORMAT </w:instrText>
      </w:r>
      <w:r w:rsidRPr="00043B8D">
        <w:rPr>
          <w:rFonts w:cs="Tahoma"/>
          <w:i/>
          <w:lang w:val="nl-BE"/>
        </w:rPr>
      </w:r>
      <w:r w:rsidRPr="00043B8D">
        <w:rPr>
          <w:rFonts w:cs="Tahoma"/>
          <w:i/>
          <w:lang w:val="nl-BE"/>
        </w:rPr>
        <w:fldChar w:fldCharType="separate"/>
      </w:r>
      <w:r w:rsidR="00B30F9B">
        <w:rPr>
          <w:rFonts w:cs="Tahoma"/>
          <w:i/>
          <w:lang w:val="nl-BE"/>
        </w:rPr>
        <w:t>5.3.3</w:t>
      </w:r>
      <w:r w:rsidRPr="00043B8D">
        <w:rPr>
          <w:rFonts w:cs="Tahoma"/>
          <w:i/>
          <w:lang w:val="nl-BE"/>
        </w:rPr>
        <w:fldChar w:fldCharType="end"/>
      </w:r>
      <w:r w:rsidRPr="00043B8D">
        <w:rPr>
          <w:rFonts w:cs="Tahoma"/>
          <w:i/>
          <w:lang w:val="nl-BE"/>
        </w:rPr>
        <w:t>).</w:t>
      </w:r>
      <w:r w:rsidR="004E026F" w:rsidRPr="00043B8D">
        <w:rPr>
          <w:rFonts w:cs="Tahoma"/>
          <w:i/>
          <w:lang w:val="nl-BE"/>
        </w:rPr>
        <w:t xml:space="preserve"> (EUR)</w:t>
      </w:r>
    </w:p>
    <w:p w14:paraId="3E1A9628" w14:textId="77777777" w:rsidR="007514A4" w:rsidRPr="00043B8D" w:rsidRDefault="007514A4" w:rsidP="007514A4">
      <w:pPr>
        <w:tabs>
          <w:tab w:val="left" w:pos="4820"/>
        </w:tabs>
        <w:rPr>
          <w:rFonts w:cs="Tahoma"/>
          <w:lang w:val="nl-BE"/>
        </w:rPr>
      </w:pPr>
    </w:p>
    <w:p w14:paraId="1CFF5B8B" w14:textId="386A83CE" w:rsidR="007514A4" w:rsidRPr="00043B8D" w:rsidRDefault="007514A4" w:rsidP="007514A4">
      <w:r w:rsidRPr="00043B8D">
        <w:t xml:space="preserve">De </w:t>
      </w:r>
      <w:r w:rsidR="00A85289" w:rsidRPr="00043B8D">
        <w:t xml:space="preserve">hierbij </w:t>
      </w:r>
      <w:r w:rsidRPr="00043B8D">
        <w:t xml:space="preserve">in rekening te brengen afschrijvingen en operationele nettokosten zijn </w:t>
      </w:r>
      <w:r w:rsidR="00DB5890" w:rsidRPr="00043B8D">
        <w:t xml:space="preserve">de werkelijke kosten </w:t>
      </w:r>
      <w:r w:rsidRPr="00043B8D">
        <w:t>die hun oorsprong vinden in het beschouwde historische kalenderjaar</w:t>
      </w:r>
      <w:r w:rsidR="00DB5890" w:rsidRPr="00043B8D">
        <w:t>. Onder de vorige tariefmethodologie</w:t>
      </w:r>
      <w:r w:rsidR="002C30F5" w:rsidRPr="00043B8D">
        <w:t>ën</w:t>
      </w:r>
      <w:r w:rsidR="00DB5890" w:rsidRPr="00043B8D">
        <w:t xml:space="preserve"> dienden saldi m.b.t. </w:t>
      </w:r>
      <w:r w:rsidR="00763E9C" w:rsidRPr="00043B8D">
        <w:t xml:space="preserve">bepaalde </w:t>
      </w:r>
      <w:r w:rsidR="0010437E" w:rsidRPr="00043B8D">
        <w:t xml:space="preserve">niet-exogene </w:t>
      </w:r>
      <w:r w:rsidR="00DB5890" w:rsidRPr="00043B8D">
        <w:t xml:space="preserve">kosten </w:t>
      </w:r>
      <w:r w:rsidR="003A0F0C" w:rsidRPr="00043B8D">
        <w:t xml:space="preserve">in de boekhouding </w:t>
      </w:r>
      <w:r w:rsidR="00DB5890" w:rsidRPr="00043B8D">
        <w:t>overgeboekt</w:t>
      </w:r>
      <w:r w:rsidR="003A0F0C" w:rsidRPr="00043B8D">
        <w:t xml:space="preserve"> </w:t>
      </w:r>
      <w:r w:rsidR="00A85289" w:rsidRPr="00043B8D">
        <w:t xml:space="preserve">te </w:t>
      </w:r>
      <w:r w:rsidR="00DB5890" w:rsidRPr="00043B8D">
        <w:t xml:space="preserve">worden van de resultatenrekening naar de </w:t>
      </w:r>
      <w:r w:rsidR="003A0F0C" w:rsidRPr="00043B8D">
        <w:t>balans en omgekeerd</w:t>
      </w:r>
      <w:r w:rsidR="00763E9C" w:rsidRPr="00043B8D">
        <w:t xml:space="preserve"> (de regulatoire rekeningen)</w:t>
      </w:r>
      <w:r w:rsidR="003A0F0C" w:rsidRPr="00043B8D">
        <w:t xml:space="preserve">. Hierdoor geeft de boekhouding dus geen weerspiegeling van de werkelijke kosten en </w:t>
      </w:r>
      <w:r w:rsidR="00656322" w:rsidRPr="00043B8D">
        <w:t>-</w:t>
      </w:r>
      <w:r w:rsidR="003A0F0C" w:rsidRPr="00043B8D">
        <w:t xml:space="preserve">opbrengsten die in het </w:t>
      </w:r>
      <w:r w:rsidR="00DB74AD" w:rsidRPr="00043B8D">
        <w:t>des</w:t>
      </w:r>
      <w:r w:rsidR="003A0F0C" w:rsidRPr="00043B8D">
        <w:t>betreffende boekjaar gemaakt werden. Om die reden dienen de waarden in de boekhouding te worden gecorrigeerd met de</w:t>
      </w:r>
      <w:r w:rsidR="00DB74AD" w:rsidRPr="00043B8D">
        <w:t>ze</w:t>
      </w:r>
      <w:r w:rsidR="003A0F0C" w:rsidRPr="00043B8D">
        <w:t xml:space="preserve"> respectievelijke overboekingen en terugnames tussen de resultatenrekening en de balans om op die manier de werkelijke kosten van het boekjaar in rekening te nemen.</w:t>
      </w:r>
    </w:p>
    <w:p w14:paraId="0B67A343" w14:textId="77777777" w:rsidR="007514A4" w:rsidRPr="00043B8D" w:rsidRDefault="007514A4" w:rsidP="007514A4">
      <w:pPr>
        <w:rPr>
          <w:rFonts w:cs="Tahoma"/>
          <w:lang w:val="nl-BE"/>
        </w:rPr>
      </w:pPr>
    </w:p>
    <w:p w14:paraId="21EF0AEC" w14:textId="6453BE43" w:rsidR="007514A4" w:rsidRPr="00043B8D" w:rsidRDefault="007514A4" w:rsidP="007514A4">
      <w:pPr>
        <w:tabs>
          <w:tab w:val="left" w:pos="1701"/>
        </w:tabs>
        <w:rPr>
          <w:rFonts w:cs="Tahoma"/>
          <w:lang w:val="nl-BE"/>
        </w:rPr>
      </w:pPr>
      <w:r w:rsidRPr="00043B8D">
        <w:rPr>
          <w:rFonts w:cs="Tahoma"/>
          <w:lang w:val="nl-BE"/>
        </w:rPr>
        <w:t xml:space="preserve">De </w:t>
      </w:r>
      <w:r w:rsidR="001F5362" w:rsidRPr="00043B8D">
        <w:rPr>
          <w:rFonts w:cs="Tahoma"/>
          <w:lang w:val="nl-BE"/>
        </w:rPr>
        <w:t xml:space="preserve">drie soorten van kosten </w:t>
      </w:r>
      <w:r w:rsidRPr="00043B8D">
        <w:rPr>
          <w:rFonts w:cs="Tahoma"/>
          <w:lang w:val="nl-BE"/>
        </w:rPr>
        <w:t xml:space="preserve">worden hieronder verder toegelicht. </w:t>
      </w:r>
      <w:r w:rsidRPr="00043B8D">
        <w:t>Meer specifieke informatie is opgenomen in het</w:t>
      </w:r>
      <w:r w:rsidR="0079504A" w:rsidRPr="00043B8D">
        <w:t xml:space="preserve"> bijhorende</w:t>
      </w:r>
      <w:r w:rsidRPr="00043B8D">
        <w:t xml:space="preserve"> rapporteringsmodel</w:t>
      </w:r>
      <w:r w:rsidR="003A0F0C" w:rsidRPr="00043B8D">
        <w:t xml:space="preserve"> voor de niet-exogene kosten</w:t>
      </w:r>
      <w:r w:rsidRPr="00043B8D">
        <w:t>.</w:t>
      </w:r>
    </w:p>
    <w:p w14:paraId="6A82C172" w14:textId="77777777" w:rsidR="007514A4" w:rsidRPr="00043B8D" w:rsidRDefault="007514A4" w:rsidP="007514A4">
      <w:pPr>
        <w:tabs>
          <w:tab w:val="left" w:pos="1701"/>
        </w:tabs>
        <w:rPr>
          <w:rFonts w:cs="Tahoma"/>
          <w:lang w:val="nl-BE"/>
        </w:rPr>
      </w:pPr>
    </w:p>
    <w:p w14:paraId="354417B8" w14:textId="77777777" w:rsidR="007514A4" w:rsidRPr="00043B8D" w:rsidRDefault="007514A4" w:rsidP="005251E2">
      <w:pPr>
        <w:pStyle w:val="Kop2"/>
        <w:numPr>
          <w:ilvl w:val="2"/>
          <w:numId w:val="24"/>
        </w:numPr>
        <w:ind w:left="993" w:hanging="993"/>
        <w:rPr>
          <w:i/>
          <w:sz w:val="22"/>
          <w:szCs w:val="22"/>
        </w:rPr>
      </w:pPr>
      <w:bookmarkStart w:id="323" w:name="_Ref363650267"/>
      <w:bookmarkStart w:id="324" w:name="_Toc454186665"/>
      <w:r w:rsidRPr="00043B8D">
        <w:rPr>
          <w:i/>
          <w:sz w:val="22"/>
          <w:szCs w:val="22"/>
        </w:rPr>
        <w:t>Afschrijvingen</w:t>
      </w:r>
      <w:bookmarkEnd w:id="323"/>
      <w:bookmarkEnd w:id="324"/>
    </w:p>
    <w:p w14:paraId="104EB780" w14:textId="77777777" w:rsidR="007514A4" w:rsidRPr="00043B8D" w:rsidRDefault="007514A4" w:rsidP="007514A4"/>
    <w:p w14:paraId="3D449C31" w14:textId="266653E4" w:rsidR="00C73A34" w:rsidRPr="00043B8D" w:rsidRDefault="0079504A" w:rsidP="007514A4">
      <w:r w:rsidRPr="00043B8D">
        <w:t>D</w:t>
      </w:r>
      <w:r w:rsidR="007514A4" w:rsidRPr="00043B8D">
        <w:t>e jaarlijkse</w:t>
      </w:r>
      <w:r w:rsidR="00123216" w:rsidRPr="00043B8D">
        <w:t xml:space="preserve"> </w:t>
      </w:r>
      <w:r w:rsidR="008D06AB" w:rsidRPr="00043B8D">
        <w:t xml:space="preserve">(terugneming van) </w:t>
      </w:r>
      <w:r w:rsidR="00123216" w:rsidRPr="00043B8D">
        <w:t>(uitzonderlijke)</w:t>
      </w:r>
      <w:r w:rsidR="007514A4" w:rsidRPr="00043B8D">
        <w:t xml:space="preserve"> afschrijvingen</w:t>
      </w:r>
      <w:r w:rsidRPr="00043B8D">
        <w:t xml:space="preserve"> </w:t>
      </w:r>
      <w:r w:rsidR="003A0F0C" w:rsidRPr="00043B8D">
        <w:t>en waardeverminderingen</w:t>
      </w:r>
      <w:r w:rsidR="00C378D3" w:rsidRPr="00043B8D">
        <w:t xml:space="preserve"> van de immateriële- en materiële vaste activa</w:t>
      </w:r>
      <w:r w:rsidR="001D2D9B" w:rsidRPr="00043B8D">
        <w:t xml:space="preserve"> </w:t>
      </w:r>
      <w:r w:rsidR="00C73A34" w:rsidRPr="00043B8D">
        <w:t xml:space="preserve">door de distributienetbeheerder </w:t>
      </w:r>
      <w:r w:rsidR="001D2D9B" w:rsidRPr="00043B8D">
        <w:t xml:space="preserve">(MAR klasse </w:t>
      </w:r>
      <w:r w:rsidR="00123216" w:rsidRPr="00043B8D">
        <w:t>6301, 6302, 6308, 6309, 660</w:t>
      </w:r>
      <w:r w:rsidR="008D06AB" w:rsidRPr="00043B8D">
        <w:t>1</w:t>
      </w:r>
      <w:r w:rsidR="00123216" w:rsidRPr="00043B8D">
        <w:t>, 660</w:t>
      </w:r>
      <w:r w:rsidR="008D06AB" w:rsidRPr="00043B8D">
        <w:t>2</w:t>
      </w:r>
      <w:r w:rsidR="00123216" w:rsidRPr="00043B8D">
        <w:t>, 7600 en 7601</w:t>
      </w:r>
      <w:r w:rsidR="001D2D9B" w:rsidRPr="00043B8D">
        <w:t>)</w:t>
      </w:r>
      <w:r w:rsidR="00C73A34" w:rsidRPr="00043B8D">
        <w:t xml:space="preserve"> gebruikt in de uitoefening van zijn distributieactiviteit,</w:t>
      </w:r>
      <w:r w:rsidR="003A0F0C" w:rsidRPr="00043B8D">
        <w:t xml:space="preserve"> volgens de</w:t>
      </w:r>
      <w:r w:rsidR="000B540B" w:rsidRPr="00043B8D">
        <w:t xml:space="preserve"> afschrijvingspercentages in de</w:t>
      </w:r>
      <w:r w:rsidR="003A0F0C" w:rsidRPr="00043B8D">
        <w:t xml:space="preserve"> </w:t>
      </w:r>
      <w:r w:rsidR="00123216" w:rsidRPr="00043B8D">
        <w:t xml:space="preserve">regulatorische </w:t>
      </w:r>
      <w:r w:rsidR="003A0F0C" w:rsidRPr="00043B8D">
        <w:t>boekhoudkundige voorschriften van de regulator</w:t>
      </w:r>
      <w:r w:rsidR="002B75C5" w:rsidRPr="00043B8D">
        <w:t xml:space="preserve"> (zie verder par</w:t>
      </w:r>
      <w:r w:rsidR="00AB2008" w:rsidRPr="00043B8D">
        <w:t>.</w:t>
      </w:r>
      <w:r w:rsidR="00F8124E" w:rsidRPr="00043B8D">
        <w:t xml:space="preserve"> </w:t>
      </w:r>
      <w:r w:rsidR="00F8124E" w:rsidRPr="00043B8D">
        <w:fldChar w:fldCharType="begin"/>
      </w:r>
      <w:r w:rsidR="00F8124E" w:rsidRPr="00043B8D">
        <w:instrText xml:space="preserve"> REF _Ref392687989 \r \h </w:instrText>
      </w:r>
      <w:r w:rsidR="00043B8D">
        <w:instrText xml:space="preserve"> \* MERGEFORMAT </w:instrText>
      </w:r>
      <w:r w:rsidR="00F8124E" w:rsidRPr="00043B8D">
        <w:fldChar w:fldCharType="separate"/>
      </w:r>
      <w:r w:rsidR="00B30F9B">
        <w:t>7</w:t>
      </w:r>
      <w:r w:rsidR="00F8124E" w:rsidRPr="00043B8D">
        <w:fldChar w:fldCharType="end"/>
      </w:r>
      <w:r w:rsidR="001D2D9B" w:rsidRPr="00043B8D">
        <w:t>)</w:t>
      </w:r>
      <w:r w:rsidRPr="00043B8D">
        <w:t>, worden beschouwd als niet-exogene kosten</w:t>
      </w:r>
      <w:r w:rsidR="007514A4" w:rsidRPr="00043B8D">
        <w:t xml:space="preserve">. </w:t>
      </w:r>
    </w:p>
    <w:p w14:paraId="17A064AF" w14:textId="77777777" w:rsidR="00C73A34" w:rsidRPr="00043B8D" w:rsidRDefault="00C73A34" w:rsidP="007514A4"/>
    <w:p w14:paraId="36E2722E" w14:textId="3EAD1C15" w:rsidR="007514A4" w:rsidRPr="00043B8D" w:rsidRDefault="007514A4" w:rsidP="007514A4">
      <w:r w:rsidRPr="00043B8D">
        <w:t>Ook de jaarlijkse afboeking</w:t>
      </w:r>
      <w:r w:rsidR="00C378D3" w:rsidRPr="00043B8D">
        <w:t xml:space="preserve"> van de meerwaarden op de historische indexatie en </w:t>
      </w:r>
      <w:r w:rsidR="00F8124E" w:rsidRPr="00043B8D">
        <w:t xml:space="preserve">in </w:t>
      </w:r>
      <w:r w:rsidR="00C378D3" w:rsidRPr="00043B8D">
        <w:t>de initiële waarde van het gereguleerd actief (</w:t>
      </w:r>
      <w:r w:rsidR="00AB2008" w:rsidRPr="00043B8D">
        <w:t xml:space="preserve">d.i. de </w:t>
      </w:r>
      <w:r w:rsidR="00C378D3" w:rsidRPr="00043B8D">
        <w:t>iRAB)</w:t>
      </w:r>
      <w:r w:rsidR="00D963E4" w:rsidRPr="00043B8D">
        <w:t xml:space="preserve">, </w:t>
      </w:r>
      <w:r w:rsidR="008C6306" w:rsidRPr="00043B8D">
        <w:t xml:space="preserve">eveneens </w:t>
      </w:r>
      <w:r w:rsidR="00D963E4" w:rsidRPr="00043B8D">
        <w:t>volgens de</w:t>
      </w:r>
      <w:r w:rsidR="008D06AB" w:rsidRPr="00043B8D">
        <w:t xml:space="preserve"> regulatorische</w:t>
      </w:r>
      <w:r w:rsidR="00D963E4" w:rsidRPr="00043B8D">
        <w:t xml:space="preserve"> boekhoudkundige voorschriften van de regulator (zie verder par</w:t>
      </w:r>
      <w:r w:rsidR="0079504A" w:rsidRPr="00043B8D">
        <w:t>.</w:t>
      </w:r>
      <w:r w:rsidR="00F8124E" w:rsidRPr="00043B8D">
        <w:t xml:space="preserve"> </w:t>
      </w:r>
      <w:r w:rsidR="00F8124E" w:rsidRPr="00043B8D">
        <w:fldChar w:fldCharType="begin"/>
      </w:r>
      <w:r w:rsidR="00F8124E" w:rsidRPr="00043B8D">
        <w:instrText xml:space="preserve"> REF _Ref392688040 \r \h </w:instrText>
      </w:r>
      <w:r w:rsidR="00043B8D">
        <w:instrText xml:space="preserve"> \* MERGEFORMAT </w:instrText>
      </w:r>
      <w:r w:rsidR="00F8124E" w:rsidRPr="00043B8D">
        <w:fldChar w:fldCharType="separate"/>
      </w:r>
      <w:r w:rsidR="00B30F9B">
        <w:t>7</w:t>
      </w:r>
      <w:r w:rsidR="00F8124E" w:rsidRPr="00043B8D">
        <w:fldChar w:fldCharType="end"/>
      </w:r>
      <w:r w:rsidR="00D963E4" w:rsidRPr="00043B8D">
        <w:t>),</w:t>
      </w:r>
      <w:r w:rsidR="00C378D3" w:rsidRPr="00043B8D">
        <w:t xml:space="preserve"> word</w:t>
      </w:r>
      <w:r w:rsidR="00656322" w:rsidRPr="00043B8D">
        <w:t>en</w:t>
      </w:r>
      <w:r w:rsidR="00C378D3" w:rsidRPr="00043B8D">
        <w:t xml:space="preserve"> hierbij in beschouwing genomen</w:t>
      </w:r>
      <w:r w:rsidRPr="00043B8D">
        <w:t>.</w:t>
      </w:r>
    </w:p>
    <w:p w14:paraId="28432FE5" w14:textId="77777777" w:rsidR="007514A4" w:rsidRPr="00043B8D" w:rsidRDefault="007514A4" w:rsidP="007514A4"/>
    <w:p w14:paraId="34912E39" w14:textId="7D03377F" w:rsidR="007514A4" w:rsidRPr="00043B8D" w:rsidRDefault="007D2810" w:rsidP="007514A4">
      <w:r w:rsidRPr="00043B8D">
        <w:t xml:space="preserve">De </w:t>
      </w:r>
      <w:r w:rsidR="008D06AB" w:rsidRPr="00043B8D">
        <w:t>(</w:t>
      </w:r>
      <w:r w:rsidRPr="00043B8D">
        <w:t>t</w:t>
      </w:r>
      <w:r w:rsidR="008D06AB" w:rsidRPr="00043B8D">
        <w:t xml:space="preserve">erugneming van) </w:t>
      </w:r>
      <w:r w:rsidR="00123216" w:rsidRPr="00043B8D">
        <w:t>(</w:t>
      </w:r>
      <w:r w:rsidR="008D06AB" w:rsidRPr="00043B8D">
        <w:t>u</w:t>
      </w:r>
      <w:r w:rsidR="00123216" w:rsidRPr="00043B8D">
        <w:t xml:space="preserve">itzonderlijke) </w:t>
      </w:r>
      <w:r w:rsidRPr="00043B8D">
        <w:t>a</w:t>
      </w:r>
      <w:r w:rsidR="007514A4" w:rsidRPr="00043B8D">
        <w:t>fschrijving</w:t>
      </w:r>
      <w:r w:rsidR="00C378D3" w:rsidRPr="00043B8D">
        <w:t>en</w:t>
      </w:r>
      <w:r w:rsidR="00123216" w:rsidRPr="00043B8D">
        <w:t xml:space="preserve"> en waardeverminderingen</w:t>
      </w:r>
      <w:r w:rsidR="007514A4" w:rsidRPr="00043B8D">
        <w:t xml:space="preserve"> van</w:t>
      </w:r>
      <w:r w:rsidR="00C378D3" w:rsidRPr="00043B8D">
        <w:t xml:space="preserve"> de boekhoudkundige rubriek</w:t>
      </w:r>
      <w:r w:rsidR="00123216" w:rsidRPr="00043B8D">
        <w:t>en</w:t>
      </w:r>
      <w:r w:rsidR="007514A4" w:rsidRPr="00043B8D">
        <w:t xml:space="preserve"> </w:t>
      </w:r>
      <w:r w:rsidR="00C378D3" w:rsidRPr="00043B8D">
        <w:t>‘</w:t>
      </w:r>
      <w:r w:rsidR="007514A4" w:rsidRPr="00043B8D">
        <w:t>goodwill</w:t>
      </w:r>
      <w:r w:rsidR="00C378D3" w:rsidRPr="00043B8D">
        <w:t>’ (</w:t>
      </w:r>
      <w:r w:rsidR="00BC6716" w:rsidRPr="00043B8D">
        <w:t>MAR</w:t>
      </w:r>
      <w:r w:rsidR="001F5362" w:rsidRPr="00043B8D">
        <w:t xml:space="preserve"> </w:t>
      </w:r>
      <w:r w:rsidR="00C378D3" w:rsidRPr="00043B8D">
        <w:t>klasse 212</w:t>
      </w:r>
      <w:r w:rsidR="008D06AB" w:rsidRPr="00043B8D">
        <w:t xml:space="preserve"> en het aandeel in de hiermee samenhangende MAR klasse 6301, 6308, 6601 en 7600</w:t>
      </w:r>
      <w:r w:rsidR="00C378D3" w:rsidRPr="00043B8D">
        <w:t>)</w:t>
      </w:r>
      <w:r w:rsidR="00123216" w:rsidRPr="00043B8D">
        <w:t xml:space="preserve"> en ‘oprichtingskosten’ (MAR klasse 20 en de hiermee samenhangende MAR klasse 6300 en 6600)</w:t>
      </w:r>
      <w:r w:rsidR="00C378D3" w:rsidRPr="00043B8D">
        <w:t xml:space="preserve"> </w:t>
      </w:r>
      <w:r w:rsidR="007514A4" w:rsidRPr="00043B8D">
        <w:t xml:space="preserve"> </w:t>
      </w:r>
      <w:r w:rsidR="00C378D3" w:rsidRPr="00043B8D">
        <w:t xml:space="preserve">worden </w:t>
      </w:r>
      <w:r w:rsidR="007514A4" w:rsidRPr="00043B8D">
        <w:t xml:space="preserve">niet in beschouwing genomen. </w:t>
      </w:r>
      <w:r w:rsidR="001E700E" w:rsidRPr="00043B8D">
        <w:t xml:space="preserve">Goodwill </w:t>
      </w:r>
      <w:r w:rsidR="00933F05" w:rsidRPr="00043B8D">
        <w:t xml:space="preserve">en oprichtingskosten zijn </w:t>
      </w:r>
      <w:r w:rsidR="001E700E" w:rsidRPr="00043B8D">
        <w:t xml:space="preserve">namelijk per definitie geen </w:t>
      </w:r>
      <w:r w:rsidR="00933F05" w:rsidRPr="00043B8D">
        <w:t>activa die worden</w:t>
      </w:r>
      <w:r w:rsidR="001E700E" w:rsidRPr="00043B8D">
        <w:t xml:space="preserve"> aangewend voor </w:t>
      </w:r>
      <w:r w:rsidR="00F8243F" w:rsidRPr="00043B8D">
        <w:t>distributienetbeheer</w:t>
      </w:r>
      <w:r w:rsidR="001E700E" w:rsidRPr="00043B8D">
        <w:t xml:space="preserve">. </w:t>
      </w:r>
      <w:r w:rsidR="007514A4" w:rsidRPr="00043B8D">
        <w:t>Goodwill</w:t>
      </w:r>
      <w:r w:rsidR="00933F05" w:rsidRPr="00043B8D">
        <w:t xml:space="preserve"> bijvoorbeeld</w:t>
      </w:r>
      <w:r w:rsidR="007514A4" w:rsidRPr="00043B8D">
        <w:t xml:space="preserve">, wat zou kunnen ontstaan bij de overname van een actief van </w:t>
      </w:r>
      <w:r w:rsidR="00C378D3" w:rsidRPr="00043B8D">
        <w:t>de ene</w:t>
      </w:r>
      <w:r w:rsidR="000F09D9" w:rsidRPr="00043B8D">
        <w:t xml:space="preserve"> Vlaamse</w:t>
      </w:r>
      <w:r w:rsidR="00C378D3" w:rsidRPr="00043B8D">
        <w:t xml:space="preserve"> </w:t>
      </w:r>
      <w:r w:rsidR="007514A4" w:rsidRPr="00043B8D">
        <w:t>distributienetbeheerder door een andere</w:t>
      </w:r>
      <w:r w:rsidR="000F09D9" w:rsidRPr="00043B8D">
        <w:t xml:space="preserve"> Vlaamse distributienetbeheerder</w:t>
      </w:r>
      <w:r w:rsidR="007514A4" w:rsidRPr="00043B8D">
        <w:t xml:space="preserve">, </w:t>
      </w:r>
      <w:r w:rsidR="001F5362" w:rsidRPr="00043B8D">
        <w:t>kan aldus</w:t>
      </w:r>
      <w:r w:rsidR="007514A4" w:rsidRPr="00043B8D">
        <w:t xml:space="preserve"> niet zorgen voor een stijging van de distributienettarieven bij de overnemer.</w:t>
      </w:r>
    </w:p>
    <w:p w14:paraId="40A705DE" w14:textId="77777777" w:rsidR="007514A4" w:rsidRPr="00043B8D" w:rsidRDefault="007514A4" w:rsidP="007514A4"/>
    <w:p w14:paraId="6298E239" w14:textId="77777777" w:rsidR="007514A4" w:rsidRPr="00043B8D" w:rsidRDefault="007514A4" w:rsidP="005251E2">
      <w:pPr>
        <w:pStyle w:val="Kop2"/>
        <w:numPr>
          <w:ilvl w:val="2"/>
          <w:numId w:val="24"/>
        </w:numPr>
        <w:ind w:left="993" w:hanging="993"/>
        <w:rPr>
          <w:i/>
          <w:sz w:val="22"/>
          <w:szCs w:val="22"/>
        </w:rPr>
      </w:pPr>
      <w:bookmarkStart w:id="325" w:name="_Ref363648921"/>
      <w:bookmarkStart w:id="326" w:name="_Toc454186666"/>
      <w:r w:rsidRPr="00043B8D">
        <w:rPr>
          <w:i/>
          <w:sz w:val="22"/>
          <w:szCs w:val="22"/>
        </w:rPr>
        <w:t>Operationele nettokosten</w:t>
      </w:r>
      <w:bookmarkEnd w:id="325"/>
      <w:bookmarkEnd w:id="326"/>
    </w:p>
    <w:p w14:paraId="1E2B96FA" w14:textId="77777777" w:rsidR="007514A4" w:rsidRPr="00043B8D" w:rsidRDefault="007514A4" w:rsidP="007514A4">
      <w:pPr>
        <w:ind w:left="720"/>
      </w:pPr>
    </w:p>
    <w:p w14:paraId="094BA860" w14:textId="4386C1A8" w:rsidR="007514A4" w:rsidRPr="00043B8D" w:rsidRDefault="004D6FA3" w:rsidP="007514A4">
      <w:r w:rsidRPr="00043B8D">
        <w:t xml:space="preserve">De </w:t>
      </w:r>
      <w:r w:rsidR="007514A4" w:rsidRPr="00043B8D">
        <w:t>operationele nettokosten die de distributienetbeheerder heeft gemaakt in het kader van zijn gereguleerde activiteit, d.w.z. de gemaakte operationele kosten met aftrek van de operationele opbrengsten</w:t>
      </w:r>
      <w:r w:rsidRPr="00043B8D">
        <w:t>, worden beschouwd als niet-exogene kosten</w:t>
      </w:r>
      <w:r w:rsidR="007514A4" w:rsidRPr="00043B8D">
        <w:t xml:space="preserve">. </w:t>
      </w:r>
    </w:p>
    <w:p w14:paraId="36871D27" w14:textId="77777777" w:rsidR="007514A4" w:rsidRPr="00043B8D" w:rsidRDefault="007514A4" w:rsidP="007514A4"/>
    <w:p w14:paraId="7876366F" w14:textId="77777777" w:rsidR="007514A4" w:rsidRPr="00043B8D" w:rsidRDefault="007514A4" w:rsidP="007514A4">
      <w:r w:rsidRPr="00043B8D">
        <w:t xml:space="preserve">Wat betreft de operationele opbrengsten worden logischerwijze de opbrengsten van een distributienetbeheerder uit de inning van zijn periodieke distributienettarieven, waaronder ook de distributienettarieven voor doorvoer, niet in mindering gebracht van zijn operationele kosten. De toegelaten inkomsten dienen immers ter bepaling van de </w:t>
      </w:r>
      <w:r w:rsidR="002B75C5" w:rsidRPr="00043B8D">
        <w:t xml:space="preserve">periodieke </w:t>
      </w:r>
      <w:r w:rsidRPr="00043B8D">
        <w:t>distributienettarieven, inclusief deze voor doorvoer.</w:t>
      </w:r>
    </w:p>
    <w:p w14:paraId="6A133549" w14:textId="77777777" w:rsidR="001D2D9B" w:rsidRPr="00043B8D" w:rsidRDefault="001D2D9B" w:rsidP="007514A4"/>
    <w:p w14:paraId="7DF0202F" w14:textId="121B2BB2" w:rsidR="001D2D9B" w:rsidRPr="00043B8D" w:rsidRDefault="0084626E" w:rsidP="007514A4">
      <w:r w:rsidRPr="00043B8D">
        <w:t xml:space="preserve">Voor de berekening van de </w:t>
      </w:r>
      <w:r w:rsidR="001D2D9B" w:rsidRPr="00043B8D">
        <w:t xml:space="preserve">operationele nettokosten </w:t>
      </w:r>
      <w:r w:rsidRPr="00043B8D">
        <w:t xml:space="preserve">wordt </w:t>
      </w:r>
      <w:r w:rsidR="003116C7" w:rsidRPr="00043B8D">
        <w:t xml:space="preserve">ten </w:t>
      </w:r>
      <w:r w:rsidR="00863DA5" w:rsidRPr="00043B8D">
        <w:t>eerst</w:t>
      </w:r>
      <w:r w:rsidR="003116C7" w:rsidRPr="00043B8D">
        <w:t>e</w:t>
      </w:r>
      <w:r w:rsidR="00863DA5" w:rsidRPr="00043B8D">
        <w:t xml:space="preserve"> </w:t>
      </w:r>
      <w:r w:rsidR="003116C7" w:rsidRPr="00043B8D">
        <w:t xml:space="preserve">gebruik gemaakt </w:t>
      </w:r>
      <w:r w:rsidRPr="00043B8D">
        <w:t xml:space="preserve">van </w:t>
      </w:r>
      <w:r w:rsidR="0029599F" w:rsidRPr="00043B8D">
        <w:t xml:space="preserve">de </w:t>
      </w:r>
      <w:r w:rsidR="008A7910" w:rsidRPr="00043B8D">
        <w:t>boekhoudkundige klassen</w:t>
      </w:r>
      <w:r w:rsidR="00863DA5" w:rsidRPr="00043B8D">
        <w:t xml:space="preserve"> </w:t>
      </w:r>
      <w:r w:rsidR="0029599F" w:rsidRPr="00043B8D">
        <w:t xml:space="preserve">vermeld in </w:t>
      </w:r>
      <w:r w:rsidR="00863DA5" w:rsidRPr="00043B8D">
        <w:fldChar w:fldCharType="begin"/>
      </w:r>
      <w:r w:rsidR="00863DA5" w:rsidRPr="00043B8D">
        <w:instrText xml:space="preserve"> REF _Ref391540384 \h </w:instrText>
      </w:r>
      <w:r w:rsidR="00043B8D">
        <w:instrText xml:space="preserve"> \* MERGEFORMAT </w:instrText>
      </w:r>
      <w:r w:rsidR="00863DA5" w:rsidRPr="00043B8D">
        <w:fldChar w:fldCharType="separate"/>
      </w:r>
      <w:r w:rsidR="00B30F9B" w:rsidRPr="00043B8D">
        <w:t xml:space="preserve">Tabel </w:t>
      </w:r>
      <w:r w:rsidR="00B30F9B">
        <w:rPr>
          <w:noProof/>
        </w:rPr>
        <w:t>2</w:t>
      </w:r>
      <w:r w:rsidR="00863DA5" w:rsidRPr="00043B8D">
        <w:fldChar w:fldCharType="end"/>
      </w:r>
      <w:r w:rsidR="008A7910" w:rsidRPr="00043B8D">
        <w:t>.</w:t>
      </w:r>
    </w:p>
    <w:p w14:paraId="000FB625" w14:textId="77777777" w:rsidR="0084626E" w:rsidRPr="00043B8D" w:rsidRDefault="0084626E" w:rsidP="007514A4"/>
    <w:p w14:paraId="75CB61B6" w14:textId="77777777" w:rsidR="0084626E" w:rsidRPr="000D284A" w:rsidRDefault="0084626E" w:rsidP="00654C50">
      <w:pPr>
        <w:pStyle w:val="Bijschrift"/>
        <w:keepNext/>
        <w:ind w:firstLine="142"/>
        <w:jc w:val="left"/>
        <w:rPr>
          <w:b w:val="0"/>
          <w:i/>
        </w:rPr>
      </w:pPr>
      <w:bookmarkStart w:id="327" w:name="_Ref391540384"/>
      <w:r w:rsidRPr="000D284A">
        <w:rPr>
          <w:b w:val="0"/>
          <w:i/>
        </w:rPr>
        <w:t xml:space="preserve">Tabel </w:t>
      </w:r>
      <w:r w:rsidRPr="000D284A">
        <w:rPr>
          <w:b w:val="0"/>
          <w:i/>
        </w:rPr>
        <w:fldChar w:fldCharType="begin"/>
      </w:r>
      <w:r w:rsidRPr="000D284A">
        <w:rPr>
          <w:b w:val="0"/>
          <w:i/>
        </w:rPr>
        <w:instrText xml:space="preserve"> SEQ Tabel \* ARABIC </w:instrText>
      </w:r>
      <w:r w:rsidRPr="000D284A">
        <w:rPr>
          <w:b w:val="0"/>
          <w:i/>
        </w:rPr>
        <w:fldChar w:fldCharType="separate"/>
      </w:r>
      <w:r w:rsidR="000D284A">
        <w:rPr>
          <w:b w:val="0"/>
          <w:i/>
          <w:noProof/>
        </w:rPr>
        <w:t>2</w:t>
      </w:r>
      <w:r w:rsidRPr="000D284A">
        <w:rPr>
          <w:b w:val="0"/>
          <w:i/>
        </w:rPr>
        <w:fldChar w:fldCharType="end"/>
      </w:r>
      <w:bookmarkEnd w:id="327"/>
      <w:r w:rsidRPr="000D284A">
        <w:rPr>
          <w:b w:val="0"/>
          <w:i/>
        </w:rPr>
        <w:t xml:space="preserve"> MAR klassen i.v.m. operationele nettokosten</w:t>
      </w:r>
    </w:p>
    <w:tbl>
      <w:tblPr>
        <w:tblStyle w:val="Tabelraster"/>
        <w:tblW w:w="0" w:type="auto"/>
        <w:tblInd w:w="250" w:type="dxa"/>
        <w:tblLayout w:type="fixed"/>
        <w:tblLook w:val="04A0" w:firstRow="1" w:lastRow="0" w:firstColumn="1" w:lastColumn="0" w:noHBand="0" w:noVBand="1"/>
      </w:tblPr>
      <w:tblGrid>
        <w:gridCol w:w="850"/>
        <w:gridCol w:w="2944"/>
        <w:gridCol w:w="911"/>
        <w:gridCol w:w="3058"/>
      </w:tblGrid>
      <w:tr w:rsidR="008A7910" w:rsidRPr="00043B8D" w14:paraId="7209872C" w14:textId="77777777" w:rsidTr="009F11D7">
        <w:trPr>
          <w:trHeight w:val="397"/>
        </w:trPr>
        <w:tc>
          <w:tcPr>
            <w:tcW w:w="7763" w:type="dxa"/>
            <w:gridSpan w:val="4"/>
            <w:vAlign w:val="center"/>
          </w:tcPr>
          <w:p w14:paraId="16706CC5" w14:textId="77777777" w:rsidR="008A7910" w:rsidRPr="00043B8D" w:rsidRDefault="008A7910" w:rsidP="00481F3A">
            <w:pPr>
              <w:jc w:val="center"/>
              <w:rPr>
                <w:b/>
              </w:rPr>
            </w:pPr>
            <w:r w:rsidRPr="00043B8D">
              <w:rPr>
                <w:b/>
              </w:rPr>
              <w:t xml:space="preserve">MAR klassen </w:t>
            </w:r>
            <w:r w:rsidR="00481F3A" w:rsidRPr="00043B8D">
              <w:rPr>
                <w:b/>
              </w:rPr>
              <w:t>bevattende</w:t>
            </w:r>
            <w:r w:rsidRPr="00043B8D">
              <w:rPr>
                <w:b/>
              </w:rPr>
              <w:t xml:space="preserve"> operationele kosten</w:t>
            </w:r>
            <w:r w:rsidR="00481F3A" w:rsidRPr="00043B8D">
              <w:rPr>
                <w:b/>
              </w:rPr>
              <w:t xml:space="preserve"> en opbrengsten</w:t>
            </w:r>
          </w:p>
        </w:tc>
      </w:tr>
      <w:tr w:rsidR="008A7910" w:rsidRPr="00043B8D" w14:paraId="0E01EDF6" w14:textId="77777777" w:rsidTr="009F11D7">
        <w:trPr>
          <w:trHeight w:val="397"/>
        </w:trPr>
        <w:tc>
          <w:tcPr>
            <w:tcW w:w="3794" w:type="dxa"/>
            <w:gridSpan w:val="2"/>
            <w:vAlign w:val="center"/>
          </w:tcPr>
          <w:p w14:paraId="7293995E" w14:textId="77777777" w:rsidR="008A7910" w:rsidRPr="00043B8D" w:rsidRDefault="008A7910" w:rsidP="008A7910">
            <w:pPr>
              <w:jc w:val="center"/>
              <w:rPr>
                <w:b/>
              </w:rPr>
            </w:pPr>
            <w:r w:rsidRPr="00043B8D">
              <w:rPr>
                <w:b/>
              </w:rPr>
              <w:t>Kosten</w:t>
            </w:r>
          </w:p>
        </w:tc>
        <w:tc>
          <w:tcPr>
            <w:tcW w:w="3969" w:type="dxa"/>
            <w:gridSpan w:val="2"/>
            <w:vAlign w:val="center"/>
          </w:tcPr>
          <w:p w14:paraId="236FAB0E" w14:textId="77777777" w:rsidR="008A7910" w:rsidRPr="00043B8D" w:rsidRDefault="008A7910" w:rsidP="008A7910">
            <w:pPr>
              <w:jc w:val="center"/>
              <w:rPr>
                <w:b/>
              </w:rPr>
            </w:pPr>
            <w:r w:rsidRPr="00043B8D">
              <w:rPr>
                <w:b/>
              </w:rPr>
              <w:t>Opbrengsten</w:t>
            </w:r>
          </w:p>
        </w:tc>
      </w:tr>
      <w:tr w:rsidR="008A7910" w:rsidRPr="00043B8D" w14:paraId="650F9036" w14:textId="77777777" w:rsidTr="009F11D7">
        <w:trPr>
          <w:trHeight w:val="397"/>
        </w:trPr>
        <w:tc>
          <w:tcPr>
            <w:tcW w:w="850" w:type="dxa"/>
            <w:vAlign w:val="center"/>
          </w:tcPr>
          <w:p w14:paraId="7B12C0D8" w14:textId="77777777" w:rsidR="0084626E" w:rsidRPr="00043B8D" w:rsidRDefault="008A7910" w:rsidP="008A7910">
            <w:pPr>
              <w:jc w:val="center"/>
              <w:rPr>
                <w:b/>
              </w:rPr>
            </w:pPr>
            <w:r w:rsidRPr="00043B8D">
              <w:rPr>
                <w:b/>
              </w:rPr>
              <w:t>MAR</w:t>
            </w:r>
          </w:p>
        </w:tc>
        <w:tc>
          <w:tcPr>
            <w:tcW w:w="2944" w:type="dxa"/>
            <w:vAlign w:val="center"/>
          </w:tcPr>
          <w:p w14:paraId="197D0D71" w14:textId="77777777" w:rsidR="008A7910" w:rsidRPr="00043B8D" w:rsidRDefault="008A7910" w:rsidP="008A7910">
            <w:pPr>
              <w:jc w:val="center"/>
              <w:rPr>
                <w:b/>
              </w:rPr>
            </w:pPr>
            <w:r w:rsidRPr="00043B8D">
              <w:rPr>
                <w:b/>
              </w:rPr>
              <w:t>Beschrijving</w:t>
            </w:r>
          </w:p>
        </w:tc>
        <w:tc>
          <w:tcPr>
            <w:tcW w:w="911" w:type="dxa"/>
            <w:vAlign w:val="center"/>
          </w:tcPr>
          <w:p w14:paraId="6D795BF9" w14:textId="77777777" w:rsidR="0084626E" w:rsidRPr="00043B8D" w:rsidRDefault="008A7910" w:rsidP="008A7910">
            <w:pPr>
              <w:jc w:val="center"/>
              <w:rPr>
                <w:b/>
              </w:rPr>
            </w:pPr>
            <w:r w:rsidRPr="00043B8D">
              <w:rPr>
                <w:b/>
              </w:rPr>
              <w:t>MAR</w:t>
            </w:r>
          </w:p>
        </w:tc>
        <w:tc>
          <w:tcPr>
            <w:tcW w:w="3058" w:type="dxa"/>
            <w:vAlign w:val="center"/>
          </w:tcPr>
          <w:p w14:paraId="63CA5AF0" w14:textId="77777777" w:rsidR="0084626E" w:rsidRPr="00043B8D" w:rsidRDefault="008A7910" w:rsidP="008A7910">
            <w:pPr>
              <w:jc w:val="center"/>
              <w:rPr>
                <w:b/>
              </w:rPr>
            </w:pPr>
            <w:r w:rsidRPr="00043B8D">
              <w:rPr>
                <w:b/>
              </w:rPr>
              <w:t>Beschrijving</w:t>
            </w:r>
          </w:p>
        </w:tc>
      </w:tr>
      <w:tr w:rsidR="008A7910" w:rsidRPr="00043B8D" w14:paraId="6D016604" w14:textId="77777777" w:rsidTr="009F11D7">
        <w:tc>
          <w:tcPr>
            <w:tcW w:w="850" w:type="dxa"/>
          </w:tcPr>
          <w:p w14:paraId="211C5E75" w14:textId="77777777" w:rsidR="0084626E" w:rsidRPr="00043B8D" w:rsidRDefault="008A7910" w:rsidP="008A7910">
            <w:pPr>
              <w:jc w:val="center"/>
            </w:pPr>
            <w:r w:rsidRPr="00043B8D">
              <w:t>60</w:t>
            </w:r>
          </w:p>
        </w:tc>
        <w:tc>
          <w:tcPr>
            <w:tcW w:w="2944" w:type="dxa"/>
          </w:tcPr>
          <w:p w14:paraId="58606520" w14:textId="77777777" w:rsidR="0084626E" w:rsidRPr="00043B8D" w:rsidRDefault="008A7910" w:rsidP="003116C7">
            <w:pPr>
              <w:jc w:val="left"/>
            </w:pPr>
            <w:r w:rsidRPr="00043B8D">
              <w:t>Handelsgoederen, grond- en hulpstoffen</w:t>
            </w:r>
          </w:p>
        </w:tc>
        <w:tc>
          <w:tcPr>
            <w:tcW w:w="911" w:type="dxa"/>
          </w:tcPr>
          <w:p w14:paraId="0514666D" w14:textId="77777777" w:rsidR="0084626E" w:rsidRPr="00043B8D" w:rsidRDefault="008A7910" w:rsidP="008A7910">
            <w:pPr>
              <w:jc w:val="center"/>
            </w:pPr>
            <w:r w:rsidRPr="00043B8D">
              <w:t>70</w:t>
            </w:r>
          </w:p>
        </w:tc>
        <w:tc>
          <w:tcPr>
            <w:tcW w:w="3058" w:type="dxa"/>
          </w:tcPr>
          <w:p w14:paraId="7AAA295A" w14:textId="23229C6B" w:rsidR="0084626E" w:rsidRPr="00043B8D" w:rsidRDefault="008A7910" w:rsidP="003116C7">
            <w:pPr>
              <w:jc w:val="left"/>
            </w:pPr>
            <w:r w:rsidRPr="00043B8D">
              <w:t>Omzet, exclusief de omzet uit de periodieke distributienet</w:t>
            </w:r>
            <w:r w:rsidR="003116C7" w:rsidRPr="00043B8D">
              <w:t>-</w:t>
            </w:r>
            <w:r w:rsidRPr="00043B8D">
              <w:t>tarieven (cfr</w:t>
            </w:r>
            <w:r w:rsidR="00D712B7" w:rsidRPr="00043B8D">
              <w:t>.</w:t>
            </w:r>
            <w:r w:rsidRPr="00043B8D">
              <w:t xml:space="preserve"> supra)</w:t>
            </w:r>
          </w:p>
        </w:tc>
      </w:tr>
      <w:tr w:rsidR="008A7910" w:rsidRPr="00043B8D" w14:paraId="5A62DDBA" w14:textId="77777777" w:rsidTr="009F11D7">
        <w:tc>
          <w:tcPr>
            <w:tcW w:w="850" w:type="dxa"/>
          </w:tcPr>
          <w:p w14:paraId="69B39F43" w14:textId="77777777" w:rsidR="0084626E" w:rsidRPr="00043B8D" w:rsidRDefault="008A7910" w:rsidP="008A7910">
            <w:pPr>
              <w:jc w:val="center"/>
            </w:pPr>
            <w:r w:rsidRPr="00043B8D">
              <w:t>61</w:t>
            </w:r>
          </w:p>
        </w:tc>
        <w:tc>
          <w:tcPr>
            <w:tcW w:w="2944" w:type="dxa"/>
          </w:tcPr>
          <w:p w14:paraId="2AF1B844" w14:textId="77777777" w:rsidR="0084626E" w:rsidRPr="00043B8D" w:rsidRDefault="008A7910" w:rsidP="003116C7">
            <w:pPr>
              <w:jc w:val="left"/>
            </w:pPr>
            <w:r w:rsidRPr="00043B8D">
              <w:t>Diensten en diverse goederen</w:t>
            </w:r>
          </w:p>
        </w:tc>
        <w:tc>
          <w:tcPr>
            <w:tcW w:w="911" w:type="dxa"/>
          </w:tcPr>
          <w:p w14:paraId="1636C3E6" w14:textId="77777777" w:rsidR="0084626E" w:rsidRPr="00043B8D" w:rsidRDefault="008A7910" w:rsidP="008A7910">
            <w:pPr>
              <w:jc w:val="center"/>
            </w:pPr>
            <w:r w:rsidRPr="00043B8D">
              <w:t>71</w:t>
            </w:r>
          </w:p>
        </w:tc>
        <w:tc>
          <w:tcPr>
            <w:tcW w:w="3058" w:type="dxa"/>
          </w:tcPr>
          <w:p w14:paraId="4E061510" w14:textId="77777777" w:rsidR="0084626E" w:rsidRPr="00043B8D" w:rsidRDefault="008A7910" w:rsidP="003116C7">
            <w:pPr>
              <w:jc w:val="left"/>
            </w:pPr>
            <w:r w:rsidRPr="00043B8D">
              <w:t>Wijziging in de voorraad goederen in bewerking, gereed product en bestellingen in uitvoering</w:t>
            </w:r>
          </w:p>
        </w:tc>
      </w:tr>
      <w:tr w:rsidR="008A7910" w:rsidRPr="00043B8D" w14:paraId="38CE6242" w14:textId="77777777" w:rsidTr="009F11D7">
        <w:tc>
          <w:tcPr>
            <w:tcW w:w="850" w:type="dxa"/>
          </w:tcPr>
          <w:p w14:paraId="1DE11D63" w14:textId="77777777" w:rsidR="008A7910" w:rsidRPr="00043B8D" w:rsidRDefault="008A7910" w:rsidP="008A7910">
            <w:pPr>
              <w:jc w:val="center"/>
            </w:pPr>
            <w:r w:rsidRPr="00043B8D">
              <w:t>62</w:t>
            </w:r>
          </w:p>
        </w:tc>
        <w:tc>
          <w:tcPr>
            <w:tcW w:w="2944" w:type="dxa"/>
          </w:tcPr>
          <w:p w14:paraId="60311942" w14:textId="77777777" w:rsidR="008A7910" w:rsidRPr="00043B8D" w:rsidRDefault="008A7910" w:rsidP="003116C7">
            <w:pPr>
              <w:jc w:val="left"/>
            </w:pPr>
            <w:r w:rsidRPr="00043B8D">
              <w:t>Bezoldigingen, sociale lasten en pensioenen</w:t>
            </w:r>
          </w:p>
        </w:tc>
        <w:tc>
          <w:tcPr>
            <w:tcW w:w="911" w:type="dxa"/>
            <w:vMerge w:val="restart"/>
          </w:tcPr>
          <w:p w14:paraId="56A2DEF4" w14:textId="77777777" w:rsidR="008A7910" w:rsidRPr="00043B8D" w:rsidRDefault="008A7910" w:rsidP="008A7910">
            <w:pPr>
              <w:jc w:val="center"/>
            </w:pPr>
            <w:r w:rsidRPr="00043B8D">
              <w:t>72</w:t>
            </w:r>
          </w:p>
        </w:tc>
        <w:tc>
          <w:tcPr>
            <w:tcW w:w="3058" w:type="dxa"/>
            <w:vMerge w:val="restart"/>
          </w:tcPr>
          <w:p w14:paraId="415018A6" w14:textId="4FEAC1C8" w:rsidR="008A7910" w:rsidRPr="00043B8D" w:rsidRDefault="0014278A" w:rsidP="003116C7">
            <w:pPr>
              <w:jc w:val="left"/>
            </w:pPr>
            <w:r w:rsidRPr="00043B8D">
              <w:t xml:space="preserve">Geproduceerde </w:t>
            </w:r>
            <w:r w:rsidR="008A7910" w:rsidRPr="00043B8D">
              <w:t>vaste activa</w:t>
            </w:r>
          </w:p>
        </w:tc>
      </w:tr>
      <w:tr w:rsidR="008A7910" w:rsidRPr="00043B8D" w14:paraId="15C56519" w14:textId="77777777" w:rsidTr="009F11D7">
        <w:tc>
          <w:tcPr>
            <w:tcW w:w="850" w:type="dxa"/>
          </w:tcPr>
          <w:p w14:paraId="609C6287" w14:textId="77777777" w:rsidR="008A7910" w:rsidRPr="00043B8D" w:rsidRDefault="008A7910" w:rsidP="008A7910">
            <w:pPr>
              <w:jc w:val="center"/>
            </w:pPr>
            <w:r w:rsidRPr="00043B8D">
              <w:t>631/4</w:t>
            </w:r>
          </w:p>
        </w:tc>
        <w:tc>
          <w:tcPr>
            <w:tcW w:w="2944" w:type="dxa"/>
          </w:tcPr>
          <w:p w14:paraId="6A7CCC1A" w14:textId="70A4F3E6" w:rsidR="008A7910" w:rsidRPr="00043B8D" w:rsidRDefault="008A7910" w:rsidP="003116C7">
            <w:pPr>
              <w:jc w:val="left"/>
            </w:pPr>
            <w:r w:rsidRPr="00043B8D">
              <w:t xml:space="preserve">Waardeverminderingen op voorraden, bestellingen in uitvoering en </w:t>
            </w:r>
            <w:r w:rsidR="00193D77" w:rsidRPr="00043B8D">
              <w:t>handelsvorderingen</w:t>
            </w:r>
          </w:p>
        </w:tc>
        <w:tc>
          <w:tcPr>
            <w:tcW w:w="911" w:type="dxa"/>
            <w:vMerge/>
          </w:tcPr>
          <w:p w14:paraId="50AEF356" w14:textId="77777777" w:rsidR="008A7910" w:rsidRPr="00043B8D" w:rsidRDefault="008A7910" w:rsidP="008A7910">
            <w:pPr>
              <w:jc w:val="center"/>
            </w:pPr>
          </w:p>
        </w:tc>
        <w:tc>
          <w:tcPr>
            <w:tcW w:w="3058" w:type="dxa"/>
            <w:vMerge/>
          </w:tcPr>
          <w:p w14:paraId="62BA07AD" w14:textId="77777777" w:rsidR="008A7910" w:rsidRPr="00043B8D" w:rsidRDefault="008A7910" w:rsidP="003116C7">
            <w:pPr>
              <w:jc w:val="left"/>
            </w:pPr>
          </w:p>
        </w:tc>
      </w:tr>
      <w:tr w:rsidR="008A7910" w:rsidRPr="00043B8D" w14:paraId="621B85B5" w14:textId="77777777" w:rsidTr="009F11D7">
        <w:tc>
          <w:tcPr>
            <w:tcW w:w="850" w:type="dxa"/>
          </w:tcPr>
          <w:p w14:paraId="50C41D1D" w14:textId="77777777" w:rsidR="008A7910" w:rsidRPr="00043B8D" w:rsidRDefault="008A7910" w:rsidP="008A7910">
            <w:pPr>
              <w:jc w:val="center"/>
            </w:pPr>
            <w:r w:rsidRPr="00043B8D">
              <w:t>640/8</w:t>
            </w:r>
          </w:p>
        </w:tc>
        <w:tc>
          <w:tcPr>
            <w:tcW w:w="2944" w:type="dxa"/>
          </w:tcPr>
          <w:p w14:paraId="0E9DC1BF" w14:textId="77777777" w:rsidR="008A7910" w:rsidRPr="00043B8D" w:rsidRDefault="008A7910" w:rsidP="003116C7">
            <w:pPr>
              <w:jc w:val="left"/>
            </w:pPr>
            <w:r w:rsidRPr="00043B8D">
              <w:t>Andere bedrijfskosten</w:t>
            </w:r>
          </w:p>
        </w:tc>
        <w:tc>
          <w:tcPr>
            <w:tcW w:w="911" w:type="dxa"/>
            <w:vMerge w:val="restart"/>
          </w:tcPr>
          <w:p w14:paraId="551E788E" w14:textId="77777777" w:rsidR="008A7910" w:rsidRPr="00043B8D" w:rsidRDefault="008A7910" w:rsidP="008A7910">
            <w:pPr>
              <w:jc w:val="center"/>
            </w:pPr>
            <w:r w:rsidRPr="00043B8D">
              <w:t>74</w:t>
            </w:r>
          </w:p>
        </w:tc>
        <w:tc>
          <w:tcPr>
            <w:tcW w:w="3058" w:type="dxa"/>
            <w:vMerge w:val="restart"/>
          </w:tcPr>
          <w:p w14:paraId="0D03B3F5" w14:textId="77777777" w:rsidR="008A7910" w:rsidRPr="00043B8D" w:rsidRDefault="008A7910" w:rsidP="003116C7">
            <w:pPr>
              <w:jc w:val="left"/>
            </w:pPr>
            <w:r w:rsidRPr="00043B8D">
              <w:t>Andere bedrijfsopbrengsten</w:t>
            </w:r>
          </w:p>
        </w:tc>
      </w:tr>
      <w:tr w:rsidR="008A7910" w:rsidRPr="00043B8D" w14:paraId="108EF714" w14:textId="77777777" w:rsidTr="009F11D7">
        <w:tc>
          <w:tcPr>
            <w:tcW w:w="850" w:type="dxa"/>
          </w:tcPr>
          <w:p w14:paraId="54E56A70" w14:textId="77777777" w:rsidR="008A7910" w:rsidRPr="00043B8D" w:rsidRDefault="008A7910" w:rsidP="008A7910">
            <w:pPr>
              <w:jc w:val="center"/>
            </w:pPr>
            <w:r w:rsidRPr="00043B8D">
              <w:t>649</w:t>
            </w:r>
          </w:p>
        </w:tc>
        <w:tc>
          <w:tcPr>
            <w:tcW w:w="2944" w:type="dxa"/>
          </w:tcPr>
          <w:p w14:paraId="003123EE" w14:textId="77777777" w:rsidR="008A7910" w:rsidRPr="00043B8D" w:rsidRDefault="008A7910" w:rsidP="003116C7">
            <w:pPr>
              <w:jc w:val="left"/>
            </w:pPr>
            <w:r w:rsidRPr="00043B8D">
              <w:t>Als herstructureringskosten geactiveerde bedrijfskosten</w:t>
            </w:r>
          </w:p>
        </w:tc>
        <w:tc>
          <w:tcPr>
            <w:tcW w:w="911" w:type="dxa"/>
            <w:vMerge/>
          </w:tcPr>
          <w:p w14:paraId="783C21BF" w14:textId="77777777" w:rsidR="008A7910" w:rsidRPr="00043B8D" w:rsidRDefault="008A7910" w:rsidP="008A7910">
            <w:pPr>
              <w:jc w:val="center"/>
            </w:pPr>
          </w:p>
        </w:tc>
        <w:tc>
          <w:tcPr>
            <w:tcW w:w="3058" w:type="dxa"/>
            <w:vMerge/>
          </w:tcPr>
          <w:p w14:paraId="35E796BF" w14:textId="77777777" w:rsidR="008A7910" w:rsidRPr="00043B8D" w:rsidRDefault="008A7910" w:rsidP="003116C7">
            <w:pPr>
              <w:jc w:val="left"/>
            </w:pPr>
          </w:p>
        </w:tc>
      </w:tr>
      <w:tr w:rsidR="008A7910" w:rsidRPr="00043B8D" w14:paraId="61E4E7E3" w14:textId="77777777" w:rsidTr="009F11D7">
        <w:tc>
          <w:tcPr>
            <w:tcW w:w="850" w:type="dxa"/>
          </w:tcPr>
          <w:p w14:paraId="57A97E00" w14:textId="77777777" w:rsidR="008A7910" w:rsidRPr="00043B8D" w:rsidRDefault="008A7910" w:rsidP="008A7910">
            <w:pPr>
              <w:jc w:val="center"/>
            </w:pPr>
            <w:r w:rsidRPr="00043B8D">
              <w:t>66</w:t>
            </w:r>
          </w:p>
        </w:tc>
        <w:tc>
          <w:tcPr>
            <w:tcW w:w="2944" w:type="dxa"/>
          </w:tcPr>
          <w:p w14:paraId="1C53A7A2" w14:textId="77777777" w:rsidR="008A7910" w:rsidRPr="00043B8D" w:rsidRDefault="008A7910" w:rsidP="003116C7">
            <w:pPr>
              <w:jc w:val="left"/>
            </w:pPr>
            <w:r w:rsidRPr="00043B8D">
              <w:t>Uitzonderlijke kosten</w:t>
            </w:r>
          </w:p>
        </w:tc>
        <w:tc>
          <w:tcPr>
            <w:tcW w:w="911" w:type="dxa"/>
          </w:tcPr>
          <w:p w14:paraId="5052BF54" w14:textId="77777777" w:rsidR="008A7910" w:rsidRPr="00043B8D" w:rsidRDefault="008A7910" w:rsidP="008A7910">
            <w:pPr>
              <w:jc w:val="center"/>
            </w:pPr>
            <w:r w:rsidRPr="00043B8D">
              <w:t>76</w:t>
            </w:r>
          </w:p>
        </w:tc>
        <w:tc>
          <w:tcPr>
            <w:tcW w:w="3058" w:type="dxa"/>
          </w:tcPr>
          <w:p w14:paraId="1182CC51" w14:textId="77777777" w:rsidR="008A7910" w:rsidRPr="00043B8D" w:rsidRDefault="008A7910" w:rsidP="003116C7">
            <w:pPr>
              <w:jc w:val="left"/>
            </w:pPr>
            <w:r w:rsidRPr="00043B8D">
              <w:t>Uitzonderlijke opbrengsten</w:t>
            </w:r>
          </w:p>
        </w:tc>
      </w:tr>
    </w:tbl>
    <w:p w14:paraId="0934B055" w14:textId="77777777" w:rsidR="00132786" w:rsidRPr="00043B8D" w:rsidRDefault="00132786" w:rsidP="007514A4"/>
    <w:p w14:paraId="24D60152" w14:textId="37680BE1" w:rsidR="001D2D9B" w:rsidRPr="00043B8D" w:rsidRDefault="00A22B60" w:rsidP="007514A4">
      <w:r w:rsidRPr="00043B8D">
        <w:t>Ten tweede</w:t>
      </w:r>
      <w:r w:rsidR="00481F3A" w:rsidRPr="00043B8D">
        <w:t>, indien de</w:t>
      </w:r>
      <w:r w:rsidR="0084626E" w:rsidRPr="00043B8D">
        <w:t xml:space="preserve"> </w:t>
      </w:r>
      <w:r w:rsidRPr="00043B8D">
        <w:t xml:space="preserve">hierna </w:t>
      </w:r>
      <w:r w:rsidR="0084626E" w:rsidRPr="00043B8D">
        <w:t xml:space="preserve">volgende </w:t>
      </w:r>
      <w:r w:rsidR="001D2D9B" w:rsidRPr="00043B8D">
        <w:t xml:space="preserve">kosten en opbrengsten in bovenstaande lijst </w:t>
      </w:r>
      <w:r w:rsidR="00481F3A" w:rsidRPr="00043B8D">
        <w:t>(</w:t>
      </w:r>
      <w:r w:rsidR="00481F3A" w:rsidRPr="00043B8D">
        <w:fldChar w:fldCharType="begin"/>
      </w:r>
      <w:r w:rsidR="00481F3A" w:rsidRPr="00043B8D">
        <w:instrText xml:space="preserve"> REF _Ref391540384 \h </w:instrText>
      </w:r>
      <w:r w:rsidR="00043B8D">
        <w:instrText xml:space="preserve"> \* MERGEFORMAT </w:instrText>
      </w:r>
      <w:r w:rsidR="00481F3A" w:rsidRPr="00043B8D">
        <w:fldChar w:fldCharType="separate"/>
      </w:r>
      <w:r w:rsidR="00B30F9B" w:rsidRPr="00043B8D">
        <w:t xml:space="preserve">Tabel </w:t>
      </w:r>
      <w:r w:rsidR="00B30F9B">
        <w:rPr>
          <w:noProof/>
        </w:rPr>
        <w:t>2</w:t>
      </w:r>
      <w:r w:rsidR="00481F3A" w:rsidRPr="00043B8D">
        <w:fldChar w:fldCharType="end"/>
      </w:r>
      <w:r w:rsidR="00481F3A" w:rsidRPr="00043B8D">
        <w:t xml:space="preserve">) </w:t>
      </w:r>
      <w:r w:rsidR="001D2D9B" w:rsidRPr="00043B8D">
        <w:t xml:space="preserve">zijn opgenomen, dienen ze te worden </w:t>
      </w:r>
      <w:r w:rsidR="00481F3A" w:rsidRPr="00043B8D">
        <w:t>verwijderd</w:t>
      </w:r>
      <w:r w:rsidR="00B41072" w:rsidRPr="00043B8D">
        <w:t xml:space="preserve"> omdat ze niet worden </w:t>
      </w:r>
      <w:r w:rsidR="008D06AB" w:rsidRPr="00043B8D">
        <w:t>beschouwd</w:t>
      </w:r>
      <w:r w:rsidR="00B41072" w:rsidRPr="00043B8D">
        <w:t xml:space="preserve"> als operationele kosten of </w:t>
      </w:r>
      <w:r w:rsidR="00656322" w:rsidRPr="00043B8D">
        <w:t>-</w:t>
      </w:r>
      <w:r w:rsidR="00B41072" w:rsidRPr="00043B8D">
        <w:t>opbrengsten voor verdere verwerking in de tariefmethodologie</w:t>
      </w:r>
      <w:r w:rsidR="00656322" w:rsidRPr="00043B8D">
        <w:t>:</w:t>
      </w:r>
    </w:p>
    <w:p w14:paraId="40FD644E" w14:textId="77777777" w:rsidR="007514A4" w:rsidRPr="00043B8D" w:rsidRDefault="007514A4" w:rsidP="007514A4"/>
    <w:p w14:paraId="53FDE30B" w14:textId="77777777" w:rsidR="00481F3A" w:rsidRPr="00043B8D" w:rsidRDefault="007514A4" w:rsidP="00B376D5">
      <w:pPr>
        <w:numPr>
          <w:ilvl w:val="1"/>
          <w:numId w:val="15"/>
        </w:numPr>
        <w:ind w:left="720"/>
      </w:pPr>
      <w:r w:rsidRPr="00043B8D">
        <w:t>De kosten die als exogeen worden beschouwd</w:t>
      </w:r>
      <w:r w:rsidR="00481F3A" w:rsidRPr="00043B8D">
        <w:t>.</w:t>
      </w:r>
    </w:p>
    <w:p w14:paraId="4DFC0D9D" w14:textId="2D9C83C4" w:rsidR="007514A4" w:rsidRPr="00043B8D" w:rsidRDefault="00481F3A" w:rsidP="00B376D5">
      <w:pPr>
        <w:numPr>
          <w:ilvl w:val="2"/>
          <w:numId w:val="15"/>
        </w:numPr>
      </w:pPr>
      <w:r w:rsidRPr="00043B8D">
        <w:t>Deze kosten worden op een andere wijze verwerk</w:t>
      </w:r>
      <w:r w:rsidR="00AF631B" w:rsidRPr="00043B8D">
        <w:t>t in de tariefmethodologie</w:t>
      </w:r>
      <w:r w:rsidRPr="00043B8D">
        <w:t xml:space="preserve"> (</w:t>
      </w:r>
      <w:r w:rsidR="002B75C5" w:rsidRPr="00043B8D">
        <w:t>par</w:t>
      </w:r>
      <w:r w:rsidR="00AF631B" w:rsidRPr="00043B8D">
        <w:t>.</w:t>
      </w:r>
      <w:r w:rsidR="002B75C5" w:rsidRPr="00043B8D">
        <w:t xml:space="preserve"> </w:t>
      </w:r>
      <w:r w:rsidR="007514A4" w:rsidRPr="00043B8D">
        <w:fldChar w:fldCharType="begin"/>
      </w:r>
      <w:r w:rsidR="007514A4" w:rsidRPr="00043B8D">
        <w:instrText xml:space="preserve"> REF _Ref363651894 \r \h </w:instrText>
      </w:r>
      <w:r w:rsidR="00043B8D">
        <w:instrText xml:space="preserve"> \* MERGEFORMAT </w:instrText>
      </w:r>
      <w:r w:rsidR="007514A4" w:rsidRPr="00043B8D">
        <w:fldChar w:fldCharType="separate"/>
      </w:r>
      <w:r w:rsidR="00B30F9B">
        <w:t>5.4</w:t>
      </w:r>
      <w:r w:rsidR="007514A4" w:rsidRPr="00043B8D">
        <w:fldChar w:fldCharType="end"/>
      </w:r>
      <w:r w:rsidR="009A5C25" w:rsidRPr="00043B8D">
        <w:t>);</w:t>
      </w:r>
    </w:p>
    <w:p w14:paraId="59A31A19" w14:textId="77777777" w:rsidR="007514A4" w:rsidRPr="00043B8D" w:rsidRDefault="007514A4" w:rsidP="007514A4">
      <w:pPr>
        <w:ind w:left="720"/>
      </w:pPr>
    </w:p>
    <w:p w14:paraId="612D17A8" w14:textId="77777777" w:rsidR="007514A4" w:rsidRPr="00043B8D" w:rsidRDefault="007514A4" w:rsidP="00B376D5">
      <w:pPr>
        <w:numPr>
          <w:ilvl w:val="1"/>
          <w:numId w:val="15"/>
        </w:numPr>
        <w:ind w:left="720"/>
      </w:pPr>
      <w:r w:rsidRPr="00043B8D">
        <w:t xml:space="preserve">De andere niet-exogene kostengroepen: </w:t>
      </w:r>
    </w:p>
    <w:p w14:paraId="19F17B6C" w14:textId="6877C58D" w:rsidR="007514A4" w:rsidRPr="00043B8D" w:rsidRDefault="007514A4" w:rsidP="00B376D5">
      <w:pPr>
        <w:numPr>
          <w:ilvl w:val="2"/>
          <w:numId w:val="15"/>
        </w:numPr>
      </w:pPr>
      <w:r w:rsidRPr="00043B8D">
        <w:t>De afschrijvingen (</w:t>
      </w:r>
      <w:r w:rsidR="002B75C5" w:rsidRPr="00043B8D">
        <w:t>par</w:t>
      </w:r>
      <w:r w:rsidR="00AF631B" w:rsidRPr="00043B8D">
        <w:t>.</w:t>
      </w:r>
      <w:r w:rsidR="002B75C5" w:rsidRPr="00043B8D">
        <w:t xml:space="preserve"> </w:t>
      </w:r>
      <w:r w:rsidRPr="00043B8D">
        <w:fldChar w:fldCharType="begin"/>
      </w:r>
      <w:r w:rsidRPr="00043B8D">
        <w:instrText xml:space="preserve"> REF _Ref363650267 \r \h </w:instrText>
      </w:r>
      <w:r w:rsidR="00043B8D">
        <w:instrText xml:space="preserve"> \* MERGEFORMAT </w:instrText>
      </w:r>
      <w:r w:rsidRPr="00043B8D">
        <w:fldChar w:fldCharType="separate"/>
      </w:r>
      <w:r w:rsidR="00B30F9B">
        <w:t>5.3.1</w:t>
      </w:r>
      <w:r w:rsidRPr="00043B8D">
        <w:fldChar w:fldCharType="end"/>
      </w:r>
      <w:r w:rsidRPr="00043B8D">
        <w:t>)</w:t>
      </w:r>
      <w:r w:rsidR="00481F3A" w:rsidRPr="00043B8D">
        <w:t>, die algemeen niet als operationele kosten beschouwd worden</w:t>
      </w:r>
      <w:r w:rsidR="009A5C25" w:rsidRPr="00043B8D">
        <w:t>;</w:t>
      </w:r>
      <w:r w:rsidRPr="00043B8D">
        <w:t xml:space="preserve"> </w:t>
      </w:r>
    </w:p>
    <w:p w14:paraId="6018AD95" w14:textId="55E299C6" w:rsidR="007514A4" w:rsidRPr="00043B8D" w:rsidRDefault="007514A4" w:rsidP="00B376D5">
      <w:pPr>
        <w:numPr>
          <w:ilvl w:val="2"/>
          <w:numId w:val="15"/>
        </w:numPr>
      </w:pPr>
      <w:r w:rsidRPr="00043B8D">
        <w:t xml:space="preserve">De financiële kosten en </w:t>
      </w:r>
      <w:r w:rsidR="002B75C5" w:rsidRPr="00043B8D">
        <w:t>-</w:t>
      </w:r>
      <w:r w:rsidRPr="00043B8D">
        <w:t>opbrengsten van de distributienetbeheerder evenals zijn transactiekosten m.b.t. aantrekken en vastleggen van financiering</w:t>
      </w:r>
      <w:r w:rsidR="00481F3A" w:rsidRPr="00043B8D">
        <w:t>,</w:t>
      </w:r>
      <w:r w:rsidR="008D06AB" w:rsidRPr="00043B8D">
        <w:t xml:space="preserve"> voor zover deze niet onder financiële kosten </w:t>
      </w:r>
      <w:r w:rsidR="00933F05" w:rsidRPr="00043B8D">
        <w:t>en -</w:t>
      </w:r>
      <w:r w:rsidR="008D06AB" w:rsidRPr="00043B8D">
        <w:t>opbrengsten worden</w:t>
      </w:r>
      <w:r w:rsidR="00933F05" w:rsidRPr="00043B8D">
        <w:t xml:space="preserve"> geboekt, </w:t>
      </w:r>
      <w:r w:rsidR="00481F3A" w:rsidRPr="00043B8D">
        <w:t>waarvoor de VREG de hoogte van de kapitaalkostenvergoeding in de tariefmethodologie voorziet</w:t>
      </w:r>
      <w:r w:rsidRPr="00043B8D">
        <w:t xml:space="preserve"> (</w:t>
      </w:r>
      <w:r w:rsidR="002B75C5" w:rsidRPr="00043B8D">
        <w:t>par</w:t>
      </w:r>
      <w:r w:rsidR="00AF631B" w:rsidRPr="00043B8D">
        <w:t>.</w:t>
      </w:r>
      <w:r w:rsidR="002B75C5" w:rsidRPr="00043B8D">
        <w:t xml:space="preserve"> </w:t>
      </w:r>
      <w:r w:rsidRPr="00043B8D">
        <w:fldChar w:fldCharType="begin"/>
      </w:r>
      <w:r w:rsidRPr="00043B8D">
        <w:instrText xml:space="preserve"> REF _Ref363651144 \r \h </w:instrText>
      </w:r>
      <w:r w:rsidR="00043B8D">
        <w:instrText xml:space="preserve"> \* MERGEFORMAT </w:instrText>
      </w:r>
      <w:r w:rsidRPr="00043B8D">
        <w:fldChar w:fldCharType="separate"/>
      </w:r>
      <w:r w:rsidR="00B30F9B">
        <w:t>5.3.3</w:t>
      </w:r>
      <w:r w:rsidRPr="00043B8D">
        <w:fldChar w:fldCharType="end"/>
      </w:r>
      <w:r w:rsidRPr="00043B8D">
        <w:t>)</w:t>
      </w:r>
      <w:r w:rsidR="009A5C25" w:rsidRPr="00043B8D">
        <w:t>;</w:t>
      </w:r>
      <w:r w:rsidRPr="00043B8D">
        <w:t xml:space="preserve"> </w:t>
      </w:r>
    </w:p>
    <w:p w14:paraId="2DC814AE" w14:textId="77777777" w:rsidR="007514A4" w:rsidRPr="00043B8D" w:rsidRDefault="007514A4" w:rsidP="007514A4">
      <w:pPr>
        <w:ind w:left="720"/>
      </w:pPr>
    </w:p>
    <w:p w14:paraId="6FCE3219" w14:textId="77777777" w:rsidR="007514A4" w:rsidRPr="00043B8D" w:rsidRDefault="007514A4" w:rsidP="00B376D5">
      <w:pPr>
        <w:numPr>
          <w:ilvl w:val="1"/>
          <w:numId w:val="15"/>
        </w:numPr>
        <w:ind w:left="720"/>
      </w:pPr>
      <w:r w:rsidRPr="00043B8D">
        <w:t xml:space="preserve">De </w:t>
      </w:r>
      <w:r w:rsidR="009A5C25" w:rsidRPr="00043B8D">
        <w:t>burgerlijke geldboetes, administratieve geldboetes en strafrechtelijke geldboetes</w:t>
      </w:r>
      <w:r w:rsidR="00B51B37" w:rsidRPr="00043B8D">
        <w:t>.</w:t>
      </w:r>
    </w:p>
    <w:p w14:paraId="5464CF95" w14:textId="3639C471" w:rsidR="00B51B37" w:rsidRPr="00043B8D" w:rsidRDefault="00B51B37" w:rsidP="00B376D5">
      <w:pPr>
        <w:numPr>
          <w:ilvl w:val="2"/>
          <w:numId w:val="15"/>
        </w:numPr>
      </w:pPr>
      <w:r w:rsidRPr="00043B8D">
        <w:t xml:space="preserve">De VREG wenst geen toegelaten inkomsten te baseren op deze kosten, </w:t>
      </w:r>
      <w:r w:rsidR="00AF631B" w:rsidRPr="00043B8D">
        <w:t>die het gevolg zijn van een in</w:t>
      </w:r>
      <w:r w:rsidRPr="00043B8D">
        <w:t>correct handelen door de distributienetbeheerder. Deze kosten zijn voor rekening van de onderneming;</w:t>
      </w:r>
    </w:p>
    <w:p w14:paraId="64B292BA" w14:textId="77777777" w:rsidR="007514A4" w:rsidRPr="00043B8D" w:rsidRDefault="007514A4" w:rsidP="007514A4">
      <w:pPr>
        <w:ind w:left="1440"/>
      </w:pPr>
    </w:p>
    <w:p w14:paraId="177C1C04" w14:textId="3CBC0603" w:rsidR="005824B7" w:rsidRPr="00043B8D" w:rsidRDefault="007514A4" w:rsidP="00B376D5">
      <w:pPr>
        <w:numPr>
          <w:ilvl w:val="1"/>
          <w:numId w:val="15"/>
        </w:numPr>
        <w:ind w:left="720"/>
      </w:pPr>
      <w:r w:rsidRPr="00043B8D">
        <w:t xml:space="preserve">De boekhoudkundige aanleg en afbouw van voorzieningen voor risico’s en kosten (MAR </w:t>
      </w:r>
      <w:r w:rsidR="00235789" w:rsidRPr="00043B8D">
        <w:t xml:space="preserve">klasse </w:t>
      </w:r>
      <w:r w:rsidR="009A5C25" w:rsidRPr="00043B8D">
        <w:t>635 t.e.m. 637, 662 en 762)</w:t>
      </w:r>
      <w:r w:rsidR="005824B7" w:rsidRPr="00043B8D">
        <w:t>.</w:t>
      </w:r>
    </w:p>
    <w:p w14:paraId="5D58AB65" w14:textId="77777777" w:rsidR="007514A4" w:rsidRPr="00043B8D" w:rsidRDefault="007514A4" w:rsidP="00B376D5">
      <w:pPr>
        <w:numPr>
          <w:ilvl w:val="2"/>
          <w:numId w:val="15"/>
        </w:numPr>
      </w:pPr>
      <w:r w:rsidRPr="00043B8D">
        <w:t xml:space="preserve">De VREG wenst geen invloed van de boekhoudkundige bewegingen rond voorzieningen in de tariefmethodologie ter bepaling van de distributienettarieven. </w:t>
      </w:r>
      <w:r w:rsidRPr="00043B8D">
        <w:rPr>
          <w:rFonts w:cs="Tahoma"/>
        </w:rPr>
        <w:t xml:space="preserve">Voorzieningen dienen ter dekking van bepaalde verliezen of kosten waarvan het bedrag nog niet vaststaat. De werkelijke kosten zijn onzeker. De VREG wenst de toegelaten inkomsten consequent te bepalen op basis van de werkelijke kosten in plaats van de voorzieningen </w:t>
      </w:r>
      <w:r w:rsidR="00235789" w:rsidRPr="00043B8D">
        <w:rPr>
          <w:rFonts w:cs="Tahoma"/>
        </w:rPr>
        <w:t>hier</w:t>
      </w:r>
      <w:r w:rsidRPr="00043B8D">
        <w:rPr>
          <w:rFonts w:cs="Tahoma"/>
        </w:rPr>
        <w:t xml:space="preserve">voor. Aldus wordt </w:t>
      </w:r>
      <w:r w:rsidR="00A70500" w:rsidRPr="00043B8D">
        <w:rPr>
          <w:rFonts w:cs="Tahoma"/>
        </w:rPr>
        <w:t xml:space="preserve">ook </w:t>
      </w:r>
      <w:r w:rsidRPr="00043B8D">
        <w:rPr>
          <w:rFonts w:cs="Tahoma"/>
        </w:rPr>
        <w:t>de mogelijkheid uitgesloten tot beïnvloeding van de berekening van het toegelaten inkomen door distributienetbeheerders via aan</w:t>
      </w:r>
      <w:r w:rsidR="009A5C25" w:rsidRPr="00043B8D">
        <w:rPr>
          <w:rFonts w:cs="Tahoma"/>
        </w:rPr>
        <w:t>leg en afbouw van voorzieningen;</w:t>
      </w:r>
    </w:p>
    <w:p w14:paraId="2DB426C5" w14:textId="77777777" w:rsidR="007514A4" w:rsidRPr="00043B8D" w:rsidRDefault="007514A4" w:rsidP="007514A4">
      <w:pPr>
        <w:ind w:left="1440"/>
      </w:pPr>
    </w:p>
    <w:p w14:paraId="73402EAD" w14:textId="77777777" w:rsidR="00A70500" w:rsidRPr="00043B8D" w:rsidRDefault="003D1ACF" w:rsidP="00B376D5">
      <w:pPr>
        <w:numPr>
          <w:ilvl w:val="1"/>
          <w:numId w:val="15"/>
        </w:numPr>
        <w:ind w:left="720"/>
      </w:pPr>
      <w:r w:rsidRPr="00043B8D">
        <w:t xml:space="preserve">De, in het verleden, door de CREG </w:t>
      </w:r>
      <w:r w:rsidR="00A70500" w:rsidRPr="00043B8D">
        <w:t xml:space="preserve">aan de distributienetbeheerder </w:t>
      </w:r>
      <w:r w:rsidRPr="00043B8D">
        <w:t xml:space="preserve">opgelegde correcties met betrekking tot </w:t>
      </w:r>
      <w:r w:rsidR="00A70500" w:rsidRPr="00043B8D">
        <w:t xml:space="preserve">zijn </w:t>
      </w:r>
      <w:r w:rsidRPr="00043B8D">
        <w:t>billijke vergoeding</w:t>
      </w:r>
      <w:r w:rsidR="009A5C25" w:rsidRPr="00043B8D">
        <w:t>;</w:t>
      </w:r>
    </w:p>
    <w:p w14:paraId="004B9E42" w14:textId="59BFE7FB" w:rsidR="00A70500" w:rsidRPr="00043B8D" w:rsidRDefault="00A70500" w:rsidP="00B376D5">
      <w:pPr>
        <w:pStyle w:val="Lijstalinea"/>
        <w:numPr>
          <w:ilvl w:val="2"/>
          <w:numId w:val="15"/>
        </w:numPr>
      </w:pPr>
      <w:r w:rsidRPr="00043B8D">
        <w:t xml:space="preserve">De distributienetbeheerder berekende eerst zelf zijn billijke vergoeding in de jaarrekening, volgens de instructies in de toenmalige tariefmethodologie, waarna de regulator de </w:t>
      </w:r>
      <w:r w:rsidR="005E06C5" w:rsidRPr="00043B8D">
        <w:t>rapporteringen</w:t>
      </w:r>
      <w:r w:rsidRPr="00043B8D">
        <w:t xml:space="preserve"> controleerde en desgevallend een correctie oplegde.</w:t>
      </w:r>
      <w:r w:rsidR="00635E4F" w:rsidRPr="00043B8D">
        <w:t xml:space="preserve"> De VREG beschouwt de impact van de correcties opgelegd door de CREG op de billijke vergoedingen van de distributienetbeheerder niet als operationele kosten en opbrengsten. Ze hebben betrekking op de kapitaalkostenvergoeding, waarvoor de VREG een afzonderlijke benadering hanteert (volgende paragraaf). Omdat de uitgevoerde correcties kunnen verweven zijn met andere opgelegde correcties, wordt aan de distributienetbeheerder gevraagd de correcties afzonderlijk toe te lichten (par. 9.6).</w:t>
      </w:r>
    </w:p>
    <w:p w14:paraId="700303BE" w14:textId="77777777" w:rsidR="00514338" w:rsidRPr="00043B8D" w:rsidRDefault="00514338" w:rsidP="00A70500"/>
    <w:p w14:paraId="3EB391F3" w14:textId="77777777" w:rsidR="00672E91" w:rsidRPr="00043B8D" w:rsidRDefault="003D1ACF" w:rsidP="00B376D5">
      <w:pPr>
        <w:numPr>
          <w:ilvl w:val="1"/>
          <w:numId w:val="15"/>
        </w:numPr>
        <w:ind w:left="720"/>
      </w:pPr>
      <w:r w:rsidRPr="00043B8D">
        <w:t>De boekhoudkundige toevoeging en terugname van uitzonderlijke waardeverminderingen op financiële vaste activa (MAR klasse 661 en 761)</w:t>
      </w:r>
      <w:r w:rsidR="009A5C25" w:rsidRPr="00043B8D">
        <w:t>;</w:t>
      </w:r>
    </w:p>
    <w:p w14:paraId="3D7CD42A" w14:textId="15AD1DB6" w:rsidR="008D06AB" w:rsidRPr="00043B8D" w:rsidRDefault="00970FF6" w:rsidP="00B376D5">
      <w:pPr>
        <w:numPr>
          <w:ilvl w:val="2"/>
          <w:numId w:val="15"/>
        </w:numPr>
      </w:pPr>
      <w:r w:rsidRPr="00043B8D">
        <w:t xml:space="preserve">De financiële vaste activa </w:t>
      </w:r>
      <w:r w:rsidR="00A25524" w:rsidRPr="00043B8D">
        <w:t xml:space="preserve">(MAR klasse 28) </w:t>
      </w:r>
      <w:r w:rsidRPr="00043B8D">
        <w:t>worden niet in rekening genomen voor de bepaling van de kapitaalkosten</w:t>
      </w:r>
      <w:r w:rsidR="0095100C" w:rsidRPr="00043B8D">
        <w:t xml:space="preserve"> (noch als onderdeel van de gereguleerde vaste activa, noch als onderdeel van het nettobedrijfskapitaal)</w:t>
      </w:r>
      <w:r w:rsidRPr="00043B8D">
        <w:t xml:space="preserve"> en bijgevolg wordt ook haar impact op de resultatenrekening niet in beschouwing genomen</w:t>
      </w:r>
      <w:r w:rsidR="0095100C" w:rsidRPr="00043B8D">
        <w:t xml:space="preserve"> ter bepaling van het toegelaten inkomen voor de niet-exogene kosten</w:t>
      </w:r>
      <w:r w:rsidRPr="00043B8D">
        <w:t>.</w:t>
      </w:r>
    </w:p>
    <w:p w14:paraId="749A2E42" w14:textId="77777777" w:rsidR="0084374B" w:rsidRPr="00043B8D" w:rsidRDefault="0084374B" w:rsidP="00CD31DA">
      <w:pPr>
        <w:ind w:left="2160"/>
      </w:pPr>
    </w:p>
    <w:p w14:paraId="6A5B12DC" w14:textId="7846FB60" w:rsidR="0084374B" w:rsidRPr="00043B8D" w:rsidRDefault="00D334E3" w:rsidP="00B376D5">
      <w:pPr>
        <w:numPr>
          <w:ilvl w:val="1"/>
          <w:numId w:val="15"/>
        </w:numPr>
        <w:ind w:left="709"/>
      </w:pPr>
      <w:r w:rsidRPr="00043B8D">
        <w:t>Onderstaande</w:t>
      </w:r>
      <w:r w:rsidR="00C933B3" w:rsidRPr="00043B8D">
        <w:t xml:space="preserve"> aan de distributienetbeheerders aangerekende</w:t>
      </w:r>
      <w:r w:rsidR="0084374B" w:rsidRPr="00043B8D">
        <w:t xml:space="preserve"> exploitatievergoedingen worden niet in rekening genomen bij de bepaling van de operationele nettokosten:</w:t>
      </w:r>
    </w:p>
    <w:p w14:paraId="53BA8595" w14:textId="77A859A0" w:rsidR="0084374B" w:rsidRPr="00043B8D" w:rsidRDefault="0084374B" w:rsidP="00B376D5">
      <w:pPr>
        <w:numPr>
          <w:ilvl w:val="2"/>
          <w:numId w:val="15"/>
        </w:numPr>
      </w:pPr>
      <w:r w:rsidRPr="00043B8D">
        <w:t xml:space="preserve">Door Infrax cvba aan de distributienetbeheerders binnen de Infrax groep aangerekende exploitatievergoeding voor </w:t>
      </w:r>
      <w:r w:rsidR="001234EA" w:rsidRPr="00043B8D">
        <w:t>immateriële- en materiële vaste activa</w:t>
      </w:r>
      <w:r w:rsidRPr="00043B8D">
        <w:t xml:space="preserve"> geboekt in de balansen van Infrax cvba;</w:t>
      </w:r>
    </w:p>
    <w:p w14:paraId="74A1F995" w14:textId="04F1C798" w:rsidR="0084374B" w:rsidRPr="00043B8D" w:rsidRDefault="0084374B" w:rsidP="00B376D5">
      <w:pPr>
        <w:numPr>
          <w:ilvl w:val="2"/>
          <w:numId w:val="15"/>
        </w:numPr>
      </w:pPr>
      <w:r w:rsidRPr="00043B8D">
        <w:t>Door Infrax Limburg aan Inter-</w:t>
      </w:r>
      <w:r w:rsidR="00EB4ECB" w:rsidRPr="00043B8D">
        <w:t>E</w:t>
      </w:r>
      <w:r w:rsidRPr="00043B8D">
        <w:t xml:space="preserve">nerga aangerekende exploitatievergoeding voor </w:t>
      </w:r>
      <w:r w:rsidR="001234EA" w:rsidRPr="00043B8D">
        <w:t xml:space="preserve">immateriële- en </w:t>
      </w:r>
      <w:r w:rsidRPr="00043B8D">
        <w:t>materiële vaste activa geboekt in de balansen van Infrax Limburg;</w:t>
      </w:r>
    </w:p>
    <w:p w14:paraId="09F2FE28" w14:textId="67CCA51F" w:rsidR="00756E21" w:rsidRPr="00043B8D" w:rsidRDefault="0084374B" w:rsidP="00E954FB">
      <w:pPr>
        <w:ind w:left="709"/>
      </w:pPr>
      <w:r w:rsidRPr="00043B8D">
        <w:t xml:space="preserve">Door Etiz AGB (Autonoom Gemeentebedrijf Elektriciteit Izegem) aan Infrax West aangerekende exploitatievergoeding voor </w:t>
      </w:r>
      <w:r w:rsidR="001234EA" w:rsidRPr="00043B8D">
        <w:t xml:space="preserve">immateriële- en </w:t>
      </w:r>
      <w:r w:rsidRPr="00043B8D">
        <w:t>materiële vaste activa</w:t>
      </w:r>
      <w:r w:rsidR="00772F02" w:rsidRPr="00043B8D">
        <w:t xml:space="preserve"> geboekt in de balansen van Etiz AGB.</w:t>
      </w:r>
      <w:r w:rsidR="00EB4ECB" w:rsidRPr="00043B8D">
        <w:t xml:space="preserve"> </w:t>
      </w:r>
      <w:r w:rsidR="00E97811" w:rsidRPr="00043B8D">
        <w:t>Deze</w:t>
      </w:r>
      <w:r w:rsidR="00772F02" w:rsidRPr="00043B8D">
        <w:t xml:space="preserve"> exploitatievergoedingen omvatten zowel</w:t>
      </w:r>
      <w:r w:rsidR="00E97811" w:rsidRPr="00043B8D">
        <w:t xml:space="preserve"> de</w:t>
      </w:r>
      <w:r w:rsidR="00772F02" w:rsidRPr="00043B8D">
        <w:t xml:space="preserve"> afschrijvingskosten voor de beschouwde activa</w:t>
      </w:r>
      <w:r w:rsidR="00B40D53" w:rsidRPr="00043B8D">
        <w:t>, die in de balansen van de derde partijen w</w:t>
      </w:r>
      <w:r w:rsidR="00E97811" w:rsidRPr="00043B8D">
        <w:t>o</w:t>
      </w:r>
      <w:r w:rsidR="00B40D53" w:rsidRPr="00043B8D">
        <w:t>rden geboekt,</w:t>
      </w:r>
      <w:r w:rsidR="00772F02" w:rsidRPr="00043B8D">
        <w:t xml:space="preserve"> als een billijke vergoeding welke gebaseerd is op </w:t>
      </w:r>
      <w:r w:rsidR="0042412B" w:rsidRPr="00043B8D">
        <w:t xml:space="preserve">de </w:t>
      </w:r>
      <w:r w:rsidR="00E97811" w:rsidRPr="00043B8D">
        <w:t>RAB</w:t>
      </w:r>
      <w:r w:rsidR="00661F5E" w:rsidRPr="00043B8D">
        <w:t>.</w:t>
      </w:r>
      <w:r w:rsidR="00E97811" w:rsidRPr="00043B8D">
        <w:t xml:space="preserve"> Voor de beschouwde referentieperiode 2010-2013 werd deze billijke vergoeding berekend o.b.v de billijke vergoeding die de CREG </w:t>
      </w:r>
      <w:r w:rsidR="0042412B" w:rsidRPr="00043B8D">
        <w:t xml:space="preserve">toepaste </w:t>
      </w:r>
      <w:r w:rsidR="00E97811" w:rsidRPr="00043B8D">
        <w:t xml:space="preserve">in </w:t>
      </w:r>
      <w:r w:rsidR="0042412B" w:rsidRPr="00043B8D">
        <w:t xml:space="preserve">de </w:t>
      </w:r>
      <w:r w:rsidR="00E97811" w:rsidRPr="00043B8D">
        <w:t xml:space="preserve">tariefmethodologie </w:t>
      </w:r>
      <w:r w:rsidR="0042412B" w:rsidRPr="00043B8D">
        <w:t xml:space="preserve">volgens de tarieven-KB’s 2008 </w:t>
      </w:r>
      <w:r w:rsidR="00E97811" w:rsidRPr="00043B8D">
        <w:t xml:space="preserve">voor de </w:t>
      </w:r>
      <w:r w:rsidR="00CB160D" w:rsidRPr="00043B8D">
        <w:t>reguleringsperiode</w:t>
      </w:r>
      <w:r w:rsidR="00E97811" w:rsidRPr="00043B8D">
        <w:t xml:space="preserve"> 2009-2012.</w:t>
      </w:r>
      <w:r w:rsidR="00661F5E" w:rsidRPr="00043B8D">
        <w:t xml:space="preserve"> </w:t>
      </w:r>
      <w:r w:rsidR="00053470" w:rsidRPr="00043B8D">
        <w:t xml:space="preserve">De VREG zal de activa in de tariefmethodologie </w:t>
      </w:r>
      <w:r w:rsidR="00CD31DA" w:rsidRPr="00043B8D">
        <w:t xml:space="preserve">veronderstellen </w:t>
      </w:r>
      <w:r w:rsidR="00BC3594" w:rsidRPr="00043B8D">
        <w:t xml:space="preserve">als opgenomen </w:t>
      </w:r>
      <w:r w:rsidR="00053470" w:rsidRPr="00043B8D">
        <w:t>in de activa van de distributienetbeheerder die de exploitatievergoeding betaalt. De</w:t>
      </w:r>
      <w:r w:rsidR="00BC3594" w:rsidRPr="00043B8D">
        <w:t>ze</w:t>
      </w:r>
      <w:r w:rsidR="00053470" w:rsidRPr="00043B8D">
        <w:t xml:space="preserve"> </w:t>
      </w:r>
      <w:r w:rsidR="00BC3594" w:rsidRPr="00043B8D">
        <w:t xml:space="preserve">opgenomen </w:t>
      </w:r>
      <w:r w:rsidR="00053470" w:rsidRPr="00043B8D">
        <w:t>activa veroorzaken voor deze distributienetbeheerder in de tariefmethodologie dan volgende niet-exogene kosten: de afschrijvingskosten en de kapitaalkostenvergoeding</w:t>
      </w:r>
      <w:r w:rsidR="00C54778" w:rsidRPr="00043B8D">
        <w:t>.</w:t>
      </w:r>
      <w:r w:rsidR="00565AD2" w:rsidRPr="00043B8D">
        <w:t xml:space="preserve"> Voor de transparantie werd deze correctie door de VREG </w:t>
      </w:r>
      <w:r w:rsidR="00CB654E" w:rsidRPr="00043B8D">
        <w:t xml:space="preserve">voorzien </w:t>
      </w:r>
      <w:r w:rsidR="00565AD2" w:rsidRPr="00043B8D">
        <w:t xml:space="preserve">in de rapportering </w:t>
      </w:r>
      <w:r w:rsidR="00CB654E" w:rsidRPr="00043B8D">
        <w:t xml:space="preserve">van de </w:t>
      </w:r>
      <w:r w:rsidR="00565AD2" w:rsidRPr="00043B8D">
        <w:t>niet-exogene operationele kosten</w:t>
      </w:r>
      <w:r w:rsidR="00E75B5A" w:rsidRPr="00043B8D">
        <w:t xml:space="preserve"> (tabel 9</w:t>
      </w:r>
      <w:r w:rsidR="007D247E" w:rsidRPr="00043B8D">
        <w:t xml:space="preserve"> in bijlage 5</w:t>
      </w:r>
      <w:r w:rsidR="00CD31DA" w:rsidRPr="00043B8D">
        <w:t>)</w:t>
      </w:r>
      <w:r w:rsidR="00565AD2" w:rsidRPr="00043B8D">
        <w:t>.</w:t>
      </w:r>
      <w:r w:rsidR="00053470" w:rsidRPr="00043B8D">
        <w:t xml:space="preserve"> </w:t>
      </w:r>
      <w:r w:rsidR="003B36B3" w:rsidRPr="00043B8D">
        <w:t>Bijkomend kan worden opgemerkt dat de exploitatievergoeding die door Etiz AGB in 2010 en 2011 werd aangerekend aan Infrax West ook exploitatiekosten (zoals onderhoud, personeelskosten,…) omvatte. De VREG merkt op dat deze exploitatiekosten niet dienen te worden gecorrigeerd uit de operationele nettokosten. Vanaf 2012 is dit niet langer het geval vermits het personeel van Etiz AGB in 2012 werd overgedragen naar Infrax West.</w:t>
      </w:r>
    </w:p>
    <w:p w14:paraId="5EF3B9B3" w14:textId="1A10FF82" w:rsidR="006F2FFE" w:rsidRPr="00043B8D" w:rsidRDefault="001A049B" w:rsidP="00E954FB">
      <w:pPr>
        <w:ind w:left="709"/>
      </w:pPr>
      <w:r w:rsidRPr="00043B8D">
        <w:t>[</w:t>
      </w:r>
    </w:p>
    <w:p w14:paraId="1C392268" w14:textId="64809DBD" w:rsidR="00397C51" w:rsidRPr="00043B8D" w:rsidRDefault="001A049B" w:rsidP="005251E2">
      <w:pPr>
        <w:numPr>
          <w:ilvl w:val="0"/>
          <w:numId w:val="30"/>
        </w:numPr>
      </w:pPr>
      <w:r w:rsidRPr="00043B8D">
        <w:t>De door Elia en andere distributienetbeheerders aan de distributienetbeheerder aangerekende bedragen en de door de distributienetbeheerder aan zijn toegangshouders en andere distributienetbeheerders doorgerekende bedragen inzake federale bijdrage elektriciteit, als respectievelijk kosten en opbrengsten m.b.t. federale bijdrage elektriciteit.]</w:t>
      </w:r>
      <w:r w:rsidRPr="00043B8D">
        <w:rPr>
          <w:rStyle w:val="Voetnootmarkering"/>
        </w:rPr>
        <w:footnoteReference w:id="19"/>
      </w:r>
    </w:p>
    <w:p w14:paraId="0CD5A8F9" w14:textId="77777777" w:rsidR="006F2FFE" w:rsidRDefault="006F2FFE" w:rsidP="006F2FFE"/>
    <w:p w14:paraId="1BB86371" w14:textId="00A2F44B" w:rsidR="00F407C0" w:rsidRPr="00F407C0" w:rsidRDefault="00F521F2" w:rsidP="00F407C0">
      <w:r w:rsidRPr="004900BF">
        <w:t>[</w:t>
      </w:r>
      <w:r w:rsidR="00110A98" w:rsidRPr="004900BF">
        <w:t xml:space="preserve">Bovendien wordt er voor gezorgd dat het jaarlijks saldo van de endogene kosten en opbrengsten van een elektriciteitsdistributienetbeheerder m.b.t. zijn oplaadpunten voor elektrische voertuigen, in zijn opdracht geïnstalleerd, gedurende de eerste 10 jaar na de initiële installatie niet in rekening worden genomen, overeenkomstig de bepalingen in </w:t>
      </w:r>
      <w:r w:rsidR="00F407C0" w:rsidRPr="004900BF">
        <w:t xml:space="preserve">par. </w:t>
      </w:r>
      <w:r w:rsidR="00F407C0" w:rsidRPr="004900BF">
        <w:fldChar w:fldCharType="begin"/>
      </w:r>
      <w:r w:rsidR="00F407C0" w:rsidRPr="004900BF">
        <w:instrText xml:space="preserve"> REF _Ref447806671 \r \h </w:instrText>
      </w:r>
      <w:r w:rsidR="00110A98" w:rsidRPr="004900BF">
        <w:instrText xml:space="preserve"> \* MERGEFORMAT </w:instrText>
      </w:r>
      <w:r w:rsidR="00F407C0" w:rsidRPr="004900BF">
        <w:fldChar w:fldCharType="separate"/>
      </w:r>
      <w:r w:rsidR="00F407C0" w:rsidRPr="004900BF">
        <w:t>5.6.2.8</w:t>
      </w:r>
      <w:r w:rsidR="00F407C0" w:rsidRPr="004900BF">
        <w:fldChar w:fldCharType="end"/>
      </w:r>
      <w:r w:rsidR="00F407C0" w:rsidRPr="004900BF">
        <w:t>.</w:t>
      </w:r>
      <w:r w:rsidRPr="004900BF">
        <w:t>]</w:t>
      </w:r>
      <w:r w:rsidRPr="004900BF">
        <w:rPr>
          <w:rStyle w:val="Voetnootmarkering"/>
        </w:rPr>
        <w:footnoteReference w:id="20"/>
      </w:r>
    </w:p>
    <w:p w14:paraId="1FB91DC9" w14:textId="77777777" w:rsidR="00F407C0" w:rsidRPr="00043B8D" w:rsidRDefault="00F407C0" w:rsidP="006F2FFE"/>
    <w:p w14:paraId="4A0D0711" w14:textId="71321BD1" w:rsidR="007514A4" w:rsidRPr="00043B8D" w:rsidRDefault="00672E91" w:rsidP="00756E21">
      <w:r w:rsidRPr="00043B8D">
        <w:t>D</w:t>
      </w:r>
      <w:r w:rsidR="00235789" w:rsidRPr="00043B8D">
        <w:t xml:space="preserve">e </w:t>
      </w:r>
      <w:r w:rsidR="00A51607" w:rsidRPr="00043B8D">
        <w:t xml:space="preserve">belastingen op het resultaat en de regularisering van belastingen en terugneming van fiscale voorzieningen (MAR klasse 67 en 77), de </w:t>
      </w:r>
      <w:r w:rsidR="00235789" w:rsidRPr="00043B8D">
        <w:t>boekhoudkundige overboekingen naar en onttrekkingen aan de belastingvrije reserves (MAR klasse 68 en 78)</w:t>
      </w:r>
      <w:r w:rsidR="00756E21" w:rsidRPr="00043B8D">
        <w:t xml:space="preserve"> en d</w:t>
      </w:r>
      <w:r w:rsidR="007514A4" w:rsidRPr="00043B8D">
        <w:t>e kosten en opbrengsten in de boekhouding in het kader van de winstverwerking (MAR</w:t>
      </w:r>
      <w:r w:rsidR="00235789" w:rsidRPr="00043B8D">
        <w:t xml:space="preserve"> klasse</w:t>
      </w:r>
      <w:r w:rsidR="007514A4" w:rsidRPr="00043B8D">
        <w:t xml:space="preserve"> 69 en 79)</w:t>
      </w:r>
      <w:r w:rsidR="00756E21" w:rsidRPr="00043B8D">
        <w:t xml:space="preserve"> </w:t>
      </w:r>
      <w:r w:rsidR="0087634A" w:rsidRPr="00043B8D">
        <w:t xml:space="preserve">zijn niet opgenomen in </w:t>
      </w:r>
      <w:r w:rsidR="0087634A" w:rsidRPr="00043B8D">
        <w:fldChar w:fldCharType="begin"/>
      </w:r>
      <w:r w:rsidR="0087634A" w:rsidRPr="00043B8D">
        <w:instrText xml:space="preserve"> REF _Ref391540384 \h </w:instrText>
      </w:r>
      <w:r w:rsidR="00043B8D">
        <w:instrText xml:space="preserve"> \* MERGEFORMAT </w:instrText>
      </w:r>
      <w:r w:rsidR="0087634A" w:rsidRPr="00043B8D">
        <w:fldChar w:fldCharType="separate"/>
      </w:r>
      <w:r w:rsidR="00B30F9B" w:rsidRPr="00043B8D">
        <w:t xml:space="preserve">Tabel </w:t>
      </w:r>
      <w:r w:rsidR="00B30F9B">
        <w:rPr>
          <w:noProof/>
        </w:rPr>
        <w:t>2</w:t>
      </w:r>
      <w:r w:rsidR="0087634A" w:rsidRPr="00043B8D">
        <w:fldChar w:fldCharType="end"/>
      </w:r>
      <w:r w:rsidR="0087634A" w:rsidRPr="00043B8D">
        <w:t xml:space="preserve"> omdat zij </w:t>
      </w:r>
      <w:r w:rsidR="00756E21" w:rsidRPr="00043B8D">
        <w:t xml:space="preserve">eveneens niet </w:t>
      </w:r>
      <w:r w:rsidR="0087634A" w:rsidRPr="00043B8D">
        <w:t xml:space="preserve">worden </w:t>
      </w:r>
      <w:r w:rsidR="00756E21" w:rsidRPr="00043B8D">
        <w:t>beschouwd als operationele kosten</w:t>
      </w:r>
      <w:r w:rsidR="00375C5E" w:rsidRPr="00043B8D">
        <w:t xml:space="preserve"> en </w:t>
      </w:r>
      <w:r w:rsidR="00AF5DD3" w:rsidRPr="00043B8D">
        <w:t>-</w:t>
      </w:r>
      <w:r w:rsidR="00375C5E" w:rsidRPr="00043B8D">
        <w:t>opbrengsten</w:t>
      </w:r>
      <w:r w:rsidR="007E2699" w:rsidRPr="00043B8D">
        <w:t xml:space="preserve"> m.b.t. de vaststelling van de niet-exogene kosten</w:t>
      </w:r>
      <w:r w:rsidR="00756E21" w:rsidRPr="00043B8D">
        <w:t>.</w:t>
      </w:r>
    </w:p>
    <w:p w14:paraId="70D4FC67" w14:textId="77777777" w:rsidR="007514A4" w:rsidRPr="00043B8D" w:rsidRDefault="007514A4" w:rsidP="00375C5E"/>
    <w:p w14:paraId="6ED1723B" w14:textId="2A62076E" w:rsidR="00F1788A" w:rsidRPr="00043B8D" w:rsidRDefault="00F1788A" w:rsidP="00F1788A">
      <w:r w:rsidRPr="00043B8D">
        <w:t xml:space="preserve">De VREG zal de gerapporteerde operationele kosten en </w:t>
      </w:r>
      <w:r w:rsidR="005E022C" w:rsidRPr="00043B8D">
        <w:t>-</w:t>
      </w:r>
      <w:r w:rsidRPr="00043B8D">
        <w:t xml:space="preserve">opbrengsten onderzoeken op en desgevallend corrigeren naar aanleiding van wijzigingen in de waarderingsregels van de distributienetbeheerder voor zijn vorderingen en voorraden. De VREG legt geen regulatorische boekhoudkundige voorschriften op wat betreft de waardering van vorderingen en voorraden  aangezien dit weinig zinvol is wegens de variëteit aan waarderingsmethodes. Daarom is het nodig eventuele wijzigingen in deze waarderingsregels door een distributienetbeheerder op te volgen, aangezien een dergelijke wijziging normaal een eenmalige extra kost of opbrengst veroorzaakt voor de distributienetbeheerder. Het is een storend element in de door de VREG gehanteerde methodiek ter vaststelling van de toegelaten inkomen voor de volgende reguleringsperiode, gebaseerd op de kosten uit het verleden. Zo’n eenmalige afwijking leidt tot een te hoog of te laag toegelaten inkomen. De VREG vraagt daarom bijkomende informatie op bij de distributienetbeheerders over de eventuele wijzigingen in hun waarderingsregels in de afgelopen jaren (par. </w:t>
      </w:r>
      <w:r w:rsidRPr="00043B8D">
        <w:fldChar w:fldCharType="begin"/>
      </w:r>
      <w:r w:rsidRPr="00043B8D">
        <w:instrText xml:space="preserve"> REF _Ref392585902 \r \h </w:instrText>
      </w:r>
      <w:r w:rsidR="00043B8D">
        <w:instrText xml:space="preserve"> \* MERGEFORMAT </w:instrText>
      </w:r>
      <w:r w:rsidRPr="00043B8D">
        <w:fldChar w:fldCharType="separate"/>
      </w:r>
      <w:r w:rsidR="00B30F9B">
        <w:t>10.6</w:t>
      </w:r>
      <w:r w:rsidRPr="00043B8D">
        <w:fldChar w:fldCharType="end"/>
      </w:r>
      <w:r w:rsidRPr="00043B8D">
        <w:t xml:space="preserve">), de hoogte van de eenmalige kost of opbrengst die de wijzigingen hebben veroorzaakt en de opdeling van de eenmalige extra kost of opbrengst over de voorgaande boekjaren. Overeenkomstig deze verdeling over de boekjaren zal de VREG de eenmalige kost of opbrengst in het jaar van de wijziging vervangen door de gespreide kosten of opbrengsten over de jaren. Eveneens overeenkomstig past de VREG de historische waarderingen in die jaren aan van de vorderingen en voorraden in de bepaling van de kapitaalkostvergoeding voor het nettobedrijfskapitaal. </w:t>
      </w:r>
    </w:p>
    <w:p w14:paraId="0418CE97" w14:textId="77777777" w:rsidR="00F1788A" w:rsidRPr="00043B8D" w:rsidRDefault="00F1788A" w:rsidP="00375C5E"/>
    <w:p w14:paraId="35E3E478" w14:textId="13AD6286" w:rsidR="007514A4" w:rsidRPr="00043B8D" w:rsidRDefault="007514A4" w:rsidP="007514A4">
      <w:r w:rsidRPr="00043B8D">
        <w:t xml:space="preserve">De opbrengsten van de distributienetbeheerder uit </w:t>
      </w:r>
      <w:r w:rsidR="00D6152B" w:rsidRPr="00043B8D">
        <w:t xml:space="preserve">zelf </w:t>
      </w:r>
      <w:r w:rsidRPr="00043B8D">
        <w:t>ontvangen schadevergoedingen, o.a. via verzekeringen</w:t>
      </w:r>
      <w:r w:rsidR="001108AA" w:rsidRPr="00043B8D">
        <w:t xml:space="preserve"> en van derden</w:t>
      </w:r>
      <w:r w:rsidRPr="00043B8D">
        <w:t xml:space="preserve">, worden beschouwd als niet-exogene (negatieve) kosten. </w:t>
      </w:r>
      <w:r w:rsidR="00EF69A5" w:rsidRPr="00043B8D">
        <w:t>Tegelijk</w:t>
      </w:r>
      <w:r w:rsidRPr="00043B8D">
        <w:t xml:space="preserve"> zal de VREG ook de kosten van schade aan de installaties van de distributienetbeheerder mee in rekening nemen ter bepaling van de toegelaten inkomsten voor niet-exogene kosten in de volgende reguleringsperiode. Deze redenering past binnen de toegepaste bevorderende regulering. Omdat er gewerkt wordt met een toegelaten inkomen voor niet-exogene kosten per distributienetbeheerder per jaar, ontvangt de distributienetbeheerder een ogenblikkelijke prikkel om </w:t>
      </w:r>
      <w:r w:rsidR="00964B66" w:rsidRPr="00043B8D">
        <w:t xml:space="preserve">de risico’s op </w:t>
      </w:r>
      <w:r w:rsidRPr="00043B8D">
        <w:t xml:space="preserve">schade te </w:t>
      </w:r>
      <w:r w:rsidR="00964B66" w:rsidRPr="00043B8D">
        <w:t>reduceren</w:t>
      </w:r>
      <w:r w:rsidRPr="00043B8D">
        <w:t xml:space="preserve">. </w:t>
      </w:r>
      <w:r w:rsidR="00964B66" w:rsidRPr="00043B8D">
        <w:t xml:space="preserve">In geval van schade </w:t>
      </w:r>
      <w:r w:rsidRPr="00043B8D">
        <w:t xml:space="preserve">zal hij </w:t>
      </w:r>
      <w:r w:rsidR="00964B66" w:rsidRPr="00043B8D">
        <w:t xml:space="preserve">dan </w:t>
      </w:r>
      <w:r w:rsidRPr="00043B8D">
        <w:t xml:space="preserve">ook een ogenblikkelijke incentive voelen voor een maximale recuperatie van deze kosten van schade bij de schuldenaar. De VREG meent </w:t>
      </w:r>
      <w:r w:rsidR="00964B66" w:rsidRPr="00043B8D">
        <w:t xml:space="preserve">trouwens </w:t>
      </w:r>
      <w:r w:rsidRPr="00043B8D">
        <w:t>dat het alternatief scenario met bepaling en afzondering van de kosten van schade</w:t>
      </w:r>
      <w:r w:rsidR="000B540B" w:rsidRPr="00043B8D">
        <w:t>,</w:t>
      </w:r>
      <w:r w:rsidRPr="00043B8D">
        <w:t xml:space="preserve"> veroorzaakt door derden</w:t>
      </w:r>
      <w:r w:rsidR="000B540B" w:rsidRPr="00043B8D">
        <w:t xml:space="preserve">, niet op een eenduidige en niet-discriminatoire wijze </w:t>
      </w:r>
      <w:r w:rsidRPr="00043B8D">
        <w:t>uit de boekhouding van de distributienetbeheerder</w:t>
      </w:r>
      <w:r w:rsidR="000B540B" w:rsidRPr="00043B8D">
        <w:t xml:space="preserve"> kan afgeleid worden</w:t>
      </w:r>
      <w:r w:rsidRPr="00043B8D">
        <w:t xml:space="preserve">. </w:t>
      </w:r>
      <w:r w:rsidR="001108AA" w:rsidRPr="00043B8D">
        <w:t xml:space="preserve">De VREG is verder van oordeel dat het </w:t>
      </w:r>
      <w:r w:rsidR="002D5CFA" w:rsidRPr="00043B8D">
        <w:t xml:space="preserve">niet mogelijk is </w:t>
      </w:r>
      <w:r w:rsidR="001108AA" w:rsidRPr="00043B8D">
        <w:t xml:space="preserve">om, in het geval de distributienetbeheerder een schadevergoeding betaalt aan een distributienetgebruiker, </w:t>
      </w:r>
      <w:r w:rsidR="002D5CFA" w:rsidRPr="00043B8D">
        <w:t xml:space="preserve">hierbij </w:t>
      </w:r>
      <w:r w:rsidR="001108AA" w:rsidRPr="00043B8D">
        <w:t xml:space="preserve">te veronderstellen dat </w:t>
      </w:r>
      <w:r w:rsidR="002D5CFA" w:rsidRPr="00043B8D">
        <w:t xml:space="preserve">de distributienetbeheerder </w:t>
      </w:r>
      <w:r w:rsidR="001108AA" w:rsidRPr="00043B8D">
        <w:t>d</w:t>
      </w:r>
      <w:r w:rsidR="002D5CFA" w:rsidRPr="00043B8D">
        <w:t>i</w:t>
      </w:r>
      <w:r w:rsidR="001108AA" w:rsidRPr="00043B8D">
        <w:t xml:space="preserve">e kost </w:t>
      </w:r>
      <w:r w:rsidR="002D5CFA" w:rsidRPr="00043B8D">
        <w:t xml:space="preserve">later </w:t>
      </w:r>
      <w:r w:rsidR="001108AA" w:rsidRPr="00043B8D">
        <w:t xml:space="preserve">niet zal kunnen recupereren bij </w:t>
      </w:r>
      <w:r w:rsidR="002D5CFA" w:rsidRPr="00043B8D">
        <w:t xml:space="preserve">de </w:t>
      </w:r>
      <w:r w:rsidR="001108AA" w:rsidRPr="00043B8D">
        <w:t xml:space="preserve">verzekering of een eventuele derde partij, </w:t>
      </w:r>
      <w:r w:rsidR="002D5CFA" w:rsidRPr="00043B8D">
        <w:t xml:space="preserve">waarbij </w:t>
      </w:r>
      <w:r w:rsidR="001108AA" w:rsidRPr="00043B8D">
        <w:t>d</w:t>
      </w:r>
      <w:r w:rsidR="002D5CFA" w:rsidRPr="00043B8D">
        <w:t>i</w:t>
      </w:r>
      <w:r w:rsidR="001108AA" w:rsidRPr="00043B8D">
        <w:t xml:space="preserve">e kost </w:t>
      </w:r>
      <w:r w:rsidR="002D5CFA" w:rsidRPr="00043B8D">
        <w:t xml:space="preserve">in de tariefmethodologie dan </w:t>
      </w:r>
      <w:r w:rsidR="001108AA" w:rsidRPr="00043B8D">
        <w:t xml:space="preserve">niet als operationele kost </w:t>
      </w:r>
      <w:r w:rsidR="002D5CFA" w:rsidRPr="00043B8D">
        <w:t>kan erkend worden</w:t>
      </w:r>
      <w:r w:rsidR="001108AA" w:rsidRPr="00043B8D">
        <w:t xml:space="preserve">. Dit vereist immers de </w:t>
      </w:r>
      <w:r w:rsidR="002D5CFA" w:rsidRPr="00043B8D">
        <w:t xml:space="preserve">absolute </w:t>
      </w:r>
      <w:r w:rsidR="001108AA" w:rsidRPr="00043B8D">
        <w:t xml:space="preserve">zekerheid dat er langs de zijde van de operationele opbrengsten </w:t>
      </w:r>
      <w:r w:rsidR="002D5CFA" w:rsidRPr="00043B8D">
        <w:t xml:space="preserve">later </w:t>
      </w:r>
      <w:r w:rsidR="001108AA" w:rsidRPr="00043B8D">
        <w:t xml:space="preserve">geen </w:t>
      </w:r>
      <w:r w:rsidR="002D5CFA" w:rsidRPr="00043B8D">
        <w:t xml:space="preserve">recuperatie </w:t>
      </w:r>
      <w:r w:rsidR="001108AA" w:rsidRPr="00043B8D">
        <w:t xml:space="preserve">meer </w:t>
      </w:r>
      <w:r w:rsidR="002D5CFA" w:rsidRPr="00043B8D">
        <w:t>zal zijn</w:t>
      </w:r>
      <w:r w:rsidR="005A1E41" w:rsidRPr="00043B8D">
        <w:t>, zo</w:t>
      </w:r>
      <w:r w:rsidR="000B540B" w:rsidRPr="00043B8D">
        <w:t xml:space="preserve"> </w:t>
      </w:r>
      <w:r w:rsidR="005A1E41" w:rsidRPr="00043B8D">
        <w:t xml:space="preserve">niet </w:t>
      </w:r>
      <w:r w:rsidR="002D5CFA" w:rsidRPr="00043B8D">
        <w:t xml:space="preserve">zullen </w:t>
      </w:r>
      <w:r w:rsidR="005A1E41" w:rsidRPr="00043B8D">
        <w:t>de</w:t>
      </w:r>
      <w:r w:rsidR="002D5CFA" w:rsidRPr="00043B8D">
        <w:t>ze</w:t>
      </w:r>
      <w:r w:rsidR="005A1E41" w:rsidRPr="00043B8D">
        <w:t xml:space="preserve"> </w:t>
      </w:r>
      <w:r w:rsidR="002D5CFA" w:rsidRPr="00043B8D">
        <w:t xml:space="preserve">operationele opbrengsten in de tariefmethodologie de </w:t>
      </w:r>
      <w:r w:rsidR="005A1E41" w:rsidRPr="00043B8D">
        <w:t>operationele kosten drukken</w:t>
      </w:r>
      <w:r w:rsidR="002D5CFA" w:rsidRPr="00043B8D">
        <w:t xml:space="preserve"> wat dan leidt tot een onterecht verlaagd</w:t>
      </w:r>
      <w:r w:rsidR="00CD31DA" w:rsidRPr="00043B8D">
        <w:t xml:space="preserve"> toegelaten</w:t>
      </w:r>
      <w:r w:rsidR="002D5CFA" w:rsidRPr="00043B8D">
        <w:t xml:space="preserve"> inkomen voo</w:t>
      </w:r>
      <w:r w:rsidR="00CD31DA" w:rsidRPr="00043B8D">
        <w:t>r</w:t>
      </w:r>
      <w:r w:rsidR="002D5CFA" w:rsidRPr="00043B8D">
        <w:t xml:space="preserve"> de distributienetbeheerder </w:t>
      </w:r>
      <w:r w:rsidR="00CD31DA" w:rsidRPr="00043B8D">
        <w:t>m.b.t.</w:t>
      </w:r>
      <w:r w:rsidR="002D5CFA" w:rsidRPr="00043B8D">
        <w:t xml:space="preserve"> zijn niet-exogene kosten in de volgende reguleringsperiode</w:t>
      </w:r>
      <w:r w:rsidR="001108AA" w:rsidRPr="00043B8D">
        <w:t>. Wegens de inhoudelijke complexiteit</w:t>
      </w:r>
      <w:r w:rsidR="005F2A9A" w:rsidRPr="00043B8D">
        <w:t xml:space="preserve"> </w:t>
      </w:r>
      <w:r w:rsidR="002D5CFA" w:rsidRPr="00043B8D">
        <w:t xml:space="preserve">bij afzonderlijke behandeling </w:t>
      </w:r>
      <w:r w:rsidR="005F2A9A" w:rsidRPr="00043B8D">
        <w:t xml:space="preserve">worden alle kosten en opbrengsten </w:t>
      </w:r>
      <w:r w:rsidR="002D5CFA" w:rsidRPr="00043B8D">
        <w:t xml:space="preserve">m.b.t. de schadevergoedingen, betaald en ontvangen, bijgevolg </w:t>
      </w:r>
      <w:r w:rsidR="005F2A9A" w:rsidRPr="00043B8D">
        <w:t xml:space="preserve">beschouwd </w:t>
      </w:r>
      <w:r w:rsidR="002D5CFA" w:rsidRPr="00043B8D">
        <w:t xml:space="preserve">binnen de </w:t>
      </w:r>
      <w:r w:rsidR="005F2A9A" w:rsidRPr="00043B8D">
        <w:t xml:space="preserve">niet-exogene kosten, waarbij de distributienetbeheerder </w:t>
      </w:r>
      <w:r w:rsidR="002D5CFA" w:rsidRPr="00043B8D">
        <w:t xml:space="preserve">dus </w:t>
      </w:r>
      <w:r w:rsidR="005F2A9A" w:rsidRPr="00043B8D">
        <w:t xml:space="preserve">een prikkel ontvangt om </w:t>
      </w:r>
      <w:r w:rsidR="005A1E41" w:rsidRPr="00043B8D">
        <w:t xml:space="preserve">onnodige </w:t>
      </w:r>
      <w:r w:rsidR="00C10342" w:rsidRPr="00043B8D">
        <w:t xml:space="preserve">en onredelijke </w:t>
      </w:r>
      <w:r w:rsidR="005F2A9A" w:rsidRPr="00043B8D">
        <w:t>kosten te vermijden.</w:t>
      </w:r>
    </w:p>
    <w:p w14:paraId="02C09C8D" w14:textId="77777777" w:rsidR="007514A4" w:rsidRPr="00043B8D" w:rsidRDefault="007514A4" w:rsidP="007514A4"/>
    <w:p w14:paraId="32426F3E" w14:textId="313DD1F4" w:rsidR="00080387" w:rsidRPr="00043B8D" w:rsidRDefault="00EC6A7A" w:rsidP="007514A4">
      <w:r w:rsidRPr="00043B8D">
        <w:t xml:space="preserve">Volgens de distributienetbeheerders wordt </w:t>
      </w:r>
      <w:r w:rsidR="0019295A" w:rsidRPr="00043B8D">
        <w:t xml:space="preserve">een groot </w:t>
      </w:r>
      <w:r w:rsidRPr="00043B8D">
        <w:t xml:space="preserve">deel </w:t>
      </w:r>
      <w:r w:rsidR="00080387" w:rsidRPr="00043B8D">
        <w:t xml:space="preserve">van </w:t>
      </w:r>
      <w:r w:rsidRPr="00043B8D">
        <w:t xml:space="preserve">hun </w:t>
      </w:r>
      <w:r w:rsidR="00080387" w:rsidRPr="00043B8D">
        <w:t xml:space="preserve">desinvesteringen </w:t>
      </w:r>
      <w:r w:rsidR="0019295A" w:rsidRPr="00043B8D">
        <w:t xml:space="preserve">in het distributienet </w:t>
      </w:r>
      <w:r w:rsidRPr="00043B8D">
        <w:t xml:space="preserve">afgedwongen </w:t>
      </w:r>
      <w:r w:rsidR="00080387" w:rsidRPr="00043B8D">
        <w:t>door externe factoren</w:t>
      </w:r>
      <w:r w:rsidRPr="00043B8D">
        <w:t xml:space="preserve"> </w:t>
      </w:r>
      <w:r w:rsidR="0019295A" w:rsidRPr="00043B8D">
        <w:t xml:space="preserve">zoals </w:t>
      </w:r>
      <w:r w:rsidRPr="00043B8D">
        <w:t>wet- en regelgeving</w:t>
      </w:r>
      <w:r w:rsidR="0019295A" w:rsidRPr="00043B8D">
        <w:t xml:space="preserve"> en</w:t>
      </w:r>
      <w:r w:rsidRPr="00043B8D">
        <w:t xml:space="preserve"> verplaatsing</w:t>
      </w:r>
      <w:r w:rsidR="0019295A" w:rsidRPr="00043B8D">
        <w:t xml:space="preserve"> van infrastructuur op vraag van een domeinbeheerder</w:t>
      </w:r>
      <w:r w:rsidRPr="00043B8D">
        <w:t>. D</w:t>
      </w:r>
      <w:r w:rsidR="00080387" w:rsidRPr="00043B8D">
        <w:t xml:space="preserve">e VREG </w:t>
      </w:r>
      <w:r w:rsidRPr="00043B8D">
        <w:t xml:space="preserve">kiest </w:t>
      </w:r>
      <w:r w:rsidR="00080387" w:rsidRPr="00043B8D">
        <w:t xml:space="preserve">er voor om de kosten van desinvesteringen </w:t>
      </w:r>
      <w:r w:rsidRPr="00043B8D">
        <w:t>mee te nemen in de berekening van het toegelaten inkomen (</w:t>
      </w:r>
      <w:r w:rsidR="00080387" w:rsidRPr="00043B8D">
        <w:t>nl. door beschouwing van MAR klasse 66 en 76)</w:t>
      </w:r>
      <w:r w:rsidR="001D63DA" w:rsidRPr="00043B8D">
        <w:t xml:space="preserve"> en geen onderscheid te maken tussen de kosten volgens </w:t>
      </w:r>
      <w:r w:rsidR="003E64EE" w:rsidRPr="00043B8D">
        <w:t xml:space="preserve">mogelijke </w:t>
      </w:r>
      <w:r w:rsidR="001D63DA" w:rsidRPr="00043B8D">
        <w:t xml:space="preserve">oorzaak van de desinvestering. Dit laatste </w:t>
      </w:r>
      <w:r w:rsidR="003E64EE" w:rsidRPr="00043B8D">
        <w:t xml:space="preserve">beschouwt </w:t>
      </w:r>
      <w:r w:rsidR="001D63DA" w:rsidRPr="00043B8D">
        <w:t xml:space="preserve">de VREG </w:t>
      </w:r>
      <w:r w:rsidR="003E64EE" w:rsidRPr="00043B8D">
        <w:t xml:space="preserve">als een administratief te zwaar onderzoek waarvan het resultaat bovendien </w:t>
      </w:r>
      <w:r w:rsidR="001D63DA" w:rsidRPr="00043B8D">
        <w:t>betwistbaar</w:t>
      </w:r>
      <w:r w:rsidR="003E64EE" w:rsidRPr="00043B8D">
        <w:t xml:space="preserve"> zou zijn</w:t>
      </w:r>
      <w:r w:rsidR="001D63DA" w:rsidRPr="00043B8D">
        <w:t xml:space="preserve">. Dit is een aanpassing van </w:t>
      </w:r>
      <w:r w:rsidRPr="00043B8D">
        <w:t xml:space="preserve">de visie </w:t>
      </w:r>
      <w:r w:rsidR="001D63DA" w:rsidRPr="00043B8D">
        <w:t xml:space="preserve">van de VREG </w:t>
      </w:r>
      <w:r w:rsidRPr="00043B8D">
        <w:t xml:space="preserve">vermeld in het consultatiedocument </w:t>
      </w:r>
      <w:r w:rsidR="0019295A" w:rsidRPr="00043B8D">
        <w:t xml:space="preserve">over een voorgestelde tariefmethode </w:t>
      </w:r>
      <w:r w:rsidRPr="00043B8D">
        <w:t>najaar 2013</w:t>
      </w:r>
      <w:r w:rsidR="00080387" w:rsidRPr="00043B8D">
        <w:t>.</w:t>
      </w:r>
      <w:r w:rsidR="007839B8" w:rsidRPr="00043B8D">
        <w:t xml:space="preserve"> </w:t>
      </w:r>
      <w:r w:rsidR="0019295A" w:rsidRPr="00043B8D">
        <w:t xml:space="preserve">Op die manier ontvangen de distributienetbeheerders een toegelaten inkomen dat </w:t>
      </w:r>
      <w:r w:rsidR="001D63DA" w:rsidRPr="00043B8D">
        <w:t>(</w:t>
      </w:r>
      <w:r w:rsidR="0019295A" w:rsidRPr="00043B8D">
        <w:t>o.a.</w:t>
      </w:r>
      <w:r w:rsidR="001D63DA" w:rsidRPr="00043B8D">
        <w:t>)</w:t>
      </w:r>
      <w:r w:rsidR="0019295A" w:rsidRPr="00043B8D">
        <w:t xml:space="preserve"> gebaseerd is op de hoogte en de evolutie van hun kosten voor desinvesteringen. </w:t>
      </w:r>
      <w:r w:rsidR="001D63DA" w:rsidRPr="00043B8D">
        <w:t>D</w:t>
      </w:r>
      <w:r w:rsidR="0019295A" w:rsidRPr="00043B8D">
        <w:t xml:space="preserve">oor de </w:t>
      </w:r>
      <w:r w:rsidR="00E93AB0" w:rsidRPr="00043B8D">
        <w:t>inkomsten</w:t>
      </w:r>
      <w:r w:rsidR="0019295A" w:rsidRPr="00043B8D">
        <w:t xml:space="preserve">regulering </w:t>
      </w:r>
      <w:r w:rsidR="00D90E3B" w:rsidRPr="00043B8D">
        <w:t xml:space="preserve">in deze tariefmethodologie </w:t>
      </w:r>
      <w:r w:rsidR="0019295A" w:rsidRPr="00043B8D">
        <w:t xml:space="preserve">wordt </w:t>
      </w:r>
      <w:r w:rsidR="001D63DA" w:rsidRPr="00043B8D">
        <w:t xml:space="preserve">aan de distributienetbeheerder tegelijk </w:t>
      </w:r>
      <w:r w:rsidR="0019295A" w:rsidRPr="00043B8D">
        <w:t xml:space="preserve">een </w:t>
      </w:r>
      <w:r w:rsidR="003901B6" w:rsidRPr="00043B8D">
        <w:t>efficiëntie</w:t>
      </w:r>
      <w:r w:rsidR="0019295A" w:rsidRPr="00043B8D">
        <w:t xml:space="preserve">prikkel gegeven om </w:t>
      </w:r>
      <w:r w:rsidR="001D63DA" w:rsidRPr="00043B8D">
        <w:t xml:space="preserve">in zijn beslissingen rekening </w:t>
      </w:r>
      <w:r w:rsidR="00EF00FE" w:rsidRPr="00043B8D">
        <w:t xml:space="preserve">te houden met </w:t>
      </w:r>
      <w:r w:rsidR="003901B6" w:rsidRPr="00043B8D">
        <w:t xml:space="preserve">de </w:t>
      </w:r>
      <w:r w:rsidR="00F176F7" w:rsidRPr="00043B8D">
        <w:t xml:space="preserve">mogelijk nadelige </w:t>
      </w:r>
      <w:r w:rsidR="00326945" w:rsidRPr="00043B8D">
        <w:t xml:space="preserve">financiële </w:t>
      </w:r>
      <w:r w:rsidR="003901B6" w:rsidRPr="00043B8D">
        <w:t xml:space="preserve">impact van </w:t>
      </w:r>
      <w:r w:rsidR="00F176F7" w:rsidRPr="00043B8D">
        <w:t xml:space="preserve">zijn </w:t>
      </w:r>
      <w:r w:rsidR="0019295A" w:rsidRPr="00043B8D">
        <w:t>desinvestering</w:t>
      </w:r>
      <w:r w:rsidR="00EF00FE" w:rsidRPr="00043B8D">
        <w:t>en</w:t>
      </w:r>
      <w:r w:rsidR="0019295A" w:rsidRPr="00043B8D">
        <w:t xml:space="preserve">. </w:t>
      </w:r>
      <w:r w:rsidR="007839B8" w:rsidRPr="00043B8D">
        <w:t xml:space="preserve">Teneinde een inzicht te behouden in de gebruikte methodiek en daadwerkelijke naleving ervan inzake buitendienstgestelde materiële vaste activa, </w:t>
      </w:r>
      <w:r w:rsidR="00EF00FE" w:rsidRPr="00043B8D">
        <w:t xml:space="preserve">behoudt </w:t>
      </w:r>
      <w:r w:rsidR="007839B8" w:rsidRPr="00043B8D">
        <w:t xml:space="preserve">de VREG de </w:t>
      </w:r>
      <w:r w:rsidR="003901B6" w:rsidRPr="00043B8D">
        <w:t>bestaande periodieke</w:t>
      </w:r>
      <w:r w:rsidR="007839B8" w:rsidRPr="00043B8D">
        <w:t xml:space="preserve"> attestering door de commissaris.</w:t>
      </w:r>
      <w:r w:rsidR="00DB74AD" w:rsidRPr="00043B8D">
        <w:t xml:space="preserve"> Hierbij dienen de richtlijnen van de CREG</w:t>
      </w:r>
      <w:r w:rsidR="00DB74AD" w:rsidRPr="00043B8D">
        <w:rPr>
          <w:rStyle w:val="Voetnootmarkering"/>
        </w:rPr>
        <w:footnoteReference w:id="21"/>
      </w:r>
      <w:r w:rsidR="00DB74AD" w:rsidRPr="00043B8D">
        <w:t xml:space="preserve"> en de omzendbrief van het Instituut van de Bedrijfsrevisoren</w:t>
      </w:r>
      <w:r w:rsidR="00DB74AD" w:rsidRPr="00043B8D">
        <w:rPr>
          <w:rStyle w:val="Voetnootmarkering"/>
        </w:rPr>
        <w:footnoteReference w:id="22"/>
      </w:r>
      <w:r w:rsidR="00DB74AD" w:rsidRPr="00043B8D">
        <w:t xml:space="preserve"> gevolgd </w:t>
      </w:r>
      <w:r w:rsidR="00EF00FE" w:rsidRPr="00043B8D">
        <w:t xml:space="preserve">te </w:t>
      </w:r>
      <w:r w:rsidR="00DB74AD" w:rsidRPr="00043B8D">
        <w:t>worden, tot het moment dat door de VREG eventuele nadere richtlijnen, in samenspraak met het Instituut van de Bedrijfsrevisoren, worden opgesteld.</w:t>
      </w:r>
    </w:p>
    <w:p w14:paraId="144E4690" w14:textId="219C0504" w:rsidR="00977D43" w:rsidRPr="00043B8D" w:rsidRDefault="00977D43" w:rsidP="00635E4F"/>
    <w:p w14:paraId="0B8676E6" w14:textId="1D38B100" w:rsidR="007514A4" w:rsidRPr="00043B8D" w:rsidRDefault="001035B2" w:rsidP="005251E2">
      <w:pPr>
        <w:pStyle w:val="Kop2"/>
        <w:numPr>
          <w:ilvl w:val="2"/>
          <w:numId w:val="24"/>
        </w:numPr>
        <w:ind w:left="993" w:hanging="993"/>
        <w:rPr>
          <w:i/>
          <w:sz w:val="22"/>
          <w:szCs w:val="22"/>
        </w:rPr>
      </w:pPr>
      <w:bookmarkStart w:id="328" w:name="_Ref363651144"/>
      <w:bookmarkStart w:id="329" w:name="_Ref398103905"/>
      <w:bookmarkStart w:id="330" w:name="_Toc454186667"/>
      <w:r w:rsidRPr="00043B8D">
        <w:rPr>
          <w:i/>
          <w:sz w:val="22"/>
          <w:szCs w:val="22"/>
        </w:rPr>
        <w:t>K</w:t>
      </w:r>
      <w:r w:rsidR="007514A4" w:rsidRPr="00043B8D">
        <w:rPr>
          <w:i/>
          <w:sz w:val="22"/>
          <w:szCs w:val="22"/>
        </w:rPr>
        <w:t>apitaalkost</w:t>
      </w:r>
      <w:bookmarkEnd w:id="328"/>
      <w:r w:rsidRPr="00043B8D">
        <w:rPr>
          <w:i/>
          <w:sz w:val="22"/>
          <w:szCs w:val="22"/>
        </w:rPr>
        <w:t>envergoeding</w:t>
      </w:r>
      <w:bookmarkEnd w:id="329"/>
      <w:bookmarkEnd w:id="330"/>
    </w:p>
    <w:p w14:paraId="408C1026" w14:textId="77777777" w:rsidR="007514A4" w:rsidRPr="00043B8D" w:rsidRDefault="007514A4" w:rsidP="007514A4"/>
    <w:p w14:paraId="58545D4A" w14:textId="49F3E9EE" w:rsidR="007514A4" w:rsidRPr="00043B8D" w:rsidRDefault="007514A4" w:rsidP="007514A4">
      <w:r w:rsidRPr="00043B8D">
        <w:t xml:space="preserve">In dit onderdeel worden de uitgangspunten </w:t>
      </w:r>
      <w:r w:rsidR="00EF737C" w:rsidRPr="00043B8D">
        <w:t xml:space="preserve">van de VREG </w:t>
      </w:r>
      <w:r w:rsidRPr="00043B8D">
        <w:t>toegelicht betreffende de bepaling van de kapitaalkost</w:t>
      </w:r>
      <w:r w:rsidR="00EF737C" w:rsidRPr="00043B8D">
        <w:t>en</w:t>
      </w:r>
      <w:r w:rsidR="00500FDF" w:rsidRPr="00043B8D">
        <w:t>vergoeding</w:t>
      </w:r>
      <w:r w:rsidRPr="00043B8D">
        <w:t xml:space="preserve"> per distributienetbeheerder die wordt meegenomen ter bepaling van de toegelaten inkomens uit de periodieke distributienettarieven voor niet-exogene kosten in het eerste jaar van de volgende reguleringsperiode. Voor de gedetailleerde uitwerking met bepaling van de hoogte van de vergoeding wordt verwezen naar het document van de VREG over de </w:t>
      </w:r>
      <w:r w:rsidR="00304607" w:rsidRPr="00043B8D">
        <w:t>wacc</w:t>
      </w:r>
      <w:r w:rsidR="00500FDF" w:rsidRPr="00043B8D">
        <w:t xml:space="preserve"> (</w:t>
      </w:r>
      <w:r w:rsidR="00AF631B" w:rsidRPr="00043B8D">
        <w:t>zie</w:t>
      </w:r>
      <w:r w:rsidR="00500FDF" w:rsidRPr="00043B8D">
        <w:t xml:space="preserve"> </w:t>
      </w:r>
      <w:hyperlink w:anchor="_Bijlage_2:_Rapport" w:history="1">
        <w:r w:rsidR="00500FDF" w:rsidRPr="00043B8D">
          <w:rPr>
            <w:rStyle w:val="Hyperlink"/>
            <w:color w:val="auto"/>
          </w:rPr>
          <w:t>bijlage</w:t>
        </w:r>
        <w:r w:rsidR="00AF631B" w:rsidRPr="00043B8D">
          <w:rPr>
            <w:rStyle w:val="Hyperlink"/>
            <w:color w:val="auto"/>
          </w:rPr>
          <w:t xml:space="preserve"> 2</w:t>
        </w:r>
      </w:hyperlink>
      <w:r w:rsidR="00500FDF" w:rsidRPr="00043B8D">
        <w:t>)</w:t>
      </w:r>
      <w:r w:rsidRPr="00043B8D">
        <w:t>.</w:t>
      </w:r>
    </w:p>
    <w:p w14:paraId="04F9D24A" w14:textId="77777777" w:rsidR="007514A4" w:rsidRPr="00043B8D" w:rsidRDefault="007514A4" w:rsidP="007514A4"/>
    <w:p w14:paraId="7F050585" w14:textId="09E8AA46" w:rsidR="007514A4" w:rsidRPr="00043B8D" w:rsidRDefault="007514A4" w:rsidP="007514A4">
      <w:r w:rsidRPr="00043B8D">
        <w:t>Het is van zeer groot belang dat de kapitaalkostenvergoeding op het juiste niveau wordt vastgelegd. Een te lage vergoeding is voordelig voor de distributienetgebruikers omdat hun distributienettarieven dan lager zijn maar kan er toe leiden dat de distributienetbeheerder moeilijkheden ondervindt in het aantrekken van kapitaal. Hij kan aldus gehinderd worden in de realisatie van nieuwe investeringen of</w:t>
      </w:r>
      <w:r w:rsidR="00283E47" w:rsidRPr="00043B8D">
        <w:t>,</w:t>
      </w:r>
      <w:r w:rsidRPr="00043B8D">
        <w:t xml:space="preserve"> in het extreme geval</w:t>
      </w:r>
      <w:r w:rsidR="00283E47" w:rsidRPr="00043B8D">
        <w:t>,</w:t>
      </w:r>
      <w:r w:rsidRPr="00043B8D">
        <w:t xml:space="preserve"> zelfs het onderhoud van zijn distributienet. Een te hoge vergoeding leidt tot te hoge distributienettarieven</w:t>
      </w:r>
      <w:r w:rsidR="00283E47" w:rsidRPr="00043B8D">
        <w:t xml:space="preserve"> voor de </w:t>
      </w:r>
      <w:r w:rsidR="00055821" w:rsidRPr="00043B8D">
        <w:t>distributienetgebruikers</w:t>
      </w:r>
      <w:r w:rsidR="00283E47" w:rsidRPr="00043B8D">
        <w:t>. D</w:t>
      </w:r>
      <w:r w:rsidRPr="00043B8D">
        <w:t xml:space="preserve">e distributienetbeheerders </w:t>
      </w:r>
      <w:r w:rsidR="00283E47" w:rsidRPr="00043B8D">
        <w:t xml:space="preserve">kunnen dan </w:t>
      </w:r>
      <w:r w:rsidRPr="00043B8D">
        <w:t xml:space="preserve">een méér dan marktconforme vergoeding uitbetalen aan hun kapitaalverschaffers in vergelijking met het risico dat deze laatsten lopen voor hun belegging in de distributienetbeheerder. </w:t>
      </w:r>
      <w:r w:rsidR="00283E47" w:rsidRPr="00043B8D">
        <w:t>In dat geval zouden de kapitaalverschaffers, v</w:t>
      </w:r>
      <w:r w:rsidRPr="00043B8D">
        <w:t xml:space="preserve">anuit </w:t>
      </w:r>
      <w:r w:rsidR="00283E47" w:rsidRPr="00043B8D">
        <w:t>een</w:t>
      </w:r>
      <w:r w:rsidRPr="00043B8D">
        <w:t xml:space="preserve"> streven naar winstmaximalisatie</w:t>
      </w:r>
      <w:r w:rsidR="00283E47" w:rsidRPr="00043B8D">
        <w:t>,</w:t>
      </w:r>
      <w:r w:rsidRPr="00043B8D">
        <w:t xml:space="preserve"> het management van de distributienetbeheerder kunnen aanzetten tot het opnemen van meer kapitaal voor investeringen dan noodzakelijk</w:t>
      </w:r>
      <w:r w:rsidR="00901C84" w:rsidRPr="00043B8D">
        <w:t xml:space="preserve"> omdat er in de regulering een verband is tussen de winst en het geïnvesteerde kapitaal</w:t>
      </w:r>
      <w:r w:rsidRPr="00043B8D">
        <w:t>.</w:t>
      </w:r>
    </w:p>
    <w:p w14:paraId="7EB1B8B2" w14:textId="77777777" w:rsidR="007514A4" w:rsidRPr="00043B8D" w:rsidRDefault="007514A4" w:rsidP="007514A4"/>
    <w:p w14:paraId="03078EC3" w14:textId="2A16D497" w:rsidR="007514A4" w:rsidRPr="00043B8D" w:rsidRDefault="007514A4" w:rsidP="007514A4">
      <w:r w:rsidRPr="00043B8D">
        <w:t xml:space="preserve">De vergoeding voor de kapitaalkosten die in de tariefmethodologie wordt meegenomen ter bepaling van de inkomsten, </w:t>
      </w:r>
      <w:r w:rsidR="00DB17A6" w:rsidRPr="00043B8D">
        <w:t xml:space="preserve">is normatief en </w:t>
      </w:r>
      <w:r w:rsidRPr="00043B8D">
        <w:t xml:space="preserve">wordt voor alle distributienetbeheerders op gelijke, niet-discriminatoire wijze berekend en toegepast. Het is de vergoeding voor een distributienetbeheerder die zich op een efficiënte wijze weet te financieren. Dit vormt voor de distributienetbeheerders een prikkel voor kostenefficiëntie. De VREG voorziet dus geen </w:t>
      </w:r>
      <w:r w:rsidR="00D61D27" w:rsidRPr="00043B8D">
        <w:t xml:space="preserve">één op één </w:t>
      </w:r>
      <w:r w:rsidRPr="00043B8D">
        <w:t>doorrekening van de werkelijke financiële kosten</w:t>
      </w:r>
      <w:r w:rsidR="00826F50" w:rsidRPr="00043B8D">
        <w:t xml:space="preserve"> en</w:t>
      </w:r>
      <w:r w:rsidR="00D61D27" w:rsidRPr="00043B8D">
        <w:t xml:space="preserve"> </w:t>
      </w:r>
      <w:r w:rsidR="00CC1282" w:rsidRPr="00043B8D">
        <w:t>-</w:t>
      </w:r>
      <w:r w:rsidR="00826F50" w:rsidRPr="00043B8D">
        <w:t>opbrengsten</w:t>
      </w:r>
      <w:r w:rsidRPr="00043B8D">
        <w:t xml:space="preserve"> van de distributienetbeheerder in zijn distributienettarieven. De werkelijke kapitaalkosten van de distributienetbeheerders </w:t>
      </w:r>
      <w:r w:rsidR="00DB17A6" w:rsidRPr="00043B8D">
        <w:t xml:space="preserve">verschillen </w:t>
      </w:r>
      <w:r w:rsidRPr="00043B8D">
        <w:t>onderling en hun loutere doorrekening aan de distributienetgebruikers zou de efficiëntieprikkel volledig wegnemen.</w:t>
      </w:r>
    </w:p>
    <w:p w14:paraId="53FC7953" w14:textId="77777777" w:rsidR="00DB17A6" w:rsidRPr="00043B8D" w:rsidRDefault="00DB17A6" w:rsidP="007514A4"/>
    <w:p w14:paraId="17C73E9F" w14:textId="368A1822" w:rsidR="00552E21" w:rsidRPr="00043B8D" w:rsidRDefault="007514A4" w:rsidP="00FF6CE6">
      <w:r w:rsidRPr="00043B8D">
        <w:t xml:space="preserve">De vergoeding voor de kapitaalkosten geldt voor de relevante activa op de balans van de distributienetbeheerder gebruikt ter uitvoering van zijn gereguleerde activiteiten. De VREG maakt </w:t>
      </w:r>
      <w:r w:rsidR="002B286B" w:rsidRPr="00043B8D">
        <w:t xml:space="preserve">daarbij </w:t>
      </w:r>
      <w:r w:rsidR="009E2DC4" w:rsidRPr="00043B8D">
        <w:t xml:space="preserve">een </w:t>
      </w:r>
      <w:r w:rsidRPr="00043B8D">
        <w:t xml:space="preserve">onderscheid </w:t>
      </w:r>
      <w:r w:rsidR="002B286B" w:rsidRPr="00043B8D">
        <w:t xml:space="preserve">tussen de </w:t>
      </w:r>
      <w:r w:rsidR="00FF6CE6" w:rsidRPr="00043B8D">
        <w:t>soort</w:t>
      </w:r>
      <w:r w:rsidR="002B286B" w:rsidRPr="00043B8D">
        <w:t xml:space="preserve">en </w:t>
      </w:r>
      <w:r w:rsidRPr="00043B8D">
        <w:t>activa</w:t>
      </w:r>
      <w:r w:rsidR="002B286B" w:rsidRPr="00043B8D">
        <w:t xml:space="preserve"> van de distributienetbeheerder</w:t>
      </w:r>
      <w:r w:rsidR="00CC1282" w:rsidRPr="00043B8D">
        <w:t xml:space="preserve"> (gereguleerde vaste activa</w:t>
      </w:r>
      <w:r w:rsidR="00F0616B" w:rsidRPr="00043B8D">
        <w:t>,</w:t>
      </w:r>
      <w:r w:rsidR="00CC1282" w:rsidRPr="00043B8D">
        <w:t xml:space="preserve"> nettobedrijfskapitaal</w:t>
      </w:r>
      <w:r w:rsidR="00F0616B" w:rsidRPr="00043B8D">
        <w:t>, groenestroom- en warmte-krachtcertificaten, regulatoir actief</w:t>
      </w:r>
      <w:r w:rsidR="00CC1282" w:rsidRPr="00043B8D">
        <w:t>)</w:t>
      </w:r>
      <w:r w:rsidR="00DB17A6" w:rsidRPr="00043B8D">
        <w:t xml:space="preserve">, </w:t>
      </w:r>
      <w:r w:rsidR="002B286B" w:rsidRPr="00043B8D">
        <w:t>voorziet voor elke soort een aangepaste kapitaalkost</w:t>
      </w:r>
      <w:r w:rsidR="009E2DC4" w:rsidRPr="00043B8D">
        <w:t>en</w:t>
      </w:r>
      <w:r w:rsidR="00DB17A6" w:rsidRPr="00043B8D">
        <w:t>vergoeding e</w:t>
      </w:r>
      <w:r w:rsidR="00CC1282" w:rsidRPr="00043B8D">
        <w:t>n</w:t>
      </w:r>
      <w:r w:rsidR="00DB17A6" w:rsidRPr="00043B8D">
        <w:t xml:space="preserve"> </w:t>
      </w:r>
      <w:r w:rsidR="002B286B" w:rsidRPr="00043B8D">
        <w:t xml:space="preserve">een aangepaste </w:t>
      </w:r>
      <w:r w:rsidR="00DB17A6" w:rsidRPr="00043B8D">
        <w:t>wijze waarop d</w:t>
      </w:r>
      <w:r w:rsidR="002B286B" w:rsidRPr="00043B8D">
        <w:t>i</w:t>
      </w:r>
      <w:r w:rsidR="00DB17A6" w:rsidRPr="00043B8D">
        <w:t xml:space="preserve">e vergoeding in de </w:t>
      </w:r>
      <w:r w:rsidR="002B286B" w:rsidRPr="00043B8D">
        <w:t xml:space="preserve">toegelaten </w:t>
      </w:r>
      <w:r w:rsidR="00DB17A6" w:rsidRPr="00043B8D">
        <w:t xml:space="preserve">inkomsten wordt </w:t>
      </w:r>
      <w:r w:rsidR="002B286B" w:rsidRPr="00043B8D">
        <w:t>opgenomen.</w:t>
      </w:r>
      <w:r w:rsidR="003901B6" w:rsidRPr="00043B8D">
        <w:t xml:space="preserve"> Aldus wordt voor </w:t>
      </w:r>
      <w:r w:rsidR="0084397C" w:rsidRPr="00043B8D">
        <w:t xml:space="preserve">wat betreft </w:t>
      </w:r>
      <w:r w:rsidR="003901B6" w:rsidRPr="00043B8D">
        <w:t>de bepaling van het toegelaten inkomen uit periodieke distributienettarieven m.b.t. de niet-exogene kosten</w:t>
      </w:r>
      <w:r w:rsidR="008026DB" w:rsidRPr="00043B8D">
        <w:t>, rekening gehouden met een kapitaalkostenvergoeding voor de gereguleerde vaste activa en voor het nettobedrijfskapitaal.</w:t>
      </w:r>
    </w:p>
    <w:p w14:paraId="51BA1F98" w14:textId="77777777" w:rsidR="004C6F69" w:rsidRPr="00043B8D" w:rsidRDefault="004C6F69" w:rsidP="007514A4"/>
    <w:p w14:paraId="0AA085B9" w14:textId="389CAF3A" w:rsidR="00132786" w:rsidRPr="00043B8D" w:rsidRDefault="007514A4" w:rsidP="00F0616B">
      <w:r w:rsidRPr="00043B8D">
        <w:t xml:space="preserve">In formulevorm wordt de kapitaalkost </w:t>
      </w:r>
      <w:r w:rsidR="00CC1282" w:rsidRPr="00043B8D">
        <w:t>opgenomen in</w:t>
      </w:r>
      <w:r w:rsidRPr="00043B8D">
        <w:t xml:space="preserve"> </w:t>
      </w:r>
      <w:r w:rsidRPr="00043B8D">
        <w:fldChar w:fldCharType="begin"/>
      </w:r>
      <w:r w:rsidRPr="00043B8D">
        <w:instrText xml:space="preserve"> REF _Ref389036124 \h  \* MERGEFORMAT </w:instrText>
      </w:r>
      <w:r w:rsidRPr="00043B8D">
        <w:fldChar w:fldCharType="separate"/>
      </w:r>
      <w:r w:rsidR="00B30F9B" w:rsidRPr="00B30F9B">
        <w:t xml:space="preserve">formule </w:t>
      </w:r>
      <w:r w:rsidR="00B30F9B" w:rsidRPr="00B30F9B">
        <w:rPr>
          <w:noProof/>
        </w:rPr>
        <w:t>4</w:t>
      </w:r>
      <w:r w:rsidRPr="00043B8D">
        <w:fldChar w:fldCharType="end"/>
      </w:r>
      <w:r w:rsidR="008026DB" w:rsidRPr="00043B8D">
        <w:t xml:space="preserve"> </w:t>
      </w:r>
      <w:r w:rsidRPr="00043B8D">
        <w:t>als volgt geschreven</w:t>
      </w:r>
      <w:r w:rsidR="008026DB" w:rsidRPr="00043B8D">
        <w:t xml:space="preserve"> (</w:t>
      </w:r>
      <w:r w:rsidR="008026DB" w:rsidRPr="00043B8D">
        <w:fldChar w:fldCharType="begin"/>
      </w:r>
      <w:r w:rsidR="008026DB" w:rsidRPr="00043B8D">
        <w:instrText xml:space="preserve"> REF _Ref391546051 \h  \* MERGEFORMAT </w:instrText>
      </w:r>
      <w:r w:rsidR="008026DB" w:rsidRPr="00043B8D">
        <w:fldChar w:fldCharType="separate"/>
      </w:r>
      <w:r w:rsidR="00B30F9B" w:rsidRPr="00B30F9B">
        <w:t xml:space="preserve">formule </w:t>
      </w:r>
      <w:r w:rsidR="00B30F9B" w:rsidRPr="00B30F9B">
        <w:rPr>
          <w:noProof/>
        </w:rPr>
        <w:t>5</w:t>
      </w:r>
      <w:r w:rsidR="008026DB" w:rsidRPr="00043B8D">
        <w:fldChar w:fldCharType="end"/>
      </w:r>
      <w:r w:rsidR="008026DB" w:rsidRPr="00043B8D">
        <w:t>)</w:t>
      </w:r>
      <w:r w:rsidR="007F49F8" w:rsidRPr="00043B8D">
        <w:t>:</w:t>
      </w:r>
    </w:p>
    <w:p w14:paraId="6FF0F004" w14:textId="77777777" w:rsidR="007514A4" w:rsidRPr="00043B8D" w:rsidRDefault="007514A4" w:rsidP="007514A4"/>
    <w:p w14:paraId="4B36BE35" w14:textId="77777777" w:rsidR="007514A4" w:rsidRPr="00043B8D" w:rsidRDefault="000937A6" w:rsidP="007514A4">
      <w:pPr>
        <w:pStyle w:val="StijlStijlBijschriftCambriaMathNietVetCursiefVet"/>
        <w:pBdr>
          <w:top w:val="dotted" w:sz="4" w:space="1" w:color="auto"/>
          <w:left w:val="dotted" w:sz="4" w:space="4" w:color="auto"/>
          <w:bottom w:val="dotted" w:sz="4" w:space="1" w:color="auto"/>
          <w:right w:val="dotted" w:sz="4" w:space="4" w:color="auto"/>
        </w:pBdr>
        <w:jc w:val="center"/>
        <w:rPr>
          <w:i/>
        </w:rPr>
      </w:pPr>
      <m:oMathPara>
        <m:oMath>
          <m:sSub>
            <m:sSubPr>
              <m:ctrlPr>
                <w:rPr>
                  <w:i/>
                </w:rPr>
              </m:ctrlPr>
            </m:sSubPr>
            <m:e>
              <m:r>
                <m:rPr>
                  <m:sty m:val="bi"/>
                </m:rPr>
                <m:t>KK</m:t>
              </m:r>
            </m:e>
            <m:sub>
              <m:r>
                <m:rPr>
                  <m:sty m:val="bi"/>
                </m:rPr>
                <m:t>j,i</m:t>
              </m:r>
            </m:sub>
          </m:sSub>
          <m:r>
            <m:rPr>
              <m:sty m:val="bi"/>
            </m:rPr>
            <m:t>=</m:t>
          </m:r>
          <m:d>
            <m:dPr>
              <m:ctrlPr>
                <w:rPr>
                  <w:i/>
                </w:rPr>
              </m:ctrlPr>
            </m:dPr>
            <m:e>
              <m:sSub>
                <m:sSubPr>
                  <m:ctrlPr>
                    <w:rPr>
                      <w:i/>
                    </w:rPr>
                  </m:ctrlPr>
                </m:sSubPr>
                <m:e>
                  <m:r>
                    <m:rPr>
                      <m:sty m:val="bi"/>
                    </m:rPr>
                    <m:t>RAB</m:t>
                  </m:r>
                </m:e>
                <m:sub>
                  <m:r>
                    <m:rPr>
                      <m:sty m:val="bi"/>
                    </m:rPr>
                    <m:t>j,i</m:t>
                  </m:r>
                </m:sub>
              </m:sSub>
              <m:r>
                <m:rPr>
                  <m:sty m:val="bi"/>
                </m:rPr>
                <m:t>×</m:t>
              </m:r>
              <m:sSub>
                <m:sSubPr>
                  <m:ctrlPr>
                    <w:rPr>
                      <w:i/>
                    </w:rPr>
                  </m:ctrlPr>
                </m:sSubPr>
                <m:e>
                  <m:r>
                    <m:rPr>
                      <m:sty m:val="bi"/>
                    </m:rPr>
                    <m:t>wacc</m:t>
                  </m:r>
                </m:e>
                <m:sub>
                  <m:r>
                    <m:rPr>
                      <m:sty m:val="bi"/>
                    </m:rPr>
                    <m:t>n</m:t>
                  </m:r>
                </m:sub>
              </m:sSub>
            </m:e>
          </m:d>
          <m:r>
            <m:rPr>
              <m:sty m:val="bi"/>
            </m:rPr>
            <m:t>+</m:t>
          </m:r>
          <m:d>
            <m:dPr>
              <m:ctrlPr>
                <w:rPr>
                  <w:i/>
                </w:rPr>
              </m:ctrlPr>
            </m:dPr>
            <m:e>
              <m:sSub>
                <m:sSubPr>
                  <m:ctrlPr>
                    <w:rPr>
                      <w:i/>
                    </w:rPr>
                  </m:ctrlPr>
                </m:sSubPr>
                <m:e>
                  <m:r>
                    <m:rPr>
                      <m:sty m:val="bi"/>
                    </m:rPr>
                    <m:t>NBK</m:t>
                  </m:r>
                </m:e>
                <m:sub>
                  <m:r>
                    <m:rPr>
                      <m:sty m:val="bi"/>
                    </m:rPr>
                    <m:t>j,i</m:t>
                  </m:r>
                </m:sub>
              </m:sSub>
              <m:r>
                <m:rPr>
                  <m:sty m:val="bi"/>
                </m:rPr>
                <m:t>×</m:t>
              </m:r>
              <m:sSub>
                <m:sSubPr>
                  <m:ctrlPr>
                    <w:rPr>
                      <w:i/>
                    </w:rPr>
                  </m:ctrlPr>
                </m:sSubPr>
                <m:e>
                  <m:r>
                    <m:rPr>
                      <m:sty m:val="bi"/>
                    </m:rPr>
                    <m:t>k</m:t>
                  </m:r>
                </m:e>
                <m:sub>
                  <m:r>
                    <m:rPr>
                      <m:sty m:val="bi"/>
                    </m:rPr>
                    <m:t>VV</m:t>
                  </m:r>
                </m:sub>
              </m:sSub>
            </m:e>
          </m:d>
        </m:oMath>
      </m:oMathPara>
    </w:p>
    <w:p w14:paraId="0E2BD358" w14:textId="77777777" w:rsidR="007514A4" w:rsidRPr="000D284A" w:rsidRDefault="007514A4" w:rsidP="000D284A">
      <w:pPr>
        <w:pStyle w:val="Bijschrift"/>
        <w:jc w:val="right"/>
        <w:rPr>
          <w:b w:val="0"/>
          <w:i/>
        </w:rPr>
      </w:pPr>
      <w:r w:rsidRPr="000D284A">
        <w:rPr>
          <w:b w:val="0"/>
          <w:i/>
        </w:rPr>
        <w:tab/>
      </w:r>
      <w:bookmarkStart w:id="331" w:name="_Ref391546051"/>
      <w:r w:rsidRPr="000D284A">
        <w:rPr>
          <w:b w:val="0"/>
          <w:i/>
        </w:rPr>
        <w:t xml:space="preserve">formule </w:t>
      </w:r>
      <w:r w:rsidRPr="000D284A">
        <w:rPr>
          <w:b w:val="0"/>
          <w:i/>
        </w:rPr>
        <w:fldChar w:fldCharType="begin"/>
      </w:r>
      <w:r w:rsidRPr="000D284A">
        <w:rPr>
          <w:b w:val="0"/>
          <w:i/>
        </w:rPr>
        <w:instrText xml:space="preserve"> SEQ formule \* ARABIC </w:instrText>
      </w:r>
      <w:r w:rsidRPr="000D284A">
        <w:rPr>
          <w:b w:val="0"/>
          <w:i/>
        </w:rPr>
        <w:fldChar w:fldCharType="separate"/>
      </w:r>
      <w:r w:rsidR="00BD536B">
        <w:rPr>
          <w:b w:val="0"/>
          <w:i/>
          <w:noProof/>
        </w:rPr>
        <w:t>5</w:t>
      </w:r>
      <w:r w:rsidRPr="000D284A">
        <w:rPr>
          <w:b w:val="0"/>
          <w:i/>
        </w:rPr>
        <w:fldChar w:fldCharType="end"/>
      </w:r>
      <w:bookmarkEnd w:id="331"/>
    </w:p>
    <w:p w14:paraId="42579383" w14:textId="77777777" w:rsidR="007514A4" w:rsidRPr="00043B8D" w:rsidRDefault="007514A4" w:rsidP="007514A4"/>
    <w:p w14:paraId="34C2D970" w14:textId="77777777" w:rsidR="007514A4" w:rsidRPr="00043B8D" w:rsidRDefault="007514A4" w:rsidP="007514A4">
      <w:r w:rsidRPr="00043B8D">
        <w:t>Met hierin:</w:t>
      </w:r>
    </w:p>
    <w:p w14:paraId="321C7727" w14:textId="77777777" w:rsidR="007514A4" w:rsidRPr="00043B8D" w:rsidRDefault="007514A4" w:rsidP="007514A4"/>
    <w:p w14:paraId="0913E85D" w14:textId="4CDDBBBF" w:rsidR="007514A4" w:rsidRPr="00043B8D" w:rsidRDefault="007514A4" w:rsidP="007514A4">
      <w:pPr>
        <w:tabs>
          <w:tab w:val="left" w:pos="1843"/>
        </w:tabs>
        <w:ind w:left="1843" w:hanging="1135"/>
      </w:pPr>
      <w:r w:rsidRPr="00043B8D">
        <w:rPr>
          <w:rFonts w:cs="Tahoma"/>
          <w:i/>
        </w:rPr>
        <w:t>KK</w:t>
      </w:r>
      <w:r w:rsidRPr="00043B8D">
        <w:rPr>
          <w:rFonts w:cs="Tahoma"/>
          <w:i/>
          <w:vertAlign w:val="subscript"/>
        </w:rPr>
        <w:t>j,i</w:t>
      </w:r>
      <w:r w:rsidRPr="00043B8D">
        <w:rPr>
          <w:rFonts w:cs="Tahoma"/>
          <w:i/>
          <w:lang w:val="nl-BE"/>
        </w:rPr>
        <w:tab/>
        <w:t>De kapitaalkost voor distributienetbeheerder i</w:t>
      </w:r>
      <w:r w:rsidR="009E2DC4" w:rsidRPr="00043B8D">
        <w:rPr>
          <w:rFonts w:cs="Tahoma"/>
          <w:i/>
          <w:lang w:val="nl-BE"/>
        </w:rPr>
        <w:t xml:space="preserve">, </w:t>
      </w:r>
      <w:r w:rsidR="000B4252" w:rsidRPr="00043B8D">
        <w:rPr>
          <w:rFonts w:cs="Tahoma"/>
          <w:i/>
          <w:lang w:val="nl-BE"/>
        </w:rPr>
        <w:t xml:space="preserve">op </w:t>
      </w:r>
      <w:r w:rsidR="009E2DC4" w:rsidRPr="00043B8D">
        <w:rPr>
          <w:rFonts w:cs="Tahoma"/>
          <w:i/>
          <w:lang w:val="nl-BE"/>
        </w:rPr>
        <w:t>basis</w:t>
      </w:r>
      <w:r w:rsidR="000B4252" w:rsidRPr="00043B8D">
        <w:rPr>
          <w:rFonts w:cs="Tahoma"/>
          <w:i/>
          <w:lang w:val="nl-BE"/>
        </w:rPr>
        <w:t xml:space="preserve"> van</w:t>
      </w:r>
      <w:r w:rsidR="009E2DC4" w:rsidRPr="00043B8D">
        <w:rPr>
          <w:rFonts w:cs="Tahoma"/>
          <w:i/>
          <w:lang w:val="nl-BE"/>
        </w:rPr>
        <w:t xml:space="preserve"> afgelopen jaar j</w:t>
      </w:r>
      <w:r w:rsidRPr="00043B8D">
        <w:rPr>
          <w:rFonts w:cs="Tahoma"/>
          <w:i/>
          <w:lang w:val="nl-BE"/>
        </w:rPr>
        <w:t>, te gebruiken in de berekening en de vaststelling van het toegelaten inkomen uit periodieke distributienettarieven voor niet-exogene kosten voor elke distributienetbeheerder in het eerste jaar van de volgende reguleringsperiode</w:t>
      </w:r>
      <w:r w:rsidR="009E2DC4" w:rsidRPr="00043B8D">
        <w:rPr>
          <w:rFonts w:cs="Tahoma"/>
          <w:i/>
          <w:lang w:val="nl-BE"/>
        </w:rPr>
        <w:t xml:space="preserve"> (2015)</w:t>
      </w:r>
      <w:r w:rsidR="00920639" w:rsidRPr="00043B8D">
        <w:rPr>
          <w:rFonts w:cs="Tahoma"/>
          <w:i/>
          <w:lang w:val="nl-BE"/>
        </w:rPr>
        <w:t>. (EUR)</w:t>
      </w:r>
    </w:p>
    <w:p w14:paraId="5BC5FF6A" w14:textId="77777777" w:rsidR="007514A4" w:rsidRPr="00043B8D" w:rsidRDefault="007514A4" w:rsidP="007514A4">
      <w:pPr>
        <w:tabs>
          <w:tab w:val="left" w:pos="1843"/>
        </w:tabs>
        <w:ind w:left="1843" w:hanging="1135"/>
        <w:rPr>
          <w:rFonts w:cs="Tahoma"/>
          <w:i/>
        </w:rPr>
      </w:pPr>
    </w:p>
    <w:p w14:paraId="55E47839" w14:textId="6118894C" w:rsidR="007514A4" w:rsidRPr="00043B8D" w:rsidRDefault="007514A4" w:rsidP="007514A4">
      <w:pPr>
        <w:tabs>
          <w:tab w:val="left" w:pos="1843"/>
        </w:tabs>
        <w:ind w:left="1843" w:hanging="1135"/>
        <w:rPr>
          <w:rFonts w:cs="Tahoma"/>
          <w:i/>
          <w:lang w:val="nl-BE"/>
        </w:rPr>
      </w:pPr>
      <w:r w:rsidRPr="00043B8D">
        <w:rPr>
          <w:rFonts w:cs="Tahoma"/>
          <w:i/>
        </w:rPr>
        <w:t>RAB</w:t>
      </w:r>
      <w:r w:rsidRPr="00043B8D">
        <w:rPr>
          <w:rFonts w:cs="Tahoma"/>
          <w:i/>
          <w:vertAlign w:val="subscript"/>
        </w:rPr>
        <w:t>j,i</w:t>
      </w:r>
      <w:r w:rsidRPr="00043B8D">
        <w:rPr>
          <w:rFonts w:cs="Tahoma"/>
          <w:i/>
          <w:lang w:val="nl-BE"/>
        </w:rPr>
        <w:tab/>
        <w:t xml:space="preserve">Het gereguleerd actief (de </w:t>
      </w:r>
      <w:r w:rsidR="000B4252" w:rsidRPr="00043B8D">
        <w:rPr>
          <w:rFonts w:cs="Tahoma"/>
          <w:i/>
          <w:lang w:val="nl-BE"/>
        </w:rPr>
        <w:t>‘</w:t>
      </w:r>
      <w:r w:rsidRPr="00043B8D">
        <w:rPr>
          <w:rFonts w:cs="Tahoma"/>
          <w:i/>
          <w:lang w:val="nl-BE"/>
        </w:rPr>
        <w:t>Regulatory Asset Base</w:t>
      </w:r>
      <w:r w:rsidR="000B4252" w:rsidRPr="00043B8D">
        <w:rPr>
          <w:rFonts w:cs="Tahoma"/>
          <w:i/>
          <w:lang w:val="nl-BE"/>
        </w:rPr>
        <w:t>’</w:t>
      </w:r>
      <w:r w:rsidRPr="00043B8D">
        <w:rPr>
          <w:rFonts w:cs="Tahoma"/>
          <w:i/>
          <w:lang w:val="nl-BE"/>
        </w:rPr>
        <w:t xml:space="preserve"> of </w:t>
      </w:r>
      <w:r w:rsidR="000B4252" w:rsidRPr="00043B8D">
        <w:rPr>
          <w:rFonts w:cs="Tahoma"/>
          <w:i/>
          <w:lang w:val="nl-BE"/>
        </w:rPr>
        <w:t>‘</w:t>
      </w:r>
      <w:r w:rsidRPr="00043B8D">
        <w:rPr>
          <w:rFonts w:cs="Tahoma"/>
          <w:i/>
          <w:lang w:val="nl-BE"/>
        </w:rPr>
        <w:t>RAB</w:t>
      </w:r>
      <w:r w:rsidR="000B4252" w:rsidRPr="00043B8D">
        <w:rPr>
          <w:rFonts w:cs="Tahoma"/>
          <w:i/>
          <w:lang w:val="nl-BE"/>
        </w:rPr>
        <w:t>’</w:t>
      </w:r>
      <w:r w:rsidRPr="00043B8D">
        <w:rPr>
          <w:rFonts w:cs="Tahoma"/>
          <w:i/>
          <w:lang w:val="nl-BE"/>
        </w:rPr>
        <w:t xml:space="preserve">) van distributienetbeheerder i in het vorige kalenderjaar j, berekend als het gemiddelde van zijn RAB in het begin en op het einde van jaar j. De inhoud van de RAB wordt in detail gespecifieerd in het document van de VREG </w:t>
      </w:r>
      <w:r w:rsidR="00D81E05" w:rsidRPr="00043B8D">
        <w:rPr>
          <w:rFonts w:cs="Tahoma"/>
          <w:i/>
          <w:lang w:val="nl-BE"/>
        </w:rPr>
        <w:t xml:space="preserve">over de </w:t>
      </w:r>
      <w:r w:rsidR="009E2DC4" w:rsidRPr="00043B8D">
        <w:rPr>
          <w:rFonts w:cs="Tahoma"/>
          <w:i/>
          <w:lang w:val="nl-BE"/>
        </w:rPr>
        <w:t>kapitaalkostenvergoeding</w:t>
      </w:r>
      <w:r w:rsidR="00D81E05" w:rsidRPr="00043B8D">
        <w:rPr>
          <w:rFonts w:cs="Tahoma"/>
          <w:i/>
          <w:lang w:val="nl-BE"/>
        </w:rPr>
        <w:t xml:space="preserve"> in </w:t>
      </w:r>
      <w:hyperlink w:anchor="_Bijlage_2:_Rapport" w:history="1">
        <w:r w:rsidR="00D81E05" w:rsidRPr="00043B8D">
          <w:rPr>
            <w:rStyle w:val="Hyperlink"/>
            <w:rFonts w:cs="Tahoma"/>
            <w:i/>
            <w:color w:val="auto"/>
            <w:lang w:val="nl-BE"/>
          </w:rPr>
          <w:t>bijlage</w:t>
        </w:r>
        <w:r w:rsidR="000B4252" w:rsidRPr="00043B8D">
          <w:rPr>
            <w:rStyle w:val="Hyperlink"/>
            <w:rFonts w:cs="Tahoma"/>
            <w:i/>
            <w:color w:val="auto"/>
            <w:lang w:val="nl-BE"/>
          </w:rPr>
          <w:t xml:space="preserve"> 2</w:t>
        </w:r>
      </w:hyperlink>
      <w:r w:rsidRPr="00043B8D">
        <w:rPr>
          <w:rFonts w:cs="Tahoma"/>
          <w:i/>
          <w:lang w:val="nl-BE"/>
        </w:rPr>
        <w:t>.</w:t>
      </w:r>
      <w:r w:rsidR="00920639" w:rsidRPr="00043B8D">
        <w:rPr>
          <w:rFonts w:cs="Tahoma"/>
          <w:i/>
          <w:lang w:val="nl-BE"/>
        </w:rPr>
        <w:t xml:space="preserve"> (EUR)</w:t>
      </w:r>
    </w:p>
    <w:p w14:paraId="38E50012" w14:textId="77777777" w:rsidR="007514A4" w:rsidRPr="00043B8D" w:rsidRDefault="007514A4" w:rsidP="007514A4">
      <w:pPr>
        <w:tabs>
          <w:tab w:val="left" w:pos="1843"/>
        </w:tabs>
        <w:ind w:left="1418" w:hanging="710"/>
        <w:rPr>
          <w:lang w:val="nl-BE"/>
        </w:rPr>
      </w:pPr>
    </w:p>
    <w:p w14:paraId="44407274" w14:textId="13CDD173" w:rsidR="007514A4" w:rsidRPr="00043B8D" w:rsidRDefault="007514A4" w:rsidP="007514A4">
      <w:pPr>
        <w:tabs>
          <w:tab w:val="left" w:pos="1843"/>
        </w:tabs>
        <w:ind w:left="1843" w:hanging="1135"/>
        <w:rPr>
          <w:rFonts w:cs="Tahoma"/>
          <w:i/>
          <w:lang w:val="nl-BE"/>
        </w:rPr>
      </w:pPr>
      <w:r w:rsidRPr="00043B8D">
        <w:rPr>
          <w:rFonts w:cs="Tahoma"/>
          <w:i/>
        </w:rPr>
        <w:t>wacc</w:t>
      </w:r>
      <w:r w:rsidRPr="00043B8D">
        <w:rPr>
          <w:rFonts w:cs="Tahoma"/>
          <w:i/>
          <w:vertAlign w:val="subscript"/>
        </w:rPr>
        <w:t>n</w:t>
      </w:r>
      <w:r w:rsidRPr="00043B8D">
        <w:rPr>
          <w:rFonts w:cs="Tahoma"/>
          <w:i/>
          <w:lang w:val="nl-BE"/>
        </w:rPr>
        <w:tab/>
        <w:t>De nominale waarde van de door de VREG vastgestelde gewogen gemiddelde kapitaalkost (</w:t>
      </w:r>
      <w:r w:rsidR="00B704B9" w:rsidRPr="00043B8D">
        <w:rPr>
          <w:rFonts w:cs="Tahoma"/>
          <w:i/>
          <w:lang w:val="nl-BE"/>
        </w:rPr>
        <w:t xml:space="preserve">ook </w:t>
      </w:r>
      <w:r w:rsidR="000B4252" w:rsidRPr="00043B8D">
        <w:rPr>
          <w:rFonts w:cs="Tahoma"/>
          <w:i/>
          <w:lang w:val="nl-BE"/>
        </w:rPr>
        <w:t>‘</w:t>
      </w:r>
      <w:r w:rsidR="00B704B9" w:rsidRPr="00043B8D">
        <w:rPr>
          <w:rFonts w:cs="Tahoma"/>
          <w:i/>
          <w:lang w:val="nl-BE"/>
        </w:rPr>
        <w:t>weighted average cost of capital</w:t>
      </w:r>
      <w:r w:rsidR="000B4252" w:rsidRPr="00043B8D">
        <w:rPr>
          <w:rFonts w:cs="Tahoma"/>
          <w:i/>
          <w:lang w:val="nl-BE"/>
        </w:rPr>
        <w:t>’</w:t>
      </w:r>
      <w:r w:rsidR="00B704B9" w:rsidRPr="00043B8D">
        <w:rPr>
          <w:rFonts w:cs="Tahoma"/>
          <w:i/>
          <w:lang w:val="nl-BE"/>
        </w:rPr>
        <w:t xml:space="preserve">, of afgekort </w:t>
      </w:r>
      <w:r w:rsidR="000B4252" w:rsidRPr="00043B8D">
        <w:rPr>
          <w:rFonts w:cs="Tahoma"/>
          <w:i/>
          <w:lang w:val="nl-BE"/>
        </w:rPr>
        <w:t>‘</w:t>
      </w:r>
      <w:r w:rsidRPr="00043B8D">
        <w:rPr>
          <w:rFonts w:cs="Tahoma"/>
          <w:i/>
          <w:lang w:val="nl-BE"/>
        </w:rPr>
        <w:t>wacc</w:t>
      </w:r>
      <w:r w:rsidR="000B4252" w:rsidRPr="00043B8D">
        <w:rPr>
          <w:rFonts w:cs="Tahoma"/>
          <w:i/>
          <w:lang w:val="nl-BE"/>
        </w:rPr>
        <w:t>’</w:t>
      </w:r>
      <w:r w:rsidR="00B704B9" w:rsidRPr="00043B8D">
        <w:rPr>
          <w:rFonts w:cs="Tahoma"/>
          <w:i/>
          <w:lang w:val="nl-BE"/>
        </w:rPr>
        <w:t xml:space="preserve"> genoemd</w:t>
      </w:r>
      <w:r w:rsidRPr="00043B8D">
        <w:rPr>
          <w:rFonts w:cs="Tahoma"/>
          <w:i/>
          <w:lang w:val="nl-BE"/>
        </w:rPr>
        <w:t>) voor de volgende reguleringsperiode.</w:t>
      </w:r>
      <w:r w:rsidR="00BF515E" w:rsidRPr="00043B8D">
        <w:rPr>
          <w:rFonts w:cs="Tahoma"/>
          <w:i/>
          <w:lang w:val="nl-BE"/>
        </w:rPr>
        <w:t xml:space="preserve"> </w:t>
      </w:r>
      <w:r w:rsidR="00C53EFF" w:rsidRPr="00043B8D">
        <w:rPr>
          <w:rFonts w:cs="Tahoma"/>
          <w:i/>
          <w:lang w:val="nl-BE"/>
        </w:rPr>
        <w:t xml:space="preserve">De </w:t>
      </w:r>
      <w:r w:rsidR="0091772A" w:rsidRPr="00043B8D">
        <w:rPr>
          <w:rFonts w:cs="Tahoma"/>
          <w:i/>
          <w:lang w:val="nl-BE"/>
        </w:rPr>
        <w:t>samenstelling</w:t>
      </w:r>
      <w:r w:rsidR="00BF515E" w:rsidRPr="00043B8D">
        <w:rPr>
          <w:rFonts w:cs="Tahoma"/>
          <w:i/>
          <w:lang w:val="nl-BE"/>
        </w:rPr>
        <w:t xml:space="preserve"> </w:t>
      </w:r>
      <w:r w:rsidR="00C53EFF" w:rsidRPr="00043B8D">
        <w:rPr>
          <w:rFonts w:cs="Tahoma"/>
          <w:i/>
          <w:lang w:val="nl-BE"/>
        </w:rPr>
        <w:t xml:space="preserve">van de wacc </w:t>
      </w:r>
      <w:r w:rsidR="00BF515E" w:rsidRPr="00043B8D">
        <w:rPr>
          <w:rFonts w:cs="Tahoma"/>
          <w:i/>
          <w:lang w:val="nl-BE"/>
        </w:rPr>
        <w:t xml:space="preserve">wordt in detail gespecifieerd in het document van de VREG </w:t>
      </w:r>
      <w:r w:rsidR="00D81E05" w:rsidRPr="00043B8D">
        <w:rPr>
          <w:rFonts w:cs="Tahoma"/>
          <w:i/>
          <w:lang w:val="nl-BE"/>
        </w:rPr>
        <w:t xml:space="preserve">over de </w:t>
      </w:r>
      <w:r w:rsidR="009E2DC4" w:rsidRPr="00043B8D">
        <w:rPr>
          <w:rFonts w:cs="Tahoma"/>
          <w:i/>
          <w:lang w:val="nl-BE"/>
        </w:rPr>
        <w:t>kapitaalkostenvergoeding</w:t>
      </w:r>
      <w:r w:rsidR="00D81E05" w:rsidRPr="00043B8D">
        <w:rPr>
          <w:rFonts w:cs="Tahoma"/>
          <w:i/>
          <w:lang w:val="nl-BE"/>
        </w:rPr>
        <w:t xml:space="preserve"> in </w:t>
      </w:r>
      <w:hyperlink w:anchor="_Bijlage_2:_Rapport" w:history="1">
        <w:r w:rsidR="00D81E05" w:rsidRPr="00043B8D">
          <w:rPr>
            <w:rStyle w:val="Hyperlink"/>
            <w:rFonts w:cs="Tahoma"/>
            <w:i/>
            <w:color w:val="auto"/>
            <w:lang w:val="nl-BE"/>
          </w:rPr>
          <w:t>bijlage</w:t>
        </w:r>
        <w:r w:rsidR="000B4252" w:rsidRPr="00043B8D">
          <w:rPr>
            <w:rStyle w:val="Hyperlink"/>
            <w:rFonts w:cs="Tahoma"/>
            <w:i/>
            <w:color w:val="auto"/>
            <w:lang w:val="nl-BE"/>
          </w:rPr>
          <w:t xml:space="preserve"> 2</w:t>
        </w:r>
      </w:hyperlink>
      <w:r w:rsidR="00BF515E" w:rsidRPr="00043B8D">
        <w:rPr>
          <w:rFonts w:cs="Tahoma"/>
          <w:i/>
          <w:lang w:val="nl-BE"/>
        </w:rPr>
        <w:t>.</w:t>
      </w:r>
      <w:r w:rsidR="00920639" w:rsidRPr="00043B8D">
        <w:rPr>
          <w:rFonts w:cs="Tahoma"/>
          <w:i/>
          <w:lang w:val="nl-BE"/>
        </w:rPr>
        <w:t xml:space="preserve"> (-)</w:t>
      </w:r>
    </w:p>
    <w:p w14:paraId="7773A3A7" w14:textId="77777777" w:rsidR="00552E21" w:rsidRPr="00043B8D" w:rsidRDefault="00552E21" w:rsidP="007514A4">
      <w:pPr>
        <w:tabs>
          <w:tab w:val="left" w:pos="1843"/>
        </w:tabs>
        <w:ind w:left="1843" w:hanging="1135"/>
        <w:rPr>
          <w:rFonts w:cs="Tahoma"/>
          <w:i/>
          <w:lang w:val="nl-BE"/>
        </w:rPr>
      </w:pPr>
    </w:p>
    <w:p w14:paraId="2A5A43DE" w14:textId="671C6D30" w:rsidR="00552E21" w:rsidRPr="00043B8D" w:rsidRDefault="00552E21" w:rsidP="007514A4">
      <w:pPr>
        <w:tabs>
          <w:tab w:val="left" w:pos="1843"/>
        </w:tabs>
        <w:ind w:left="1843" w:hanging="1135"/>
        <w:rPr>
          <w:rFonts w:cs="Tahoma"/>
          <w:i/>
          <w:lang w:val="nl-BE"/>
        </w:rPr>
      </w:pPr>
      <w:r w:rsidRPr="00043B8D">
        <w:rPr>
          <w:rFonts w:cs="Tahoma"/>
          <w:i/>
          <w:lang w:val="nl-BE"/>
        </w:rPr>
        <w:t>NBK</w:t>
      </w:r>
      <w:r w:rsidRPr="00043B8D">
        <w:rPr>
          <w:rFonts w:cs="Tahoma"/>
          <w:i/>
          <w:vertAlign w:val="subscript"/>
          <w:lang w:val="nl-BE"/>
        </w:rPr>
        <w:t>j</w:t>
      </w:r>
      <w:r w:rsidR="00804D74" w:rsidRPr="00043B8D">
        <w:rPr>
          <w:rFonts w:cs="Tahoma"/>
          <w:i/>
          <w:vertAlign w:val="subscript"/>
          <w:lang w:val="nl-BE"/>
        </w:rPr>
        <w:t>,i</w:t>
      </w:r>
      <w:r w:rsidRPr="00043B8D">
        <w:rPr>
          <w:rFonts w:cs="Tahoma"/>
          <w:i/>
          <w:lang w:val="nl-BE"/>
        </w:rPr>
        <w:tab/>
        <w:t xml:space="preserve">Het </w:t>
      </w:r>
      <w:r w:rsidR="00920639" w:rsidRPr="00043B8D">
        <w:rPr>
          <w:rFonts w:cs="Tahoma"/>
          <w:i/>
          <w:lang w:val="nl-BE"/>
        </w:rPr>
        <w:t xml:space="preserve">door de VREG aanvaarde </w:t>
      </w:r>
      <w:r w:rsidRPr="00043B8D">
        <w:rPr>
          <w:rFonts w:cs="Tahoma"/>
          <w:i/>
          <w:lang w:val="nl-BE"/>
        </w:rPr>
        <w:t xml:space="preserve">nettobedrijfskapitaal van distributienetbeheerder i in het vorige kalenderjaar j. De </w:t>
      </w:r>
      <w:r w:rsidR="000B4252" w:rsidRPr="00043B8D">
        <w:rPr>
          <w:rFonts w:cs="Tahoma"/>
          <w:i/>
          <w:lang w:val="nl-BE"/>
        </w:rPr>
        <w:t>samenstelling</w:t>
      </w:r>
      <w:r w:rsidRPr="00043B8D">
        <w:rPr>
          <w:rFonts w:cs="Tahoma"/>
          <w:i/>
          <w:lang w:val="nl-BE"/>
        </w:rPr>
        <w:t xml:space="preserve"> van het nettobedrijfskapitaal wordt in detail gespecifieerd in het document van de VREG over de </w:t>
      </w:r>
      <w:r w:rsidR="009E2DC4" w:rsidRPr="00043B8D">
        <w:rPr>
          <w:rFonts w:cs="Tahoma"/>
          <w:i/>
          <w:lang w:val="nl-BE"/>
        </w:rPr>
        <w:t>kapitaalkostenvergoeding</w:t>
      </w:r>
      <w:r w:rsidR="00D81E05" w:rsidRPr="00043B8D">
        <w:rPr>
          <w:rFonts w:cs="Tahoma"/>
          <w:i/>
          <w:lang w:val="nl-BE"/>
        </w:rPr>
        <w:t xml:space="preserve"> in </w:t>
      </w:r>
      <w:hyperlink w:anchor="_Bijlage_2:_Rapport" w:history="1">
        <w:r w:rsidR="00D81E05" w:rsidRPr="00043B8D">
          <w:rPr>
            <w:rStyle w:val="Hyperlink"/>
            <w:rFonts w:cs="Tahoma"/>
            <w:i/>
            <w:color w:val="auto"/>
            <w:lang w:val="nl-BE"/>
          </w:rPr>
          <w:t>bijlage</w:t>
        </w:r>
        <w:r w:rsidR="000B4252" w:rsidRPr="00043B8D">
          <w:rPr>
            <w:rStyle w:val="Hyperlink"/>
            <w:rFonts w:cs="Tahoma"/>
            <w:i/>
            <w:color w:val="auto"/>
            <w:lang w:val="nl-BE"/>
          </w:rPr>
          <w:t xml:space="preserve"> 2</w:t>
        </w:r>
      </w:hyperlink>
      <w:r w:rsidRPr="00043B8D">
        <w:rPr>
          <w:rFonts w:cs="Tahoma"/>
          <w:i/>
          <w:lang w:val="nl-BE"/>
        </w:rPr>
        <w:t>.</w:t>
      </w:r>
      <w:r w:rsidR="00920639" w:rsidRPr="00043B8D">
        <w:rPr>
          <w:rFonts w:cs="Tahoma"/>
          <w:i/>
          <w:lang w:val="nl-BE"/>
        </w:rPr>
        <w:t xml:space="preserve"> (EUR)</w:t>
      </w:r>
    </w:p>
    <w:p w14:paraId="63EA5B69" w14:textId="77777777" w:rsidR="00552E21" w:rsidRPr="00043B8D" w:rsidRDefault="00552E21" w:rsidP="007514A4">
      <w:pPr>
        <w:tabs>
          <w:tab w:val="left" w:pos="1843"/>
        </w:tabs>
        <w:ind w:left="1843" w:hanging="1135"/>
        <w:rPr>
          <w:rFonts w:cs="Tahoma"/>
          <w:i/>
          <w:lang w:val="nl-BE"/>
        </w:rPr>
      </w:pPr>
    </w:p>
    <w:p w14:paraId="30C1BB17" w14:textId="6CE04D0E" w:rsidR="00552E21" w:rsidRPr="00043B8D" w:rsidRDefault="00552E21" w:rsidP="007514A4">
      <w:pPr>
        <w:tabs>
          <w:tab w:val="left" w:pos="1843"/>
        </w:tabs>
        <w:ind w:left="1843" w:hanging="1135"/>
        <w:rPr>
          <w:rFonts w:cs="Tahoma"/>
          <w:i/>
          <w:lang w:val="nl-BE"/>
        </w:rPr>
      </w:pPr>
      <w:r w:rsidRPr="00043B8D">
        <w:rPr>
          <w:rFonts w:cs="Tahoma"/>
          <w:i/>
          <w:lang w:val="nl-BE"/>
        </w:rPr>
        <w:t>k</w:t>
      </w:r>
      <w:r w:rsidRPr="00043B8D">
        <w:rPr>
          <w:rFonts w:cs="Tahoma"/>
          <w:i/>
          <w:vertAlign w:val="subscript"/>
          <w:lang w:val="nl-BE"/>
        </w:rPr>
        <w:t>VV</w:t>
      </w:r>
      <w:r w:rsidRPr="00043B8D">
        <w:rPr>
          <w:rFonts w:cs="Tahoma"/>
          <w:i/>
          <w:lang w:val="nl-BE"/>
        </w:rPr>
        <w:tab/>
      </w:r>
      <w:r w:rsidR="00B226C1" w:rsidRPr="00043B8D">
        <w:rPr>
          <w:rFonts w:cs="Tahoma"/>
          <w:i/>
          <w:lang w:val="nl-BE"/>
        </w:rPr>
        <w:t>D</w:t>
      </w:r>
      <w:r w:rsidRPr="00043B8D">
        <w:rPr>
          <w:rFonts w:cs="Tahoma"/>
          <w:i/>
          <w:lang w:val="nl-BE"/>
        </w:rPr>
        <w:t>e</w:t>
      </w:r>
      <w:r w:rsidR="00B226C1" w:rsidRPr="00043B8D">
        <w:rPr>
          <w:rFonts w:cs="Tahoma"/>
          <w:i/>
          <w:lang w:val="nl-BE"/>
        </w:rPr>
        <w:t xml:space="preserve"> door de VREG vastgestelde kostenvoet van het vreemd vermogen </w:t>
      </w:r>
      <w:r w:rsidR="000B4252" w:rsidRPr="00043B8D">
        <w:rPr>
          <w:rFonts w:cs="Tahoma"/>
          <w:i/>
          <w:lang w:val="nl-BE"/>
        </w:rPr>
        <w:t>voor</w:t>
      </w:r>
      <w:r w:rsidR="00B226C1" w:rsidRPr="00043B8D">
        <w:rPr>
          <w:rFonts w:cs="Tahoma"/>
          <w:i/>
          <w:lang w:val="nl-BE"/>
        </w:rPr>
        <w:t xml:space="preserve"> de volgende reguleringsperiode. De samenstelling van deze kostenvoet wordt in detail gespecifieerd in het document van de VREG over de </w:t>
      </w:r>
      <w:r w:rsidR="009E2DC4" w:rsidRPr="00043B8D">
        <w:rPr>
          <w:rFonts w:cs="Tahoma"/>
          <w:i/>
          <w:lang w:val="nl-BE"/>
        </w:rPr>
        <w:t>kapitaalkostenvergoeding</w:t>
      </w:r>
      <w:r w:rsidR="00D81E05" w:rsidRPr="00043B8D">
        <w:rPr>
          <w:rFonts w:cs="Tahoma"/>
          <w:i/>
          <w:lang w:val="nl-BE"/>
        </w:rPr>
        <w:t xml:space="preserve"> in </w:t>
      </w:r>
      <w:hyperlink w:anchor="_Bijlage_2:_Rapport" w:history="1">
        <w:r w:rsidR="00D81E05" w:rsidRPr="00043B8D">
          <w:rPr>
            <w:rStyle w:val="Hyperlink"/>
            <w:rFonts w:cs="Tahoma"/>
            <w:i/>
            <w:color w:val="auto"/>
            <w:lang w:val="nl-BE"/>
          </w:rPr>
          <w:t>bijlage</w:t>
        </w:r>
        <w:r w:rsidR="000B4252" w:rsidRPr="00043B8D">
          <w:rPr>
            <w:rStyle w:val="Hyperlink"/>
            <w:rFonts w:cs="Tahoma"/>
            <w:i/>
            <w:color w:val="auto"/>
            <w:lang w:val="nl-BE"/>
          </w:rPr>
          <w:t xml:space="preserve"> 2</w:t>
        </w:r>
      </w:hyperlink>
      <w:r w:rsidR="00B226C1" w:rsidRPr="00043B8D">
        <w:rPr>
          <w:rFonts w:cs="Tahoma"/>
          <w:i/>
          <w:lang w:val="nl-BE"/>
        </w:rPr>
        <w:t>.</w:t>
      </w:r>
      <w:r w:rsidR="00920639" w:rsidRPr="00043B8D">
        <w:rPr>
          <w:rFonts w:cs="Tahoma"/>
          <w:i/>
          <w:lang w:val="nl-BE"/>
        </w:rPr>
        <w:t xml:space="preserve"> (-)</w:t>
      </w:r>
    </w:p>
    <w:p w14:paraId="13332312" w14:textId="77777777" w:rsidR="004C6F69" w:rsidRPr="00043B8D" w:rsidRDefault="004C6F69" w:rsidP="005E7122">
      <w:pPr>
        <w:tabs>
          <w:tab w:val="left" w:pos="1701"/>
        </w:tabs>
        <w:rPr>
          <w:rFonts w:cs="Tahoma"/>
          <w:b/>
          <w:lang w:val="nl-BE"/>
        </w:rPr>
      </w:pPr>
    </w:p>
    <w:p w14:paraId="2BD5287B" w14:textId="77777777" w:rsidR="000F0E8B" w:rsidRPr="00043B8D" w:rsidRDefault="000F0E8B" w:rsidP="005251E2">
      <w:pPr>
        <w:pStyle w:val="Kop2"/>
        <w:numPr>
          <w:ilvl w:val="1"/>
          <w:numId w:val="24"/>
        </w:numPr>
        <w:ind w:hanging="644"/>
      </w:pPr>
      <w:bookmarkStart w:id="332" w:name="_Ref363651894"/>
      <w:bookmarkStart w:id="333" w:name="_Toc454186668"/>
      <w:r w:rsidRPr="00043B8D">
        <w:t>Exogene kosten</w:t>
      </w:r>
      <w:bookmarkEnd w:id="332"/>
      <w:bookmarkEnd w:id="333"/>
    </w:p>
    <w:p w14:paraId="2B7EC057" w14:textId="77777777" w:rsidR="000F0E8B" w:rsidRPr="00043B8D" w:rsidRDefault="000F0E8B" w:rsidP="000F0E8B"/>
    <w:p w14:paraId="38A59249" w14:textId="0DC3CD06" w:rsidR="00EA4071" w:rsidRPr="00043B8D" w:rsidRDefault="000F0E8B" w:rsidP="00D42C6C">
      <w:r w:rsidRPr="00043B8D">
        <w:t>Zoals vermeld (</w:t>
      </w:r>
      <w:r w:rsidR="00CD59FB" w:rsidRPr="00043B8D">
        <w:t>par</w:t>
      </w:r>
      <w:r w:rsidR="000B4252" w:rsidRPr="00043B8D">
        <w:t>.</w:t>
      </w:r>
      <w:r w:rsidR="00CD59FB" w:rsidRPr="00043B8D">
        <w:t xml:space="preserve"> </w:t>
      </w:r>
      <w:r w:rsidRPr="00043B8D">
        <w:fldChar w:fldCharType="begin"/>
      </w:r>
      <w:r w:rsidRPr="00043B8D">
        <w:instrText xml:space="preserve"> REF _Ref365465088 \r \h </w:instrText>
      </w:r>
      <w:r w:rsidR="00043B8D">
        <w:instrText xml:space="preserve"> \* MERGEFORMAT </w:instrText>
      </w:r>
      <w:r w:rsidRPr="00043B8D">
        <w:fldChar w:fldCharType="separate"/>
      </w:r>
      <w:r w:rsidR="00B30F9B">
        <w:t>5.2</w:t>
      </w:r>
      <w:r w:rsidRPr="00043B8D">
        <w:fldChar w:fldCharType="end"/>
      </w:r>
      <w:r w:rsidRPr="00043B8D">
        <w:t>)</w:t>
      </w:r>
      <w:r w:rsidR="000B4252" w:rsidRPr="00043B8D">
        <w:t>,</w:t>
      </w:r>
      <w:r w:rsidRPr="00043B8D">
        <w:t xml:space="preserve"> worden de distributienetbeheerders geconfronteerd met een aantal </w:t>
      </w:r>
      <w:r w:rsidR="0039602F" w:rsidRPr="00043B8D">
        <w:t xml:space="preserve">exogene </w:t>
      </w:r>
      <w:r w:rsidRPr="00043B8D">
        <w:t xml:space="preserve">kosten waarop zij </w:t>
      </w:r>
      <w:r w:rsidR="00D357F9" w:rsidRPr="00043B8D">
        <w:t>geen</w:t>
      </w:r>
      <w:r w:rsidRPr="00043B8D">
        <w:t xml:space="preserve"> impact hebben</w:t>
      </w:r>
      <w:r w:rsidR="008134AD" w:rsidRPr="00043B8D">
        <w:t>.</w:t>
      </w:r>
      <w:r w:rsidR="002D0B38" w:rsidRPr="00043B8D">
        <w:t xml:space="preserve"> De </w:t>
      </w:r>
      <w:r w:rsidR="0039602F" w:rsidRPr="00043B8D">
        <w:t xml:space="preserve">term </w:t>
      </w:r>
      <w:r w:rsidR="002D0B38" w:rsidRPr="00043B8D">
        <w:t>exoge</w:t>
      </w:r>
      <w:r w:rsidR="0039602F" w:rsidRPr="00043B8D">
        <w:t>e</w:t>
      </w:r>
      <w:r w:rsidR="002D0B38" w:rsidRPr="00043B8D">
        <w:t>n</w:t>
      </w:r>
      <w:r w:rsidR="0039602F" w:rsidRPr="00043B8D">
        <w:t xml:space="preserve"> geeft aan dat</w:t>
      </w:r>
      <w:r w:rsidR="006260A2" w:rsidRPr="00043B8D">
        <w:t xml:space="preserve"> zij buiten de invloedsfeer van de distributienetbeheerder</w:t>
      </w:r>
      <w:r w:rsidR="0039602F" w:rsidRPr="00043B8D">
        <w:t xml:space="preserve"> liggen</w:t>
      </w:r>
      <w:r w:rsidR="00425AB1" w:rsidRPr="00043B8D">
        <w:t xml:space="preserve">. Het zijn kosten </w:t>
      </w:r>
      <w:r w:rsidR="002D0B38" w:rsidRPr="00043B8D">
        <w:t xml:space="preserve">die </w:t>
      </w:r>
      <w:r w:rsidR="006260A2" w:rsidRPr="00043B8D">
        <w:t xml:space="preserve">hij </w:t>
      </w:r>
      <w:r w:rsidR="002D0B38" w:rsidRPr="00043B8D">
        <w:t xml:space="preserve">ten laste moet nemen </w:t>
      </w:r>
      <w:r w:rsidR="00425AB1" w:rsidRPr="00043B8D">
        <w:t>van</w:t>
      </w:r>
      <w:r w:rsidR="00D42C6C" w:rsidRPr="00043B8D">
        <w:t xml:space="preserve">uit een </w:t>
      </w:r>
      <w:r w:rsidR="006260A2" w:rsidRPr="00043B8D">
        <w:t xml:space="preserve">specifieke </w:t>
      </w:r>
      <w:r w:rsidR="002D0B38" w:rsidRPr="00043B8D">
        <w:t>wettelijk</w:t>
      </w:r>
      <w:r w:rsidR="00D42C6C" w:rsidRPr="00043B8D">
        <w:t>e</w:t>
      </w:r>
      <w:r w:rsidR="002D0B38" w:rsidRPr="00043B8D">
        <w:t xml:space="preserve"> of decretal</w:t>
      </w:r>
      <w:r w:rsidR="00D42C6C" w:rsidRPr="00043B8D">
        <w:t xml:space="preserve">e verplichting </w:t>
      </w:r>
      <w:r w:rsidR="0039602F" w:rsidRPr="00043B8D">
        <w:t xml:space="preserve">en die hij niet kon </w:t>
      </w:r>
      <w:r w:rsidR="002D0B38" w:rsidRPr="00043B8D">
        <w:t>beïnvloeden</w:t>
      </w:r>
      <w:r w:rsidR="00D42C6C" w:rsidRPr="00043B8D">
        <w:t>.</w:t>
      </w:r>
    </w:p>
    <w:p w14:paraId="42E9DBB4" w14:textId="77777777" w:rsidR="00EA4071" w:rsidRPr="00043B8D" w:rsidRDefault="00EA4071" w:rsidP="00D42C6C"/>
    <w:p w14:paraId="209E526C" w14:textId="544A35BD" w:rsidR="008379BA" w:rsidRPr="00043B8D" w:rsidRDefault="00425AB1" w:rsidP="00D42C6C">
      <w:r w:rsidRPr="00043B8D">
        <w:t>De</w:t>
      </w:r>
      <w:r w:rsidR="00402476" w:rsidRPr="00043B8D">
        <w:t xml:space="preserve"> </w:t>
      </w:r>
      <w:r w:rsidR="00D42C6C" w:rsidRPr="00043B8D">
        <w:t>VREG kan op d</w:t>
      </w:r>
      <w:r w:rsidR="00EA4071" w:rsidRPr="00043B8D">
        <w:t xml:space="preserve">e exogene </w:t>
      </w:r>
      <w:r w:rsidR="00D42C6C" w:rsidRPr="00043B8D">
        <w:t xml:space="preserve">kosten </w:t>
      </w:r>
      <w:r w:rsidR="002D0B38" w:rsidRPr="00043B8D">
        <w:t xml:space="preserve">geen bevorderende regulering </w:t>
      </w:r>
      <w:r w:rsidR="00D42C6C" w:rsidRPr="00043B8D">
        <w:t>toepassen</w:t>
      </w:r>
      <w:r w:rsidR="00EA4071" w:rsidRPr="00043B8D">
        <w:t>, net o</w:t>
      </w:r>
      <w:r w:rsidR="006260A2" w:rsidRPr="00043B8D">
        <w:t xml:space="preserve">mdat de distributienetbeheerder de </w:t>
      </w:r>
      <w:r w:rsidR="009321AA" w:rsidRPr="00043B8D">
        <w:t xml:space="preserve">exogene </w:t>
      </w:r>
      <w:r w:rsidR="006260A2" w:rsidRPr="00043B8D">
        <w:t>kosten niet kan beïnvloeden</w:t>
      </w:r>
      <w:r w:rsidR="00EA4071" w:rsidRPr="00043B8D">
        <w:t xml:space="preserve">. Het is dan ook </w:t>
      </w:r>
      <w:r w:rsidR="009321AA" w:rsidRPr="00043B8D">
        <w:t>gepast dat deze exogene kosten door de distributienetbeheerder worden doorgerekend aan de distributienetgebruikers</w:t>
      </w:r>
      <w:r w:rsidR="00F35EBE" w:rsidRPr="00043B8D">
        <w:t xml:space="preserve">, </w:t>
      </w:r>
      <w:r w:rsidR="0094050E" w:rsidRPr="00043B8D">
        <w:t xml:space="preserve">zonder winstmarge. </w:t>
      </w:r>
      <w:r w:rsidR="000B4252" w:rsidRPr="00043B8D">
        <w:t>Hiervoor zal er</w:t>
      </w:r>
      <w:r w:rsidR="00F35EBE" w:rsidRPr="00043B8D">
        <w:t xml:space="preserve"> een regulatoir saldo tussen </w:t>
      </w:r>
      <w:r w:rsidR="00EA4071" w:rsidRPr="00043B8D">
        <w:t xml:space="preserve">de </w:t>
      </w:r>
      <w:r w:rsidR="00F35EBE" w:rsidRPr="00043B8D">
        <w:t xml:space="preserve">werkelijke exogene kosten en </w:t>
      </w:r>
      <w:r w:rsidR="00EA4071" w:rsidRPr="00043B8D">
        <w:t xml:space="preserve">de </w:t>
      </w:r>
      <w:r w:rsidR="00F35EBE" w:rsidRPr="00043B8D">
        <w:t xml:space="preserve">werkelijke inkomsten </w:t>
      </w:r>
      <w:r w:rsidR="0094050E" w:rsidRPr="00043B8D">
        <w:t xml:space="preserve">uit distributienettarieven </w:t>
      </w:r>
      <w:r w:rsidR="00F35EBE" w:rsidRPr="00043B8D">
        <w:t xml:space="preserve">voor </w:t>
      </w:r>
      <w:r w:rsidR="00EA4071" w:rsidRPr="00043B8D">
        <w:t xml:space="preserve">de </w:t>
      </w:r>
      <w:r w:rsidR="00F35EBE" w:rsidRPr="00043B8D">
        <w:t>exogene kosten</w:t>
      </w:r>
      <w:r w:rsidR="000B4252" w:rsidRPr="00043B8D">
        <w:t xml:space="preserve"> worden gehanteerd</w:t>
      </w:r>
      <w:r w:rsidR="00F35EBE" w:rsidRPr="00043B8D">
        <w:t xml:space="preserve">. </w:t>
      </w:r>
      <w:r w:rsidR="00CA76A0" w:rsidRPr="00043B8D">
        <w:t xml:space="preserve">De </w:t>
      </w:r>
      <w:r w:rsidR="00F35EBE" w:rsidRPr="00043B8D">
        <w:t xml:space="preserve">door de VREG </w:t>
      </w:r>
      <w:r w:rsidR="00EA4071" w:rsidRPr="00043B8D">
        <w:t xml:space="preserve">aan een distributienetbeheerder </w:t>
      </w:r>
      <w:r w:rsidR="00F35EBE" w:rsidRPr="00043B8D">
        <w:t xml:space="preserve">toegelaten </w:t>
      </w:r>
      <w:r w:rsidR="00CA76A0" w:rsidRPr="00043B8D">
        <w:t xml:space="preserve">inkomsten </w:t>
      </w:r>
      <w:r w:rsidR="00EA4071" w:rsidRPr="00043B8D">
        <w:t xml:space="preserve">uit periodieke distributienettarieven </w:t>
      </w:r>
      <w:r w:rsidR="00CA76A0" w:rsidRPr="00043B8D">
        <w:t xml:space="preserve">ter dekking van </w:t>
      </w:r>
      <w:r w:rsidR="00EA4071" w:rsidRPr="00043B8D">
        <w:t xml:space="preserve">zijn </w:t>
      </w:r>
      <w:r w:rsidR="00F35EBE" w:rsidRPr="00043B8D">
        <w:t xml:space="preserve">exogene </w:t>
      </w:r>
      <w:r w:rsidR="00CA76A0" w:rsidRPr="00043B8D">
        <w:t xml:space="preserve">kosten zullen </w:t>
      </w:r>
      <w:r w:rsidR="00993D03" w:rsidRPr="00043B8D">
        <w:t xml:space="preserve">ex-ante </w:t>
      </w:r>
      <w:r w:rsidR="00CA76A0" w:rsidRPr="00043B8D">
        <w:t xml:space="preserve">gebaseerd zijn op een budget </w:t>
      </w:r>
      <w:r w:rsidR="00EA4071" w:rsidRPr="00043B8D">
        <w:t xml:space="preserve">voor exogene kosten </w:t>
      </w:r>
      <w:r w:rsidR="00CA76A0" w:rsidRPr="00043B8D">
        <w:t xml:space="preserve">(zoals in </w:t>
      </w:r>
      <w:r w:rsidR="006260A2" w:rsidRPr="00043B8D">
        <w:fldChar w:fldCharType="begin"/>
      </w:r>
      <w:r w:rsidR="006260A2" w:rsidRPr="00043B8D">
        <w:instrText xml:space="preserve"> REF _Ref389029855 \h  \* MERGEFORMAT </w:instrText>
      </w:r>
      <w:r w:rsidR="006260A2" w:rsidRPr="00043B8D">
        <w:fldChar w:fldCharType="separate"/>
      </w:r>
      <w:r w:rsidR="00B30F9B" w:rsidRPr="00B30F9B">
        <w:t xml:space="preserve">formule </w:t>
      </w:r>
      <w:r w:rsidR="00B30F9B" w:rsidRPr="00B30F9B">
        <w:rPr>
          <w:noProof/>
        </w:rPr>
        <w:t>3</w:t>
      </w:r>
      <w:r w:rsidR="006260A2" w:rsidRPr="00043B8D">
        <w:fldChar w:fldCharType="end"/>
      </w:r>
      <w:r w:rsidR="006260A2" w:rsidRPr="00043B8D">
        <w:t xml:space="preserve"> </w:t>
      </w:r>
      <w:r w:rsidR="00EA4071" w:rsidRPr="00043B8D">
        <w:t xml:space="preserve">werd </w:t>
      </w:r>
      <w:r w:rsidR="006260A2" w:rsidRPr="00043B8D">
        <w:t>aangegeven</w:t>
      </w:r>
      <w:r w:rsidR="00CA76A0" w:rsidRPr="00043B8D">
        <w:t>)</w:t>
      </w:r>
      <w:r w:rsidR="006A7473" w:rsidRPr="00043B8D">
        <w:t>.</w:t>
      </w:r>
      <w:r w:rsidR="00347C61" w:rsidRPr="00043B8D">
        <w:t xml:space="preserve"> </w:t>
      </w:r>
    </w:p>
    <w:p w14:paraId="74CCBE64" w14:textId="77777777" w:rsidR="008379BA" w:rsidRPr="00043B8D" w:rsidRDefault="008379BA" w:rsidP="00D42C6C"/>
    <w:p w14:paraId="6DB0F544" w14:textId="77777777" w:rsidR="00CA76A0" w:rsidRPr="00043B8D" w:rsidRDefault="00CA76A0" w:rsidP="008134AD">
      <w:r w:rsidRPr="00043B8D">
        <w:t>De exogene kosten zijn de volgende:</w:t>
      </w:r>
    </w:p>
    <w:p w14:paraId="38BE241F" w14:textId="77777777" w:rsidR="00CA76A0" w:rsidRPr="00043B8D" w:rsidRDefault="00CA76A0" w:rsidP="008134AD"/>
    <w:p w14:paraId="717C7AD2" w14:textId="5273D253" w:rsidR="000F0E8B" w:rsidRPr="00043B8D" w:rsidRDefault="002E48F3" w:rsidP="00B376D5">
      <w:pPr>
        <w:numPr>
          <w:ilvl w:val="0"/>
          <w:numId w:val="17"/>
        </w:numPr>
      </w:pPr>
      <w:r w:rsidRPr="00043B8D">
        <w:t>De door de transmissienetbeheerder</w:t>
      </w:r>
      <w:r w:rsidR="00640260" w:rsidRPr="00043B8D">
        <w:t xml:space="preserve"> </w:t>
      </w:r>
      <w:r w:rsidRPr="00043B8D">
        <w:t xml:space="preserve">aangerekende vergoeding voor het gebruik van het transmissienet, </w:t>
      </w:r>
      <w:r w:rsidR="005F4942" w:rsidRPr="00043B8D">
        <w:t>alsook de aan- en doorgerekende transmissiekosten in geval van doorvoer,</w:t>
      </w:r>
      <w:r w:rsidR="000B540B" w:rsidRPr="00043B8D">
        <w:t xml:space="preserve"> </w:t>
      </w:r>
      <w:r w:rsidRPr="00043B8D">
        <w:t>de door de transmissienetbeheerder doorgerekende toeslagen</w:t>
      </w:r>
      <w:r w:rsidR="001A049B" w:rsidRPr="00043B8D">
        <w:t>[</w:t>
      </w:r>
      <w:r w:rsidR="00952659" w:rsidRPr="00043B8D">
        <w:rPr>
          <w:rStyle w:val="Voetnootmarkering"/>
        </w:rPr>
        <w:footnoteReference w:id="23"/>
      </w:r>
      <w:r w:rsidR="001A049B" w:rsidRPr="00043B8D">
        <w:t>]</w:t>
      </w:r>
      <w:r w:rsidR="001A049B" w:rsidRPr="00043B8D">
        <w:rPr>
          <w:rStyle w:val="Voetnootmarkering"/>
        </w:rPr>
        <w:footnoteReference w:id="24"/>
      </w:r>
      <w:r w:rsidR="000D7CD2" w:rsidRPr="00043B8D">
        <w:t xml:space="preserve"> en de jaarlijkse doorrekening </w:t>
      </w:r>
      <w:r w:rsidR="005F4942" w:rsidRPr="00043B8D">
        <w:t>van de aansluitvergoedingen</w:t>
      </w:r>
      <w:r w:rsidR="000D7CD2" w:rsidRPr="00043B8D">
        <w:t xml:space="preserve"> voor activa in eigendom/beheer van Elia die gebruikt worden door de distributienetbeheerder</w:t>
      </w:r>
      <w:r w:rsidRPr="00043B8D">
        <w:t xml:space="preserve">. Deze benadering is dezelfde als in het verleden. De VREG beschouwt de globaliteit van de transmissiekost als een kost die reeds gereguleerd is, waarvoor de CREG de tarieven heeft vastgesteld uitgaande van kosten en inkomsten voor </w:t>
      </w:r>
      <w:r w:rsidR="00B5040E" w:rsidRPr="00043B8D">
        <w:t>de transmissienetbeheerder</w:t>
      </w:r>
      <w:r w:rsidRPr="00043B8D">
        <w:t xml:space="preserve">. De CREG vraagt daarbij niet dat de distributienetbeheerders deze kosten beïnvloeden. De VREG meent dan ook dat de mogelijke impact van de wijze van aansluiting en van de exploitatie van distributienetten op de kosten van het transmissienet verwaarloosbaar is ten opzichte van de impact die </w:t>
      </w:r>
      <w:r w:rsidR="00B5040E" w:rsidRPr="00043B8D">
        <w:t>de transmissienetbeheerder</w:t>
      </w:r>
      <w:r w:rsidRPr="00043B8D">
        <w:t xml:space="preserve"> zelf heeft op de transmissiekost en het toezicht daarop door de CREG. Voor de distributienetbeheerder zou een bevorderende regelgeving voor zijn transmissiekost een onredelijke opdracht vormen.</w:t>
      </w:r>
    </w:p>
    <w:p w14:paraId="4F80C805" w14:textId="77777777" w:rsidR="000F0E8B" w:rsidRPr="00043B8D" w:rsidRDefault="000F0E8B" w:rsidP="000F0E8B">
      <w:pPr>
        <w:ind w:left="720"/>
      </w:pPr>
    </w:p>
    <w:p w14:paraId="1A8639DE" w14:textId="319211F9" w:rsidR="000F0E8B" w:rsidRPr="00043B8D" w:rsidRDefault="000F0E8B" w:rsidP="00B376D5">
      <w:pPr>
        <w:numPr>
          <w:ilvl w:val="0"/>
          <w:numId w:val="17"/>
        </w:numPr>
      </w:pPr>
      <w:r w:rsidRPr="00043B8D">
        <w:t xml:space="preserve">De </w:t>
      </w:r>
      <w:r w:rsidR="00002507" w:rsidRPr="00043B8D">
        <w:t xml:space="preserve">effectief verschuldigde </w:t>
      </w:r>
      <w:r w:rsidR="002354BA" w:rsidRPr="00043B8D">
        <w:t>rechtspersonenbelasting</w:t>
      </w:r>
      <w:r w:rsidRPr="00043B8D">
        <w:t xml:space="preserve"> </w:t>
      </w:r>
      <w:r w:rsidR="00002507" w:rsidRPr="00043B8D">
        <w:t xml:space="preserve">en </w:t>
      </w:r>
      <w:r w:rsidR="00194D0D" w:rsidRPr="00043B8D">
        <w:t>de</w:t>
      </w:r>
      <w:r w:rsidR="00E84CEE" w:rsidRPr="00043B8D">
        <w:t xml:space="preserve"> belastingen</w:t>
      </w:r>
      <w:r w:rsidR="00004ED4" w:rsidRPr="00043B8D">
        <w:t xml:space="preserve">, met uitzondering van </w:t>
      </w:r>
      <w:r w:rsidR="00334CE7" w:rsidRPr="00043B8D">
        <w:t xml:space="preserve">een eventuele </w:t>
      </w:r>
      <w:r w:rsidR="00004ED4" w:rsidRPr="00043B8D">
        <w:t>vennootschapsbelasting</w:t>
      </w:r>
      <w:r w:rsidR="00004ED4" w:rsidRPr="00043B8D">
        <w:rPr>
          <w:rStyle w:val="Voetnootmarkering"/>
        </w:rPr>
        <w:footnoteReference w:id="25"/>
      </w:r>
      <w:r w:rsidR="00004ED4" w:rsidRPr="00043B8D">
        <w:t>,</w:t>
      </w:r>
      <w:r w:rsidR="00194D0D" w:rsidRPr="00043B8D">
        <w:t xml:space="preserve"> of andere bedragen die geheven worden </w:t>
      </w:r>
      <w:r w:rsidRPr="00043B8D">
        <w:t xml:space="preserve">door publieke overheden </w:t>
      </w:r>
      <w:r w:rsidR="00194D0D" w:rsidRPr="00043B8D">
        <w:t xml:space="preserve">en </w:t>
      </w:r>
      <w:r w:rsidRPr="00043B8D">
        <w:t xml:space="preserve">die door de betrokken distributienetbeheerder verschuldigd </w:t>
      </w:r>
      <w:r w:rsidR="00194D0D" w:rsidRPr="00043B8D">
        <w:t xml:space="preserve">(obligatio) </w:t>
      </w:r>
      <w:r w:rsidRPr="00043B8D">
        <w:t>zijn maar waarvan een derde de belasting draagt</w:t>
      </w:r>
      <w:r w:rsidR="00194D0D" w:rsidRPr="00043B8D">
        <w:t xml:space="preserve"> (contributio)</w:t>
      </w:r>
      <w:r w:rsidRPr="00043B8D">
        <w:t>.</w:t>
      </w:r>
      <w:r w:rsidR="000E042E" w:rsidRPr="00043B8D">
        <w:t xml:space="preserve"> Ook een eventuele toekomstige heffing op de exploitatie van een distributienet</w:t>
      </w:r>
      <w:r w:rsidR="000E042E" w:rsidRPr="00043B8D">
        <w:rPr>
          <w:rStyle w:val="Voetnootmarkering"/>
        </w:rPr>
        <w:footnoteReference w:id="26"/>
      </w:r>
      <w:r w:rsidR="000E042E" w:rsidRPr="00043B8D">
        <w:t xml:space="preserve"> word</w:t>
      </w:r>
      <w:r w:rsidR="003A4EA6" w:rsidRPr="00043B8D">
        <w:t>t</w:t>
      </w:r>
      <w:r w:rsidR="000E042E" w:rsidRPr="00043B8D">
        <w:t xml:space="preserve"> door de VREG beschouw</w:t>
      </w:r>
      <w:r w:rsidR="003A4EA6" w:rsidRPr="00043B8D">
        <w:t>d</w:t>
      </w:r>
      <w:r w:rsidR="000E042E" w:rsidRPr="00043B8D">
        <w:t xml:space="preserve"> als exogeen.</w:t>
      </w:r>
    </w:p>
    <w:p w14:paraId="2A66A928" w14:textId="77777777" w:rsidR="00F5442B" w:rsidRPr="00043B8D" w:rsidRDefault="00F5442B" w:rsidP="00F5442B">
      <w:pPr>
        <w:pStyle w:val="Lijstalinea"/>
      </w:pPr>
    </w:p>
    <w:p w14:paraId="3F741D27" w14:textId="6B4BA191" w:rsidR="00002507" w:rsidRPr="00043B8D" w:rsidRDefault="00190A1C" w:rsidP="00B376D5">
      <w:pPr>
        <w:numPr>
          <w:ilvl w:val="0"/>
          <w:numId w:val="17"/>
        </w:numPr>
      </w:pPr>
      <w:r w:rsidRPr="00043B8D">
        <w:t xml:space="preserve">De </w:t>
      </w:r>
      <w:r w:rsidR="00D334B2" w:rsidRPr="00043B8D">
        <w:t xml:space="preserve">lasten voor het </w:t>
      </w:r>
      <w:r w:rsidRPr="00043B8D">
        <w:t xml:space="preserve">niet-gekapitaliseerd aanvullend pensioen of het pensioen van de publieke sector, die worden betaald aan personeelsleden die een gereguleerde aardgas- </w:t>
      </w:r>
      <w:r w:rsidR="002A6F8A" w:rsidRPr="00043B8D">
        <w:t>en/</w:t>
      </w:r>
      <w:r w:rsidRPr="00043B8D">
        <w:t>of elektriciteitsdistributieactiviteit hebben verricht, die verschuldigd zijn krachtens statuten, collectieve arbeidsovereenkomsten of andere voldoende geformaliseerde overeenkomsten, die werden goedgekeurd vóór 30 april 1999, of die worden betaald aan hun rechthebbenden of vergoed aan hun werkgever door een distributienetbeheerder.</w:t>
      </w:r>
    </w:p>
    <w:p w14:paraId="648F2ECB" w14:textId="77777777" w:rsidR="000F0E8B" w:rsidRPr="00043B8D" w:rsidRDefault="000F0E8B" w:rsidP="000F0E8B">
      <w:pPr>
        <w:ind w:left="720"/>
      </w:pPr>
    </w:p>
    <w:p w14:paraId="6403027A" w14:textId="66399AF1" w:rsidR="000F0E8B" w:rsidRPr="00043B8D" w:rsidRDefault="00C87776" w:rsidP="00B376D5">
      <w:pPr>
        <w:numPr>
          <w:ilvl w:val="0"/>
          <w:numId w:val="17"/>
        </w:numPr>
      </w:pPr>
      <w:r w:rsidRPr="00043B8D">
        <w:t>De netto-kost van de door de Vlaamse overheid vastgestelde premies</w:t>
      </w:r>
      <w:r w:rsidR="00451CF8" w:rsidRPr="00043B8D">
        <w:rPr>
          <w:rStyle w:val="Voetnootmarkering"/>
        </w:rPr>
        <w:footnoteReference w:id="27"/>
      </w:r>
      <w:r w:rsidRPr="00043B8D">
        <w:t xml:space="preserve"> door de elektriciteitsdistributienetbeheerders te betalen aan distributienetgebruikers voor hun investeringen in rationeel energiegebruik, d.i. de betaalde premies min de hiervoor door de distributienetbeheerder ontvangen vergoeding van het Vlaams Gewest.</w:t>
      </w:r>
    </w:p>
    <w:p w14:paraId="6282EF44" w14:textId="77777777" w:rsidR="000F0E8B" w:rsidRPr="00043B8D" w:rsidRDefault="000F0E8B" w:rsidP="000F0E8B"/>
    <w:p w14:paraId="5421E196" w14:textId="6B43F6B0" w:rsidR="000F0E8B" w:rsidRPr="00043B8D" w:rsidRDefault="000F0E8B" w:rsidP="00B376D5">
      <w:pPr>
        <w:numPr>
          <w:ilvl w:val="0"/>
          <w:numId w:val="17"/>
        </w:numPr>
      </w:pPr>
      <w:r w:rsidRPr="00043B8D">
        <w:t xml:space="preserve">De </w:t>
      </w:r>
      <w:r w:rsidR="000568DC" w:rsidRPr="00043B8D">
        <w:t>kosten bij de decreta</w:t>
      </w:r>
      <w:r w:rsidR="00C87776" w:rsidRPr="00043B8D">
        <w:t>a</w:t>
      </w:r>
      <w:r w:rsidR="000568DC" w:rsidRPr="00043B8D">
        <w:t>l</w:t>
      </w:r>
      <w:r w:rsidR="00932DA6" w:rsidRPr="00043B8D">
        <w:rPr>
          <w:rStyle w:val="Voetnootmarkering"/>
        </w:rPr>
        <w:footnoteReference w:id="28"/>
      </w:r>
      <w:r w:rsidR="000568DC" w:rsidRPr="00043B8D">
        <w:t xml:space="preserve"> </w:t>
      </w:r>
      <w:r w:rsidRPr="00043B8D">
        <w:t>verplichte aankoop</w:t>
      </w:r>
      <w:r w:rsidR="00451CF8" w:rsidRPr="00043B8D">
        <w:t>,</w:t>
      </w:r>
      <w:r w:rsidRPr="00043B8D">
        <w:t xml:space="preserve"> aan minimum</w:t>
      </w:r>
      <w:r w:rsidR="000C6074" w:rsidRPr="00043B8D">
        <w:t>steun</w:t>
      </w:r>
      <w:r w:rsidR="00451CF8" w:rsidRPr="00043B8D">
        <w:t>,</w:t>
      </w:r>
      <w:r w:rsidR="000C6074" w:rsidRPr="00043B8D">
        <w:t xml:space="preserve"> </w:t>
      </w:r>
      <w:r w:rsidRPr="00043B8D">
        <w:t xml:space="preserve">van de aan de </w:t>
      </w:r>
      <w:r w:rsidR="002354BA" w:rsidRPr="00043B8D">
        <w:t>elektriciteits</w:t>
      </w:r>
      <w:r w:rsidRPr="00043B8D">
        <w:t>distributienetbeheerder aan</w:t>
      </w:r>
      <w:r w:rsidR="00451CF8" w:rsidRPr="00043B8D">
        <w:t>geboden groenestroom- en warmte</w:t>
      </w:r>
      <w:r w:rsidRPr="00043B8D">
        <w:t xml:space="preserve">krachtcertificaten afkomstig van op </w:t>
      </w:r>
      <w:r w:rsidR="000568DC" w:rsidRPr="00043B8D">
        <w:t xml:space="preserve">zijn </w:t>
      </w:r>
      <w:r w:rsidRPr="00043B8D">
        <w:t xml:space="preserve">distributienet aangesloten productie-installaties, de opbrengst bij hun verkoop op de certificatenmarkt en de wijziging in waardering van </w:t>
      </w:r>
      <w:r w:rsidR="000C6074" w:rsidRPr="00043B8D">
        <w:t xml:space="preserve">hun </w:t>
      </w:r>
      <w:r w:rsidRPr="00043B8D">
        <w:t xml:space="preserve">voorraad in de boekhouding. </w:t>
      </w:r>
      <w:r w:rsidR="00F772F8" w:rsidRPr="00043B8D">
        <w:t xml:space="preserve">De kosten en opbrengsten uit </w:t>
      </w:r>
      <w:r w:rsidR="00BB1BDA" w:rsidRPr="00043B8D">
        <w:t xml:space="preserve">de decretaal opgelegde verrekening van de kost van de aankoopverplichting </w:t>
      </w:r>
      <w:r w:rsidR="00F772F8" w:rsidRPr="00043B8D">
        <w:t xml:space="preserve">onder de distributienetbeheerders </w:t>
      </w:r>
      <w:r w:rsidR="00BB1BDA" w:rsidRPr="00043B8D">
        <w:t xml:space="preserve">(solidarisering) </w:t>
      </w:r>
      <w:r w:rsidR="00F772F8" w:rsidRPr="00043B8D">
        <w:t xml:space="preserve">worden eveneens als exogeen beschouwd. </w:t>
      </w:r>
      <w:r w:rsidR="000568DC" w:rsidRPr="00043B8D">
        <w:t>In overeenstemming hiermee dienen ook d</w:t>
      </w:r>
      <w:r w:rsidR="006453A8" w:rsidRPr="00043B8D">
        <w:t xml:space="preserve">e </w:t>
      </w:r>
      <w:r w:rsidR="00555A00" w:rsidRPr="00043B8D">
        <w:t xml:space="preserve">inkomsten uit </w:t>
      </w:r>
      <w:r w:rsidR="008C5988" w:rsidRPr="00043B8D">
        <w:t xml:space="preserve">vorderingen </w:t>
      </w:r>
      <w:r w:rsidRPr="00043B8D">
        <w:t xml:space="preserve">door de </w:t>
      </w:r>
      <w:r w:rsidR="00F772F8" w:rsidRPr="00043B8D">
        <w:t>elektriciteits</w:t>
      </w:r>
      <w:r w:rsidRPr="00043B8D">
        <w:t xml:space="preserve">distributienetbeheerders </w:t>
      </w:r>
      <w:r w:rsidR="008C5988" w:rsidRPr="00043B8D">
        <w:t xml:space="preserve">van </w:t>
      </w:r>
      <w:r w:rsidRPr="00043B8D">
        <w:t xml:space="preserve">de Vlaamse Overheid </w:t>
      </w:r>
      <w:r w:rsidR="006453A8" w:rsidRPr="00043B8D">
        <w:t xml:space="preserve">naar aanleiding van </w:t>
      </w:r>
      <w:r w:rsidR="008C5988" w:rsidRPr="00043B8D">
        <w:t xml:space="preserve">de verkoop van </w:t>
      </w:r>
      <w:r w:rsidR="00555A00" w:rsidRPr="00043B8D">
        <w:t xml:space="preserve">voordien </w:t>
      </w:r>
      <w:r w:rsidR="008C5988" w:rsidRPr="00043B8D">
        <w:t>geïmmobiliseerde certificaten</w:t>
      </w:r>
      <w:r w:rsidR="0048243B" w:rsidRPr="00043B8D">
        <w:t xml:space="preserve">, </w:t>
      </w:r>
      <w:r w:rsidR="00F772F8" w:rsidRPr="00043B8D">
        <w:t xml:space="preserve">overeenkomstig de bepalingen </w:t>
      </w:r>
      <w:r w:rsidR="0048243B" w:rsidRPr="00043B8D">
        <w:t xml:space="preserve">hierover </w:t>
      </w:r>
      <w:r w:rsidR="00F772F8" w:rsidRPr="00043B8D">
        <w:t xml:space="preserve">in het </w:t>
      </w:r>
      <w:r w:rsidR="00223128" w:rsidRPr="00043B8D">
        <w:t>Energiebesluit</w:t>
      </w:r>
      <w:r w:rsidR="00555A00" w:rsidRPr="00043B8D">
        <w:t>,</w:t>
      </w:r>
      <w:r w:rsidR="00F772F8" w:rsidRPr="00043B8D">
        <w:t xml:space="preserve"> </w:t>
      </w:r>
      <w:r w:rsidRPr="00043B8D">
        <w:t xml:space="preserve">als exogeen </w:t>
      </w:r>
      <w:r w:rsidR="000568DC" w:rsidRPr="00043B8D">
        <w:t xml:space="preserve">te worden </w:t>
      </w:r>
      <w:r w:rsidRPr="00043B8D">
        <w:t>beschouwd.</w:t>
      </w:r>
      <w:r w:rsidR="00025E46" w:rsidRPr="00043B8D">
        <w:t xml:space="preserve"> </w:t>
      </w:r>
    </w:p>
    <w:p w14:paraId="32D8282F" w14:textId="77777777" w:rsidR="000F0E8B" w:rsidRPr="00043B8D" w:rsidRDefault="000F0E8B" w:rsidP="000F0E8B"/>
    <w:p w14:paraId="298A741C" w14:textId="3CC5DD6A" w:rsidR="00C87776" w:rsidRPr="00043B8D" w:rsidRDefault="00C87776" w:rsidP="00B376D5">
      <w:pPr>
        <w:numPr>
          <w:ilvl w:val="0"/>
          <w:numId w:val="17"/>
        </w:numPr>
      </w:pPr>
      <w:r w:rsidRPr="00043B8D">
        <w:t>De kostprijs van de decretaal</w:t>
      </w:r>
      <w:r w:rsidR="006F4BB8" w:rsidRPr="00043B8D">
        <w:rPr>
          <w:rStyle w:val="Voetnootmarkering"/>
        </w:rPr>
        <w:footnoteReference w:id="29"/>
      </w:r>
      <w:r w:rsidRPr="00043B8D">
        <w:t xml:space="preserve"> verplichte jaarlijkse toekenning aan afnemers aangesloten op het elektriciteitsdistributienet van een hoeveelheid kWh gratis elektriciteit overeenkomstig de eenheidsprijs per kWh </w:t>
      </w:r>
      <w:r w:rsidR="005C745F" w:rsidRPr="00043B8D">
        <w:t xml:space="preserve">per jaar </w:t>
      </w:r>
      <w:r w:rsidRPr="00043B8D">
        <w:t>die d</w:t>
      </w:r>
      <w:r w:rsidR="005953D7" w:rsidRPr="00043B8D">
        <w:t>e VREG heeft bepaald</w:t>
      </w:r>
      <w:r w:rsidRPr="00043B8D">
        <w:t xml:space="preserve"> </w:t>
      </w:r>
      <w:r w:rsidR="000C08B7" w:rsidRPr="00043B8D">
        <w:t xml:space="preserve">en die </w:t>
      </w:r>
      <w:r w:rsidRPr="00043B8D">
        <w:t>door de leveranciers</w:t>
      </w:r>
      <w:r w:rsidR="000C08B7" w:rsidRPr="00043B8D">
        <w:t xml:space="preserve"> word</w:t>
      </w:r>
      <w:r w:rsidR="00451CF8" w:rsidRPr="00043B8D">
        <w:t>t</w:t>
      </w:r>
      <w:r w:rsidRPr="00043B8D">
        <w:t xml:space="preserve"> gevorderd van de elektriciteitsdistributienetbeheerders. </w:t>
      </w:r>
    </w:p>
    <w:p w14:paraId="3F951244" w14:textId="77777777" w:rsidR="000F0E8B" w:rsidRPr="00043B8D" w:rsidRDefault="000F0E8B" w:rsidP="000F0E8B"/>
    <w:p w14:paraId="54EA881A" w14:textId="2B9D0C4A" w:rsidR="005D60B3" w:rsidRPr="00043B8D" w:rsidRDefault="005D60B3" w:rsidP="005D60B3">
      <w:r w:rsidRPr="00043B8D">
        <w:t xml:space="preserve">De </w:t>
      </w:r>
      <w:r w:rsidR="002C4D88" w:rsidRPr="00043B8D">
        <w:t xml:space="preserve">exogene </w:t>
      </w:r>
      <w:r w:rsidR="00983D44" w:rsidRPr="00043B8D">
        <w:t>netto</w:t>
      </w:r>
      <w:r w:rsidRPr="00043B8D">
        <w:t xml:space="preserve">kosten m.b.t. de premies voor rationeel energiegebruik, </w:t>
      </w:r>
      <w:r w:rsidR="005C745F" w:rsidRPr="00043B8D">
        <w:t xml:space="preserve">de steun voor certificaten en de </w:t>
      </w:r>
      <w:r w:rsidRPr="00043B8D">
        <w:t>gratis kWh werden ook vroeger (</w:t>
      </w:r>
      <w:r w:rsidR="000C08B7" w:rsidRPr="00043B8D">
        <w:t xml:space="preserve">onder de </w:t>
      </w:r>
      <w:r w:rsidRPr="00043B8D">
        <w:t>tarieven</w:t>
      </w:r>
      <w:r w:rsidR="005C745F" w:rsidRPr="00043B8D">
        <w:t>-</w:t>
      </w:r>
      <w:r w:rsidRPr="00043B8D">
        <w:t xml:space="preserve">KB’s 2008) via de distributienettarieven doorgerekend aan de distributienetgebruikers. Uit een onderzoek voor het jaar 2012 door de VREG blijkt dat deze kosten goed zijn voor </w:t>
      </w:r>
      <w:r w:rsidR="00374C20" w:rsidRPr="00043B8D">
        <w:t>ca.</w:t>
      </w:r>
      <w:r w:rsidRPr="00043B8D">
        <w:t xml:space="preserve"> 95% van de totale nettokosten voor </w:t>
      </w:r>
      <w:r w:rsidR="005C745F" w:rsidRPr="00043B8D">
        <w:t xml:space="preserve">de </w:t>
      </w:r>
      <w:r w:rsidRPr="00043B8D">
        <w:t>openbare dienstverplichtingen</w:t>
      </w:r>
      <w:r w:rsidR="001D2390" w:rsidRPr="00043B8D">
        <w:t xml:space="preserve"> (d.i. </w:t>
      </w:r>
      <w:r w:rsidR="005C745F" w:rsidRPr="00043B8D">
        <w:t>inclusief sociale energieleveringen en openbare verlichting</w:t>
      </w:r>
      <w:r w:rsidR="001D2390" w:rsidRPr="00043B8D">
        <w:t>)</w:t>
      </w:r>
      <w:r w:rsidRPr="00043B8D">
        <w:t xml:space="preserve">. Voor het resterende gedeelte </w:t>
      </w:r>
      <w:r w:rsidR="0002207E" w:rsidRPr="00043B8D">
        <w:t>van de kosten voor openbare</w:t>
      </w:r>
      <w:r w:rsidR="00013FCD" w:rsidRPr="00043B8D">
        <w:t xml:space="preserve"> </w:t>
      </w:r>
      <w:r w:rsidR="0002207E" w:rsidRPr="00043B8D">
        <w:t xml:space="preserve">dienstverplichtingen </w:t>
      </w:r>
      <w:r w:rsidRPr="00043B8D">
        <w:t xml:space="preserve">past de VREG een </w:t>
      </w:r>
      <w:r w:rsidR="0002207E" w:rsidRPr="00043B8D">
        <w:t xml:space="preserve">verrekening in de distributienettarieven </w:t>
      </w:r>
      <w:r w:rsidRPr="00043B8D">
        <w:t xml:space="preserve">toe </w:t>
      </w:r>
      <w:r w:rsidR="000C08B7" w:rsidRPr="00043B8D">
        <w:t>onder de methodiek van de</w:t>
      </w:r>
      <w:r w:rsidR="006F45B8" w:rsidRPr="00043B8D">
        <w:t xml:space="preserve"> niet-exogene kosten </w:t>
      </w:r>
      <w:r w:rsidRPr="00043B8D">
        <w:t>(</w:t>
      </w:r>
      <w:r w:rsidR="006F23DB" w:rsidRPr="00043B8D">
        <w:t xml:space="preserve">beschreven in par. </w:t>
      </w:r>
      <w:r w:rsidR="000C08B7" w:rsidRPr="00043B8D">
        <w:fldChar w:fldCharType="begin"/>
      </w:r>
      <w:r w:rsidR="000C08B7" w:rsidRPr="00043B8D">
        <w:instrText xml:space="preserve"> REF _Ref363653859 \r \h </w:instrText>
      </w:r>
      <w:r w:rsidR="00043B8D">
        <w:instrText xml:space="preserve"> \* MERGEFORMAT </w:instrText>
      </w:r>
      <w:r w:rsidR="000C08B7" w:rsidRPr="00043B8D">
        <w:fldChar w:fldCharType="separate"/>
      </w:r>
      <w:r w:rsidR="00B30F9B">
        <w:t>5.3</w:t>
      </w:r>
      <w:r w:rsidR="000C08B7" w:rsidRPr="00043B8D">
        <w:fldChar w:fldCharType="end"/>
      </w:r>
      <w:r w:rsidRPr="00043B8D">
        <w:t>). D</w:t>
      </w:r>
      <w:r w:rsidR="00316F3F" w:rsidRPr="00043B8D">
        <w:t>e overige kosten</w:t>
      </w:r>
      <w:r w:rsidR="000C08B7" w:rsidRPr="00043B8D">
        <w:t xml:space="preserve"> m.b.t. openbare dienstverplichtingen</w:t>
      </w:r>
      <w:r w:rsidR="00316F3F" w:rsidRPr="00043B8D">
        <w:t xml:space="preserve"> zijn o.a. </w:t>
      </w:r>
      <w:r w:rsidRPr="00043B8D">
        <w:t xml:space="preserve">de kosten voor </w:t>
      </w:r>
      <w:r w:rsidR="006F45B8" w:rsidRPr="00043B8D">
        <w:t xml:space="preserve">de </w:t>
      </w:r>
      <w:r w:rsidR="00FE1173" w:rsidRPr="00043B8D">
        <w:t>technische</w:t>
      </w:r>
      <w:r w:rsidRPr="00043B8D">
        <w:t xml:space="preserve"> en administratie</w:t>
      </w:r>
      <w:r w:rsidR="0002207E" w:rsidRPr="00043B8D">
        <w:t>ve ondersteuning</w:t>
      </w:r>
      <w:r w:rsidRPr="00043B8D">
        <w:t xml:space="preserve"> betrokken bij de uitvoering van de openbare dienstverplichtingen, de nettokosten of -opbrengsten uit de aan</w:t>
      </w:r>
      <w:r w:rsidR="0002207E" w:rsidRPr="00043B8D">
        <w:t>koop</w:t>
      </w:r>
      <w:r w:rsidRPr="00043B8D">
        <w:t xml:space="preserve"> en verkoop van energie als sociale leverancier</w:t>
      </w:r>
      <w:r w:rsidR="0002207E" w:rsidRPr="00043B8D">
        <w:t>, de kosten voor dubieuze debiteuren en</w:t>
      </w:r>
      <w:r w:rsidRPr="00043B8D">
        <w:t xml:space="preserve"> de afschrijving</w:t>
      </w:r>
      <w:r w:rsidR="00696A66" w:rsidRPr="00043B8D">
        <w:t xml:space="preserve"> </w:t>
      </w:r>
      <w:r w:rsidRPr="00043B8D">
        <w:t xml:space="preserve">van budgetmeters. </w:t>
      </w:r>
      <w:r w:rsidR="00CC0E92" w:rsidRPr="00043B8D">
        <w:t xml:space="preserve">Het is volgens de VREG niet aangewezen om voor deze groep van kosten te werken onder vorm van een </w:t>
      </w:r>
      <w:r w:rsidR="009F7630" w:rsidRPr="00043B8D">
        <w:t xml:space="preserve">gegarandeerde doorrekening </w:t>
      </w:r>
      <w:r w:rsidR="00431150" w:rsidRPr="00043B8D">
        <w:t xml:space="preserve">van gemaakte kosten </w:t>
      </w:r>
      <w:r w:rsidR="009F7630" w:rsidRPr="00043B8D">
        <w:t xml:space="preserve">aan </w:t>
      </w:r>
      <w:r w:rsidR="00055821" w:rsidRPr="00043B8D">
        <w:t>distributienetgebruikers</w:t>
      </w:r>
      <w:r w:rsidR="009F7630" w:rsidRPr="00043B8D">
        <w:t xml:space="preserve"> zoals in een </w:t>
      </w:r>
      <w:r w:rsidR="00CC0E92" w:rsidRPr="00043B8D">
        <w:t xml:space="preserve">rendementsregulering, </w:t>
      </w:r>
      <w:r w:rsidR="009F7630" w:rsidRPr="00043B8D">
        <w:t xml:space="preserve">om de redenen </w:t>
      </w:r>
      <w:r w:rsidR="00CC0E92" w:rsidRPr="00043B8D">
        <w:t>hierboven verduidelijkt</w:t>
      </w:r>
      <w:r w:rsidR="005C745F" w:rsidRPr="00043B8D">
        <w:t xml:space="preserve">, zoals het </w:t>
      </w:r>
      <w:r w:rsidR="005953D7" w:rsidRPr="00043B8D">
        <w:t xml:space="preserve">volledig </w:t>
      </w:r>
      <w:r w:rsidR="005C745F" w:rsidRPr="00043B8D">
        <w:t>ontbreken van een prikkel voor efficiënte bedrijfsvoering</w:t>
      </w:r>
      <w:r w:rsidR="005953D7" w:rsidRPr="00043B8D">
        <w:t xml:space="preserve"> en de beperkte invloed die een regulator, die kampt met een informatieachterstand, erop kan uitoefenen</w:t>
      </w:r>
      <w:r w:rsidR="00CC0E92" w:rsidRPr="00043B8D">
        <w:t xml:space="preserve">. Bovendien zou dergelijk aanpak </w:t>
      </w:r>
      <w:r w:rsidR="006F45B8" w:rsidRPr="00043B8D">
        <w:t xml:space="preserve">in de tariefmethodologie </w:t>
      </w:r>
      <w:r w:rsidR="00CC0E92" w:rsidRPr="00043B8D">
        <w:t xml:space="preserve">een discriminerende </w:t>
      </w:r>
      <w:r w:rsidR="00E10362" w:rsidRPr="00043B8D">
        <w:t xml:space="preserve">en niet-transparante </w:t>
      </w:r>
      <w:r w:rsidR="00CC0E92" w:rsidRPr="00043B8D">
        <w:t xml:space="preserve">behandeling </w:t>
      </w:r>
      <w:r w:rsidR="006F45B8" w:rsidRPr="00043B8D">
        <w:t xml:space="preserve">van kosten </w:t>
      </w:r>
      <w:r w:rsidR="00316F3F" w:rsidRPr="00043B8D">
        <w:t xml:space="preserve">binnen </w:t>
      </w:r>
      <w:r w:rsidR="009F7630" w:rsidRPr="00043B8D">
        <w:t xml:space="preserve">eenzelfde </w:t>
      </w:r>
      <w:r w:rsidR="00316F3F" w:rsidRPr="00043B8D">
        <w:t>kosten</w:t>
      </w:r>
      <w:r w:rsidR="009F7630" w:rsidRPr="00043B8D">
        <w:t>groep (bv. personeelskosten)</w:t>
      </w:r>
      <w:r w:rsidR="00316F3F" w:rsidRPr="00043B8D">
        <w:t xml:space="preserve"> </w:t>
      </w:r>
      <w:r w:rsidR="00CC0E92" w:rsidRPr="00043B8D">
        <w:t>met zich meebrengen</w:t>
      </w:r>
      <w:r w:rsidR="005953D7" w:rsidRPr="00043B8D">
        <w:t>.</w:t>
      </w:r>
      <w:r w:rsidR="00431150" w:rsidRPr="00043B8D">
        <w:t xml:space="preserve"> </w:t>
      </w:r>
      <w:r w:rsidR="001B141A" w:rsidRPr="00043B8D">
        <w:t xml:space="preserve">Een </w:t>
      </w:r>
      <w:r w:rsidR="00431150" w:rsidRPr="00043B8D">
        <w:t xml:space="preserve">onderneming zou </w:t>
      </w:r>
      <w:r w:rsidR="001B141A" w:rsidRPr="00043B8D">
        <w:t xml:space="preserve">aldus </w:t>
      </w:r>
      <w:r w:rsidR="00431150" w:rsidRPr="00043B8D">
        <w:t xml:space="preserve">intern kosten </w:t>
      </w:r>
      <w:r w:rsidR="00EB1816" w:rsidRPr="00043B8D">
        <w:t>bij voorkeur</w:t>
      </w:r>
      <w:r w:rsidR="00431150" w:rsidRPr="00043B8D">
        <w:t xml:space="preserve"> kunnen toewijzen aan </w:t>
      </w:r>
      <w:r w:rsidR="006F45B8" w:rsidRPr="00043B8D">
        <w:t xml:space="preserve">activiteiten in het kader van </w:t>
      </w:r>
      <w:r w:rsidR="00431150" w:rsidRPr="00043B8D">
        <w:t>openbare</w:t>
      </w:r>
      <w:r w:rsidR="00F21FE6" w:rsidRPr="00043B8D">
        <w:t xml:space="preserve"> </w:t>
      </w:r>
      <w:r w:rsidR="00431150" w:rsidRPr="00043B8D">
        <w:t>dienstverplichtingen.</w:t>
      </w:r>
    </w:p>
    <w:p w14:paraId="44743FA3" w14:textId="77777777" w:rsidR="005D60B3" w:rsidRPr="00043B8D" w:rsidRDefault="005D60B3" w:rsidP="000F0E8B"/>
    <w:p w14:paraId="3ABA2329" w14:textId="42ED33B2" w:rsidR="00042862" w:rsidRPr="00043B8D" w:rsidRDefault="00EC7285" w:rsidP="00B376D5">
      <w:pPr>
        <w:numPr>
          <w:ilvl w:val="0"/>
          <w:numId w:val="17"/>
        </w:numPr>
      </w:pPr>
      <w:r w:rsidRPr="00043B8D">
        <w:t>D</w:t>
      </w:r>
      <w:r w:rsidR="00377824" w:rsidRPr="00043B8D">
        <w:t xml:space="preserve">e </w:t>
      </w:r>
      <w:r w:rsidR="008379BA" w:rsidRPr="00043B8D">
        <w:t xml:space="preserve">periodieke distributienettarieven </w:t>
      </w:r>
      <w:r w:rsidR="00377824" w:rsidRPr="00043B8D">
        <w:t xml:space="preserve">ter dekking van de exogene kosten </w:t>
      </w:r>
      <w:r w:rsidRPr="00043B8D">
        <w:t xml:space="preserve">worden </w:t>
      </w:r>
      <w:r w:rsidR="007C02DE" w:rsidRPr="00043B8D">
        <w:t xml:space="preserve">logischerwijze </w:t>
      </w:r>
      <w:r w:rsidRPr="00043B8D">
        <w:t xml:space="preserve">ook </w:t>
      </w:r>
      <w:r w:rsidR="00377824" w:rsidRPr="00043B8D">
        <w:t xml:space="preserve">gebruikt voor </w:t>
      </w:r>
      <w:r w:rsidR="00042862" w:rsidRPr="00043B8D">
        <w:t xml:space="preserve">de afbouw van </w:t>
      </w:r>
      <w:r w:rsidR="000D0D89" w:rsidRPr="00043B8D">
        <w:t xml:space="preserve">de </w:t>
      </w:r>
      <w:r w:rsidR="00042862" w:rsidRPr="00043B8D">
        <w:t xml:space="preserve">regulatoire </w:t>
      </w:r>
      <w:r w:rsidR="003C5AE4" w:rsidRPr="00043B8D">
        <w:t>rekeningen</w:t>
      </w:r>
      <w:r w:rsidR="008379BA" w:rsidRPr="00043B8D">
        <w:t xml:space="preserve"> (par. </w:t>
      </w:r>
      <w:r w:rsidR="008379BA" w:rsidRPr="00043B8D">
        <w:fldChar w:fldCharType="begin"/>
      </w:r>
      <w:r w:rsidR="008379BA" w:rsidRPr="00043B8D">
        <w:instrText xml:space="preserve"> REF _Ref390688079 \r \h </w:instrText>
      </w:r>
      <w:r w:rsidR="00043B8D">
        <w:instrText xml:space="preserve"> \* MERGEFORMAT </w:instrText>
      </w:r>
      <w:r w:rsidR="008379BA" w:rsidRPr="00043B8D">
        <w:fldChar w:fldCharType="separate"/>
      </w:r>
      <w:r w:rsidR="00B30F9B">
        <w:t>5.5</w:t>
      </w:r>
      <w:r w:rsidR="008379BA" w:rsidRPr="00043B8D">
        <w:fldChar w:fldCharType="end"/>
      </w:r>
      <w:r w:rsidR="008379BA" w:rsidRPr="00043B8D">
        <w:t>)</w:t>
      </w:r>
      <w:r w:rsidR="0072154A" w:rsidRPr="00043B8D">
        <w:t xml:space="preserve"> </w:t>
      </w:r>
      <w:r w:rsidR="00D47D8F" w:rsidRPr="00043B8D">
        <w:t>indien</w:t>
      </w:r>
      <w:r w:rsidR="0072154A" w:rsidRPr="00043B8D">
        <w:t xml:space="preserve"> </w:t>
      </w:r>
      <w:r w:rsidR="00D47D8F" w:rsidRPr="00043B8D">
        <w:t xml:space="preserve">de kosten (of opbrengsten) </w:t>
      </w:r>
      <w:r w:rsidR="0072154A" w:rsidRPr="00043B8D">
        <w:t xml:space="preserve">worden toegewezen aan </w:t>
      </w:r>
      <w:r w:rsidR="0043051E" w:rsidRPr="00043B8D">
        <w:t xml:space="preserve">de </w:t>
      </w:r>
      <w:r w:rsidR="0072154A" w:rsidRPr="00043B8D">
        <w:t>distributienetgebruikers</w:t>
      </w:r>
      <w:r w:rsidR="00347C61" w:rsidRPr="00043B8D">
        <w:t>.</w:t>
      </w:r>
      <w:r w:rsidR="007A7A3C" w:rsidRPr="00043B8D">
        <w:t xml:space="preserve"> De distributienetbeheerder heeft dan recht op deze inkomsten (of omgekeerd</w:t>
      </w:r>
      <w:r w:rsidR="00145E07" w:rsidRPr="00043B8D">
        <w:t xml:space="preserve"> hebben</w:t>
      </w:r>
      <w:r w:rsidR="007A7A3C" w:rsidRPr="00043B8D">
        <w:t xml:space="preserve"> de distributienetgebruikers dan recht</w:t>
      </w:r>
      <w:r w:rsidR="00145E07" w:rsidRPr="00043B8D">
        <w:t xml:space="preserve"> op</w:t>
      </w:r>
      <w:r w:rsidR="007A7A3C" w:rsidRPr="00043B8D">
        <w:t xml:space="preserve"> een korting) en het is niet zinvol en niet logisch om op de afbouw van de regulatoire rekeningen een bevorderende regulering toe te passen.</w:t>
      </w:r>
    </w:p>
    <w:p w14:paraId="11E3B8A9" w14:textId="77777777" w:rsidR="003C5AE4" w:rsidRPr="00043B8D" w:rsidRDefault="003C5AE4" w:rsidP="000F0E8B"/>
    <w:p w14:paraId="682FD9EC" w14:textId="2F72E193" w:rsidR="00443A85" w:rsidRPr="00043B8D" w:rsidRDefault="00D47D8F" w:rsidP="00B376D5">
      <w:pPr>
        <w:numPr>
          <w:ilvl w:val="0"/>
          <w:numId w:val="17"/>
        </w:numPr>
      </w:pPr>
      <w:r w:rsidRPr="00043B8D">
        <w:t>D</w:t>
      </w:r>
      <w:r w:rsidR="0043051E" w:rsidRPr="00043B8D">
        <w:t xml:space="preserve">e distributienetbeheerder </w:t>
      </w:r>
      <w:r w:rsidRPr="00043B8D">
        <w:t xml:space="preserve">zal </w:t>
      </w:r>
      <w:r w:rsidR="0043051E" w:rsidRPr="00043B8D">
        <w:t xml:space="preserve">via </w:t>
      </w:r>
      <w:r w:rsidR="00313965" w:rsidRPr="00043B8D">
        <w:t>het toegelaten inkomen</w:t>
      </w:r>
      <w:r w:rsidR="0043051E" w:rsidRPr="00043B8D">
        <w:t xml:space="preserve"> voor exogene kosten de </w:t>
      </w:r>
      <w:r w:rsidR="001667E1" w:rsidRPr="00043B8D">
        <w:t>toegelaten</w:t>
      </w:r>
      <w:r w:rsidR="0043051E" w:rsidRPr="00043B8D">
        <w:t xml:space="preserve"> kapitaalkosten</w:t>
      </w:r>
      <w:r w:rsidR="00856CA6" w:rsidRPr="00043B8D">
        <w:t>vergoeding</w:t>
      </w:r>
      <w:r w:rsidR="00502C97" w:rsidRPr="00043B8D">
        <w:t xml:space="preserve">, zoals besproken in het document van de VREG over de kapitaalkostenvergoeding in </w:t>
      </w:r>
      <w:hyperlink w:anchor="_Bijlage_2:_Rapport" w:history="1">
        <w:r w:rsidR="00502C97" w:rsidRPr="00043B8D">
          <w:rPr>
            <w:rStyle w:val="Hyperlink"/>
            <w:color w:val="auto"/>
          </w:rPr>
          <w:t>bijlage 2</w:t>
        </w:r>
      </w:hyperlink>
      <w:r w:rsidR="00502C97" w:rsidRPr="00043B8D">
        <w:t xml:space="preserve">, </w:t>
      </w:r>
      <w:r w:rsidR="0043051E" w:rsidRPr="00043B8D">
        <w:t xml:space="preserve">doorrekenen m.b.t. </w:t>
      </w:r>
      <w:r w:rsidR="00856CA6" w:rsidRPr="00043B8D">
        <w:t xml:space="preserve">zijn </w:t>
      </w:r>
      <w:r w:rsidR="00443A85" w:rsidRPr="00043B8D">
        <w:t xml:space="preserve">voorraad groenestroom- en warmtekrachtcertificaten </w:t>
      </w:r>
      <w:r w:rsidR="00856CA6" w:rsidRPr="00043B8D">
        <w:t xml:space="preserve">en m.b.t. de kosten in de </w:t>
      </w:r>
      <w:r w:rsidR="00443A85" w:rsidRPr="00043B8D">
        <w:t>regulatoire rekeningen</w:t>
      </w:r>
      <w:r w:rsidR="0043051E" w:rsidRPr="00043B8D">
        <w:t xml:space="preserve">. </w:t>
      </w:r>
      <w:r w:rsidR="00F93F52" w:rsidRPr="00043B8D">
        <w:t>De</w:t>
      </w:r>
      <w:r w:rsidR="003C2799" w:rsidRPr="00043B8D">
        <w:t>ze</w:t>
      </w:r>
      <w:r w:rsidRPr="00043B8D">
        <w:t xml:space="preserve"> kapitaalkosten hebben immers een exogeen karakter </w:t>
      </w:r>
      <w:r w:rsidR="00502C97" w:rsidRPr="00043B8D">
        <w:t xml:space="preserve">van oorsprong </w:t>
      </w:r>
      <w:r w:rsidRPr="00043B8D">
        <w:t xml:space="preserve">en daarom is het aangewezen </w:t>
      </w:r>
      <w:r w:rsidR="003C2799" w:rsidRPr="00043B8D">
        <w:t xml:space="preserve">om </w:t>
      </w:r>
      <w:r w:rsidRPr="00043B8D">
        <w:t xml:space="preserve">ze op een </w:t>
      </w:r>
      <w:r w:rsidR="00502C97" w:rsidRPr="00043B8D">
        <w:t>analoge</w:t>
      </w:r>
      <w:r w:rsidRPr="00043B8D">
        <w:t xml:space="preserve"> wijze </w:t>
      </w:r>
      <w:r w:rsidR="00502C97" w:rsidRPr="00043B8D">
        <w:t>te behandelen</w:t>
      </w:r>
      <w:r w:rsidRPr="00043B8D">
        <w:t>. De distributienetbeheerder heeft aldus de garantie dat hij die kapitaalkosten</w:t>
      </w:r>
      <w:r w:rsidR="003C2799" w:rsidRPr="00043B8D">
        <w:t>vergoeding</w:t>
      </w:r>
      <w:r w:rsidRPr="00043B8D">
        <w:t xml:space="preserve"> integraal zal vorderen van zijn distributienetgebruikers. </w:t>
      </w:r>
    </w:p>
    <w:p w14:paraId="788D0EA7" w14:textId="77777777" w:rsidR="009D1DF6" w:rsidRPr="00043B8D" w:rsidRDefault="009D1DF6" w:rsidP="009D1DF6">
      <w:pPr>
        <w:pStyle w:val="Lijstalinea"/>
      </w:pPr>
    </w:p>
    <w:p w14:paraId="6BC82700" w14:textId="467ED19C" w:rsidR="009D1DF6" w:rsidRPr="00043B8D" w:rsidRDefault="00677D8E" w:rsidP="009D1DF6">
      <w:r w:rsidRPr="00043B8D">
        <w:t>[</w:t>
      </w:r>
      <w:r w:rsidR="009D1DF6" w:rsidRPr="00043B8D">
        <w:t>De eventuele opbrengsten van de distributienetbeheerder uit niet-recurrente recuperatie van exogene kosten uit bijvoorbeeld fraudezaken, worden hierbij in mindering gebracht.</w:t>
      </w:r>
      <w:r w:rsidRPr="00043B8D">
        <w:t>]</w:t>
      </w:r>
      <w:r w:rsidRPr="00043B8D">
        <w:rPr>
          <w:rStyle w:val="Voetnootmarkering"/>
        </w:rPr>
        <w:footnoteReference w:id="30"/>
      </w:r>
    </w:p>
    <w:p w14:paraId="0EC82B39" w14:textId="77777777" w:rsidR="00AF0EAB" w:rsidRPr="00043B8D" w:rsidRDefault="00AF0EAB" w:rsidP="00AF0EAB">
      <w:pPr>
        <w:rPr>
          <w:rFonts w:cs="Tahoma"/>
          <w:i/>
        </w:rPr>
      </w:pPr>
    </w:p>
    <w:p w14:paraId="302EE02E" w14:textId="77777777" w:rsidR="00AF0EAB" w:rsidRPr="00043B8D" w:rsidRDefault="00AF0EAB" w:rsidP="005251E2">
      <w:pPr>
        <w:pStyle w:val="Kop2"/>
        <w:numPr>
          <w:ilvl w:val="1"/>
          <w:numId w:val="24"/>
        </w:numPr>
        <w:ind w:hanging="644"/>
      </w:pPr>
      <w:bookmarkStart w:id="334" w:name="_Ref389031686"/>
      <w:bookmarkStart w:id="335" w:name="_Ref389031691"/>
      <w:bookmarkStart w:id="336" w:name="_Ref390688079"/>
      <w:bookmarkStart w:id="337" w:name="_Ref390688406"/>
      <w:bookmarkStart w:id="338" w:name="_Toc454186669"/>
      <w:r w:rsidRPr="00043B8D">
        <w:t xml:space="preserve">Regulatoire </w:t>
      </w:r>
      <w:bookmarkEnd w:id="334"/>
      <w:bookmarkEnd w:id="335"/>
      <w:r w:rsidR="00421D00" w:rsidRPr="00043B8D">
        <w:t>rekeningen</w:t>
      </w:r>
      <w:bookmarkEnd w:id="336"/>
      <w:bookmarkEnd w:id="337"/>
      <w:bookmarkEnd w:id="338"/>
      <w:r w:rsidRPr="00043B8D">
        <w:t xml:space="preserve"> </w:t>
      </w:r>
    </w:p>
    <w:p w14:paraId="115B2094" w14:textId="77777777" w:rsidR="00AF0EAB" w:rsidRPr="00043B8D" w:rsidRDefault="00AF0EAB" w:rsidP="00AF0EAB">
      <w:pPr>
        <w:rPr>
          <w:rFonts w:cs="Tahoma"/>
          <w:i/>
        </w:rPr>
      </w:pPr>
    </w:p>
    <w:p w14:paraId="6FFD7566" w14:textId="69277670" w:rsidR="00270C17" w:rsidRPr="00043B8D" w:rsidRDefault="00270C17" w:rsidP="00270C17">
      <w:r w:rsidRPr="00043B8D">
        <w:t xml:space="preserve">Wanneer beslist wordt tot de afbouw van een regulatoire rekening voor rekening van de distributienetgebruikers, resulteert dit, naargelang het een </w:t>
      </w:r>
      <w:r w:rsidR="00946E8C" w:rsidRPr="00043B8D">
        <w:t xml:space="preserve">historisch </w:t>
      </w:r>
      <w:r w:rsidRPr="00043B8D">
        <w:t xml:space="preserve">tekort of een overschot betreft, in respectievelijk een stijging of daling van de </w:t>
      </w:r>
      <w:r w:rsidR="00313965" w:rsidRPr="00043B8D">
        <w:t>toegelaten inkomsten</w:t>
      </w:r>
      <w:r w:rsidRPr="00043B8D">
        <w:t xml:space="preserve"> voor exogene kosten. </w:t>
      </w:r>
    </w:p>
    <w:p w14:paraId="698DCDA0" w14:textId="77777777" w:rsidR="00270C17" w:rsidRPr="00043B8D" w:rsidRDefault="00270C17" w:rsidP="008379BA">
      <w:pPr>
        <w:rPr>
          <w:rFonts w:cs="Tahoma"/>
        </w:rPr>
      </w:pPr>
    </w:p>
    <w:p w14:paraId="001671D5" w14:textId="20E51213" w:rsidR="008379BA" w:rsidRPr="00043B8D" w:rsidRDefault="00946E8C" w:rsidP="008379BA">
      <w:r w:rsidRPr="00043B8D">
        <w:rPr>
          <w:rFonts w:cs="Tahoma"/>
        </w:rPr>
        <w:t xml:space="preserve">Onder de </w:t>
      </w:r>
      <w:r w:rsidR="00AF0EAB" w:rsidRPr="00043B8D">
        <w:rPr>
          <w:rFonts w:cs="Tahoma"/>
        </w:rPr>
        <w:t xml:space="preserve">tariefmethodologie </w:t>
      </w:r>
      <w:r w:rsidRPr="00043B8D">
        <w:rPr>
          <w:rFonts w:cs="Tahoma"/>
        </w:rPr>
        <w:t xml:space="preserve">van de VREG </w:t>
      </w:r>
      <w:r w:rsidR="00AF0EAB" w:rsidRPr="00043B8D">
        <w:rPr>
          <w:rFonts w:cs="Tahoma"/>
        </w:rPr>
        <w:t xml:space="preserve">worden </w:t>
      </w:r>
      <w:r w:rsidR="00270C17" w:rsidRPr="00043B8D">
        <w:rPr>
          <w:rFonts w:cs="Tahoma"/>
        </w:rPr>
        <w:t>bepaalde</w:t>
      </w:r>
      <w:r w:rsidRPr="00043B8D">
        <w:rPr>
          <w:rFonts w:cs="Tahoma"/>
        </w:rPr>
        <w:t xml:space="preserve"> nieuwe </w:t>
      </w:r>
      <w:r w:rsidR="00AF0EAB" w:rsidRPr="00043B8D">
        <w:rPr>
          <w:rFonts w:cs="Tahoma"/>
        </w:rPr>
        <w:t>regulatoire rekeningen toegelaten. Om een onderscheid te maken met de regulatoire rekeningen uit het verleden,</w:t>
      </w:r>
      <w:r w:rsidR="00270C17" w:rsidRPr="00043B8D">
        <w:rPr>
          <w:rFonts w:cs="Tahoma"/>
        </w:rPr>
        <w:t xml:space="preserve"> door de VREG</w:t>
      </w:r>
      <w:r w:rsidR="00AF0EAB" w:rsidRPr="00043B8D">
        <w:rPr>
          <w:rFonts w:cs="Tahoma"/>
        </w:rPr>
        <w:t xml:space="preserve"> </w:t>
      </w:r>
      <w:r w:rsidR="00AF0EAB" w:rsidRPr="00043B8D">
        <w:rPr>
          <w:rFonts w:cs="Tahoma"/>
          <w:i/>
        </w:rPr>
        <w:t>regulatoir actief/</w:t>
      </w:r>
      <w:r w:rsidR="000B3271" w:rsidRPr="00043B8D">
        <w:rPr>
          <w:rFonts w:cs="Tahoma"/>
          <w:i/>
        </w:rPr>
        <w:t>-</w:t>
      </w:r>
      <w:r w:rsidR="00AF0EAB" w:rsidRPr="00043B8D">
        <w:rPr>
          <w:rFonts w:cs="Tahoma"/>
          <w:i/>
        </w:rPr>
        <w:t>passief</w:t>
      </w:r>
      <w:r w:rsidR="00AF0EAB" w:rsidRPr="00043B8D">
        <w:rPr>
          <w:rFonts w:cs="Tahoma"/>
        </w:rPr>
        <w:t xml:space="preserve"> genoemd, worden de </w:t>
      </w:r>
      <w:r w:rsidRPr="00043B8D">
        <w:rPr>
          <w:rFonts w:cs="Tahoma"/>
        </w:rPr>
        <w:t xml:space="preserve">nieuwe </w:t>
      </w:r>
      <w:r w:rsidR="00270C17" w:rsidRPr="00043B8D">
        <w:rPr>
          <w:rFonts w:cs="Tahoma"/>
        </w:rPr>
        <w:t xml:space="preserve">regulatoire </w:t>
      </w:r>
      <w:r w:rsidR="00AF0EAB" w:rsidRPr="00043B8D">
        <w:rPr>
          <w:rFonts w:cs="Tahoma"/>
        </w:rPr>
        <w:t xml:space="preserve">rekeningen in de tariefmethodologie van de VREG </w:t>
      </w:r>
      <w:r w:rsidR="00AF0EAB" w:rsidRPr="00043B8D">
        <w:rPr>
          <w:rFonts w:cs="Tahoma"/>
          <w:i/>
        </w:rPr>
        <w:t>regulatoire saldi</w:t>
      </w:r>
      <w:r w:rsidR="00AF0EAB" w:rsidRPr="00043B8D">
        <w:rPr>
          <w:rFonts w:cs="Tahoma"/>
        </w:rPr>
        <w:t xml:space="preserve"> genoemd</w:t>
      </w:r>
      <w:r w:rsidR="000E12F0" w:rsidRPr="00043B8D">
        <w:rPr>
          <w:rFonts w:cs="Tahoma"/>
        </w:rPr>
        <w:t xml:space="preserve"> (</w:t>
      </w:r>
      <w:r w:rsidR="000E12F0" w:rsidRPr="00043B8D">
        <w:fldChar w:fldCharType="begin"/>
      </w:r>
      <w:r w:rsidR="000E12F0" w:rsidRPr="00043B8D">
        <w:instrText xml:space="preserve"> REF _Ref391550639 \h </w:instrText>
      </w:r>
      <w:r w:rsidR="00043B8D">
        <w:instrText xml:space="preserve"> \* MERGEFORMAT </w:instrText>
      </w:r>
      <w:r w:rsidR="000E12F0" w:rsidRPr="00043B8D">
        <w:fldChar w:fldCharType="separate"/>
      </w:r>
      <w:r w:rsidR="00B30F9B" w:rsidRPr="00043B8D">
        <w:t xml:space="preserve">Tabel </w:t>
      </w:r>
      <w:r w:rsidR="00B30F9B">
        <w:rPr>
          <w:noProof/>
        </w:rPr>
        <w:t>3</w:t>
      </w:r>
      <w:r w:rsidR="000E12F0" w:rsidRPr="00043B8D">
        <w:fldChar w:fldCharType="end"/>
      </w:r>
      <w:r w:rsidR="000E12F0" w:rsidRPr="00043B8D">
        <w:rPr>
          <w:rFonts w:cs="Tahoma"/>
        </w:rPr>
        <w:t>)</w:t>
      </w:r>
      <w:r w:rsidR="008379BA" w:rsidRPr="00043B8D">
        <w:t>.</w:t>
      </w:r>
    </w:p>
    <w:p w14:paraId="7819B1C5" w14:textId="77777777" w:rsidR="008379BA" w:rsidRPr="00043B8D" w:rsidRDefault="008379BA" w:rsidP="008379BA"/>
    <w:p w14:paraId="0CC5D805" w14:textId="77777777" w:rsidR="008379BA" w:rsidRPr="000D284A" w:rsidRDefault="008379BA" w:rsidP="00654C50">
      <w:pPr>
        <w:pStyle w:val="Bijschrift"/>
        <w:keepNext/>
        <w:jc w:val="left"/>
        <w:rPr>
          <w:b w:val="0"/>
          <w:i/>
        </w:rPr>
      </w:pPr>
      <w:bookmarkStart w:id="339" w:name="_Ref391550639"/>
      <w:r w:rsidRPr="000D284A">
        <w:rPr>
          <w:b w:val="0"/>
          <w:i/>
        </w:rPr>
        <w:t xml:space="preserve">Tabel </w:t>
      </w:r>
      <w:r w:rsidRPr="000D284A">
        <w:rPr>
          <w:b w:val="0"/>
          <w:i/>
        </w:rPr>
        <w:fldChar w:fldCharType="begin"/>
      </w:r>
      <w:r w:rsidRPr="000D284A">
        <w:rPr>
          <w:b w:val="0"/>
          <w:i/>
        </w:rPr>
        <w:instrText xml:space="preserve"> SEQ Tabel \* ARABIC </w:instrText>
      </w:r>
      <w:r w:rsidRPr="000D284A">
        <w:rPr>
          <w:b w:val="0"/>
          <w:i/>
        </w:rPr>
        <w:fldChar w:fldCharType="separate"/>
      </w:r>
      <w:r w:rsidR="000D284A">
        <w:rPr>
          <w:b w:val="0"/>
          <w:i/>
          <w:noProof/>
        </w:rPr>
        <w:t>3</w:t>
      </w:r>
      <w:r w:rsidRPr="000D284A">
        <w:rPr>
          <w:b w:val="0"/>
          <w:i/>
        </w:rPr>
        <w:fldChar w:fldCharType="end"/>
      </w:r>
      <w:bookmarkEnd w:id="339"/>
      <w:r w:rsidRPr="000D284A">
        <w:rPr>
          <w:b w:val="0"/>
          <w:i/>
        </w:rPr>
        <w:t xml:space="preserve"> Regulatoire rekeningen</w:t>
      </w:r>
    </w:p>
    <w:tbl>
      <w:tblPr>
        <w:tblStyle w:val="Tabelraster"/>
        <w:tblW w:w="8789" w:type="dxa"/>
        <w:tblInd w:w="250" w:type="dxa"/>
        <w:tblLook w:val="04A0" w:firstRow="1" w:lastRow="0" w:firstColumn="1" w:lastColumn="0" w:noHBand="0" w:noVBand="1"/>
      </w:tblPr>
      <w:tblGrid>
        <w:gridCol w:w="4394"/>
        <w:gridCol w:w="4395"/>
      </w:tblGrid>
      <w:tr w:rsidR="008379BA" w:rsidRPr="00043B8D" w14:paraId="2D0C773B" w14:textId="77777777" w:rsidTr="00483C7B">
        <w:tc>
          <w:tcPr>
            <w:tcW w:w="8789" w:type="dxa"/>
            <w:gridSpan w:val="2"/>
          </w:tcPr>
          <w:p w14:paraId="1CFCE5E6" w14:textId="77777777" w:rsidR="008379BA" w:rsidRPr="00043B8D" w:rsidRDefault="008379BA" w:rsidP="00987942">
            <w:pPr>
              <w:jc w:val="center"/>
            </w:pPr>
            <w:r w:rsidRPr="00043B8D">
              <w:t>Regulatoire rekeningen</w:t>
            </w:r>
          </w:p>
        </w:tc>
      </w:tr>
      <w:tr w:rsidR="008379BA" w:rsidRPr="00043B8D" w14:paraId="471F015C" w14:textId="77777777" w:rsidTr="00483C7B">
        <w:tc>
          <w:tcPr>
            <w:tcW w:w="4394" w:type="dxa"/>
          </w:tcPr>
          <w:p w14:paraId="5246E1A2" w14:textId="116C659A" w:rsidR="008379BA" w:rsidRPr="00043B8D" w:rsidRDefault="008379BA" w:rsidP="00987942">
            <w:pPr>
              <w:jc w:val="left"/>
            </w:pPr>
            <w:r w:rsidRPr="00043B8D">
              <w:t>Regulatoir actief/passief</w:t>
            </w:r>
            <w:r w:rsidR="002035ED" w:rsidRPr="00043B8D">
              <w:rPr>
                <w:rStyle w:val="Voetnootmarkering"/>
              </w:rPr>
              <w:footnoteReference w:id="31"/>
            </w:r>
          </w:p>
        </w:tc>
        <w:tc>
          <w:tcPr>
            <w:tcW w:w="4395" w:type="dxa"/>
          </w:tcPr>
          <w:p w14:paraId="044ADD78" w14:textId="77777777" w:rsidR="008379BA" w:rsidRPr="00043B8D" w:rsidRDefault="008379BA" w:rsidP="00987942">
            <w:pPr>
              <w:jc w:val="left"/>
            </w:pPr>
            <w:r w:rsidRPr="00043B8D">
              <w:t>Regulatoire saldi</w:t>
            </w:r>
          </w:p>
        </w:tc>
      </w:tr>
      <w:tr w:rsidR="008379BA" w:rsidRPr="00043B8D" w14:paraId="17946527" w14:textId="77777777" w:rsidTr="00483C7B">
        <w:tc>
          <w:tcPr>
            <w:tcW w:w="4394" w:type="dxa"/>
          </w:tcPr>
          <w:p w14:paraId="0B840C2E" w14:textId="77777777" w:rsidR="008379BA" w:rsidRPr="00043B8D" w:rsidRDefault="008379BA" w:rsidP="00987942">
            <w:r w:rsidRPr="00043B8D">
              <w:t>Afkomstig van tariefmethodologieën die tot 1/1/2015 van kracht waren (o.a. tarieven-KB’s 2008)</w:t>
            </w:r>
          </w:p>
        </w:tc>
        <w:tc>
          <w:tcPr>
            <w:tcW w:w="4395" w:type="dxa"/>
          </w:tcPr>
          <w:p w14:paraId="63D3E772" w14:textId="77777777" w:rsidR="008379BA" w:rsidRPr="00043B8D" w:rsidRDefault="008379BA" w:rsidP="00987942">
            <w:r w:rsidRPr="00043B8D">
              <w:t>Afkomstig van tariefmethodologie VREG vanaf 1/1/2015 van kracht</w:t>
            </w:r>
          </w:p>
          <w:p w14:paraId="5362FD18" w14:textId="77777777" w:rsidR="008379BA" w:rsidRPr="00043B8D" w:rsidRDefault="008379BA" w:rsidP="00987942"/>
        </w:tc>
      </w:tr>
    </w:tbl>
    <w:p w14:paraId="32F93E12" w14:textId="77777777" w:rsidR="0072154A" w:rsidRPr="00043B8D" w:rsidRDefault="0072154A" w:rsidP="00AF0EAB">
      <w:pPr>
        <w:rPr>
          <w:rFonts w:cs="Tahoma"/>
        </w:rPr>
      </w:pPr>
    </w:p>
    <w:p w14:paraId="4AFA018E" w14:textId="63B5637D" w:rsidR="008C28FA" w:rsidRPr="00043B8D" w:rsidRDefault="00AF0EAB" w:rsidP="00270C17">
      <w:pPr>
        <w:rPr>
          <w:rFonts w:cs="Tahoma"/>
        </w:rPr>
      </w:pPr>
      <w:r w:rsidRPr="00043B8D">
        <w:rPr>
          <w:rFonts w:cs="Tahoma"/>
        </w:rPr>
        <w:t>In</w:t>
      </w:r>
      <w:r w:rsidR="00270C17" w:rsidRPr="00043B8D">
        <w:rPr>
          <w:rFonts w:cs="Tahoma"/>
        </w:rPr>
        <w:t xml:space="preserve"> de</w:t>
      </w:r>
      <w:r w:rsidR="000B3271" w:rsidRPr="00043B8D">
        <w:rPr>
          <w:rFonts w:cs="Tahoma"/>
        </w:rPr>
        <w:t xml:space="preserve"> </w:t>
      </w:r>
      <w:r w:rsidRPr="00043B8D">
        <w:rPr>
          <w:rFonts w:cs="Tahoma"/>
        </w:rPr>
        <w:t xml:space="preserve">tariefmethodologie </w:t>
      </w:r>
      <w:r w:rsidR="00270C17" w:rsidRPr="00043B8D">
        <w:rPr>
          <w:rFonts w:cs="Tahoma"/>
        </w:rPr>
        <w:t xml:space="preserve">van de VREG </w:t>
      </w:r>
      <w:r w:rsidR="00874BA9" w:rsidRPr="00043B8D">
        <w:rPr>
          <w:rFonts w:cs="Tahoma"/>
        </w:rPr>
        <w:t xml:space="preserve">worden </w:t>
      </w:r>
      <w:r w:rsidRPr="00043B8D">
        <w:rPr>
          <w:rFonts w:cs="Tahoma"/>
        </w:rPr>
        <w:t>twe</w:t>
      </w:r>
      <w:r w:rsidR="00270C17" w:rsidRPr="00043B8D">
        <w:rPr>
          <w:rFonts w:cs="Tahoma"/>
        </w:rPr>
        <w:t>e regulatoire saldi</w:t>
      </w:r>
      <w:r w:rsidR="00874BA9" w:rsidRPr="00043B8D">
        <w:rPr>
          <w:rFonts w:cs="Tahoma"/>
        </w:rPr>
        <w:t xml:space="preserve"> toegelaten</w:t>
      </w:r>
      <w:r w:rsidR="00270C17" w:rsidRPr="00043B8D">
        <w:rPr>
          <w:rFonts w:cs="Tahoma"/>
        </w:rPr>
        <w:t>: een r</w:t>
      </w:r>
      <w:r w:rsidRPr="00043B8D">
        <w:rPr>
          <w:rFonts w:cs="Tahoma"/>
        </w:rPr>
        <w:t>egulatoir saldo voor exogene kosten</w:t>
      </w:r>
      <w:r w:rsidR="00270C17" w:rsidRPr="00043B8D">
        <w:rPr>
          <w:rFonts w:cs="Tahoma"/>
        </w:rPr>
        <w:t xml:space="preserve"> (</w:t>
      </w:r>
      <w:r w:rsidR="00313965" w:rsidRPr="00043B8D">
        <w:rPr>
          <w:rFonts w:cs="Tahoma"/>
        </w:rPr>
        <w:t xml:space="preserve">par. </w:t>
      </w:r>
      <w:r w:rsidR="00270C17" w:rsidRPr="00043B8D">
        <w:rPr>
          <w:rFonts w:cs="Tahoma"/>
        </w:rPr>
        <w:fldChar w:fldCharType="begin"/>
      </w:r>
      <w:r w:rsidR="00270C17" w:rsidRPr="00043B8D">
        <w:rPr>
          <w:rFonts w:cs="Tahoma"/>
        </w:rPr>
        <w:instrText xml:space="preserve"> REF _Ref390412280 \r \h </w:instrText>
      </w:r>
      <w:r w:rsidR="00043B8D">
        <w:rPr>
          <w:rFonts w:cs="Tahoma"/>
        </w:rPr>
        <w:instrText xml:space="preserve"> \* MERGEFORMAT </w:instrText>
      </w:r>
      <w:r w:rsidR="00270C17" w:rsidRPr="00043B8D">
        <w:rPr>
          <w:rFonts w:cs="Tahoma"/>
        </w:rPr>
      </w:r>
      <w:r w:rsidR="00270C17" w:rsidRPr="00043B8D">
        <w:rPr>
          <w:rFonts w:cs="Tahoma"/>
        </w:rPr>
        <w:fldChar w:fldCharType="separate"/>
      </w:r>
      <w:r w:rsidR="00B30F9B">
        <w:rPr>
          <w:rFonts w:cs="Tahoma"/>
        </w:rPr>
        <w:t>5.5.1</w:t>
      </w:r>
      <w:r w:rsidR="00270C17" w:rsidRPr="00043B8D">
        <w:rPr>
          <w:rFonts w:cs="Tahoma"/>
        </w:rPr>
        <w:fldChar w:fldCharType="end"/>
      </w:r>
      <w:r w:rsidR="00270C17" w:rsidRPr="00043B8D">
        <w:rPr>
          <w:rFonts w:cs="Tahoma"/>
        </w:rPr>
        <w:t>) en een r</w:t>
      </w:r>
      <w:r w:rsidRPr="00043B8D">
        <w:rPr>
          <w:rFonts w:cs="Tahoma"/>
        </w:rPr>
        <w:t xml:space="preserve">egulatoir saldo voor </w:t>
      </w:r>
      <w:r w:rsidR="00313965" w:rsidRPr="00043B8D">
        <w:rPr>
          <w:rFonts w:cs="Tahoma"/>
        </w:rPr>
        <w:t xml:space="preserve">de volumeverschillen (voor </w:t>
      </w:r>
      <w:r w:rsidR="00EB4ECB" w:rsidRPr="00043B8D">
        <w:rPr>
          <w:rFonts w:cs="Tahoma"/>
        </w:rPr>
        <w:t>ver</w:t>
      </w:r>
      <w:r w:rsidR="00313965" w:rsidRPr="00043B8D">
        <w:rPr>
          <w:rFonts w:cs="Tahoma"/>
        </w:rPr>
        <w:t xml:space="preserve">bruiksgerelateerde tariefdragers) m.b.t. </w:t>
      </w:r>
      <w:r w:rsidR="00193D77" w:rsidRPr="00043B8D">
        <w:rPr>
          <w:rFonts w:cs="Tahoma"/>
        </w:rPr>
        <w:t>inkomsten</w:t>
      </w:r>
      <w:r w:rsidR="003C2799" w:rsidRPr="00043B8D">
        <w:rPr>
          <w:rFonts w:cs="Tahoma"/>
        </w:rPr>
        <w:t xml:space="preserve"> voor </w:t>
      </w:r>
      <w:r w:rsidRPr="00043B8D">
        <w:rPr>
          <w:rFonts w:cs="Tahoma"/>
        </w:rPr>
        <w:t>niet-exogene kosten</w:t>
      </w:r>
      <w:r w:rsidR="00270C17" w:rsidRPr="00043B8D">
        <w:rPr>
          <w:rFonts w:cs="Tahoma"/>
        </w:rPr>
        <w:t xml:space="preserve"> (</w:t>
      </w:r>
      <w:r w:rsidR="00313965" w:rsidRPr="00043B8D">
        <w:rPr>
          <w:rFonts w:cs="Tahoma"/>
        </w:rPr>
        <w:t xml:space="preserve">par. </w:t>
      </w:r>
      <w:r w:rsidR="00270C17" w:rsidRPr="00043B8D">
        <w:rPr>
          <w:rFonts w:cs="Tahoma"/>
        </w:rPr>
        <w:fldChar w:fldCharType="begin"/>
      </w:r>
      <w:r w:rsidR="00270C17" w:rsidRPr="00043B8D">
        <w:rPr>
          <w:rFonts w:cs="Tahoma"/>
        </w:rPr>
        <w:instrText xml:space="preserve"> REF _Ref390418072 \r \h </w:instrText>
      </w:r>
      <w:r w:rsidR="00043B8D">
        <w:rPr>
          <w:rFonts w:cs="Tahoma"/>
        </w:rPr>
        <w:instrText xml:space="preserve"> \* MERGEFORMAT </w:instrText>
      </w:r>
      <w:r w:rsidR="00270C17" w:rsidRPr="00043B8D">
        <w:rPr>
          <w:rFonts w:cs="Tahoma"/>
        </w:rPr>
      </w:r>
      <w:r w:rsidR="00270C17" w:rsidRPr="00043B8D">
        <w:rPr>
          <w:rFonts w:cs="Tahoma"/>
        </w:rPr>
        <w:fldChar w:fldCharType="separate"/>
      </w:r>
      <w:r w:rsidR="00B30F9B">
        <w:rPr>
          <w:rFonts w:cs="Tahoma"/>
        </w:rPr>
        <w:t>5.5.2</w:t>
      </w:r>
      <w:r w:rsidR="00270C17" w:rsidRPr="00043B8D">
        <w:rPr>
          <w:rFonts w:cs="Tahoma"/>
        </w:rPr>
        <w:fldChar w:fldCharType="end"/>
      </w:r>
      <w:r w:rsidR="00270C17" w:rsidRPr="00043B8D">
        <w:rPr>
          <w:rFonts w:cs="Tahoma"/>
        </w:rPr>
        <w:t>).</w:t>
      </w:r>
      <w:r w:rsidR="00874BA9" w:rsidRPr="00043B8D">
        <w:rPr>
          <w:rFonts w:cs="Tahoma"/>
        </w:rPr>
        <w:t xml:space="preserve"> Beide worden hieronder besproken, gevolgd door het standpunt </w:t>
      </w:r>
      <w:r w:rsidR="00313965" w:rsidRPr="00043B8D">
        <w:rPr>
          <w:rFonts w:cs="Tahoma"/>
        </w:rPr>
        <w:t xml:space="preserve">van </w:t>
      </w:r>
      <w:r w:rsidR="00874BA9" w:rsidRPr="00043B8D">
        <w:rPr>
          <w:rFonts w:cs="Tahoma"/>
        </w:rPr>
        <w:t xml:space="preserve">de VREG m.b.t. </w:t>
      </w:r>
      <w:r w:rsidR="00A71D0B" w:rsidRPr="00043B8D">
        <w:rPr>
          <w:rFonts w:cs="Tahoma"/>
        </w:rPr>
        <w:t xml:space="preserve">de verwerking van </w:t>
      </w:r>
      <w:r w:rsidR="00874BA9" w:rsidRPr="00043B8D">
        <w:rPr>
          <w:rFonts w:cs="Tahoma"/>
        </w:rPr>
        <w:t xml:space="preserve">het regulatoir actief/passief </w:t>
      </w:r>
      <w:r w:rsidR="00A71D0B" w:rsidRPr="00043B8D">
        <w:rPr>
          <w:rFonts w:cs="Tahoma"/>
        </w:rPr>
        <w:t xml:space="preserve">in de reguleringsperiode 2015-2016 </w:t>
      </w:r>
      <w:r w:rsidR="00874BA9" w:rsidRPr="00043B8D">
        <w:rPr>
          <w:rFonts w:cs="Tahoma"/>
        </w:rPr>
        <w:t>(</w:t>
      </w:r>
      <w:r w:rsidR="00313965" w:rsidRPr="00043B8D">
        <w:rPr>
          <w:rFonts w:cs="Tahoma"/>
        </w:rPr>
        <w:t xml:space="preserve">par. </w:t>
      </w:r>
      <w:r w:rsidR="00874BA9" w:rsidRPr="00043B8D">
        <w:rPr>
          <w:rFonts w:cs="Tahoma"/>
        </w:rPr>
        <w:fldChar w:fldCharType="begin"/>
      </w:r>
      <w:r w:rsidR="00874BA9" w:rsidRPr="00043B8D">
        <w:rPr>
          <w:rFonts w:cs="Tahoma"/>
        </w:rPr>
        <w:instrText xml:space="preserve"> REF _Ref391553260 \r \h </w:instrText>
      </w:r>
      <w:r w:rsidR="00043B8D">
        <w:rPr>
          <w:rFonts w:cs="Tahoma"/>
        </w:rPr>
        <w:instrText xml:space="preserve"> \* MERGEFORMAT </w:instrText>
      </w:r>
      <w:r w:rsidR="00874BA9" w:rsidRPr="00043B8D">
        <w:rPr>
          <w:rFonts w:cs="Tahoma"/>
        </w:rPr>
      </w:r>
      <w:r w:rsidR="00874BA9" w:rsidRPr="00043B8D">
        <w:rPr>
          <w:rFonts w:cs="Tahoma"/>
        </w:rPr>
        <w:fldChar w:fldCharType="separate"/>
      </w:r>
      <w:r w:rsidR="00B30F9B">
        <w:rPr>
          <w:rFonts w:cs="Tahoma"/>
        </w:rPr>
        <w:t>5.5.5</w:t>
      </w:r>
      <w:r w:rsidR="00874BA9" w:rsidRPr="00043B8D">
        <w:rPr>
          <w:rFonts w:cs="Tahoma"/>
        </w:rPr>
        <w:fldChar w:fldCharType="end"/>
      </w:r>
      <w:r w:rsidR="00874BA9" w:rsidRPr="00043B8D">
        <w:rPr>
          <w:rFonts w:cs="Tahoma"/>
        </w:rPr>
        <w:t>).</w:t>
      </w:r>
    </w:p>
    <w:p w14:paraId="1ECEF529" w14:textId="741A7D86" w:rsidR="00AF0EAB" w:rsidRPr="00043B8D" w:rsidRDefault="00874BA9" w:rsidP="00270C17">
      <w:pPr>
        <w:rPr>
          <w:rFonts w:cs="Tahoma"/>
        </w:rPr>
      </w:pPr>
      <w:r w:rsidRPr="00043B8D">
        <w:rPr>
          <w:rFonts w:cs="Tahoma"/>
        </w:rPr>
        <w:t xml:space="preserve"> </w:t>
      </w:r>
    </w:p>
    <w:p w14:paraId="135F3CFC" w14:textId="77777777" w:rsidR="00AF0EAB" w:rsidRPr="00043B8D" w:rsidRDefault="00AF0EAB" w:rsidP="005251E2">
      <w:pPr>
        <w:pStyle w:val="Kop2"/>
        <w:numPr>
          <w:ilvl w:val="2"/>
          <w:numId w:val="24"/>
        </w:numPr>
        <w:ind w:left="993" w:hanging="993"/>
        <w:rPr>
          <w:i/>
          <w:sz w:val="22"/>
          <w:szCs w:val="22"/>
        </w:rPr>
      </w:pPr>
      <w:bookmarkStart w:id="340" w:name="_Ref390412280"/>
      <w:bookmarkStart w:id="341" w:name="_Toc454186670"/>
      <w:r w:rsidRPr="00043B8D">
        <w:rPr>
          <w:i/>
          <w:sz w:val="22"/>
          <w:szCs w:val="22"/>
        </w:rPr>
        <w:t>Regulatoir saldo voor exogene kosten</w:t>
      </w:r>
      <w:bookmarkEnd w:id="340"/>
      <w:bookmarkEnd w:id="341"/>
    </w:p>
    <w:p w14:paraId="47B35E4C" w14:textId="77777777" w:rsidR="00AF0EAB" w:rsidRPr="00043B8D" w:rsidRDefault="00AF0EAB" w:rsidP="00AF0EAB">
      <w:pPr>
        <w:tabs>
          <w:tab w:val="left" w:pos="1701"/>
        </w:tabs>
        <w:rPr>
          <w:rFonts w:cs="Tahoma"/>
          <w:lang w:val="nl-BE"/>
        </w:rPr>
      </w:pPr>
    </w:p>
    <w:p w14:paraId="47355FC7" w14:textId="1BA4EF46" w:rsidR="00AF0EAB" w:rsidRPr="00043B8D" w:rsidRDefault="00270C17" w:rsidP="004D0F59">
      <w:pPr>
        <w:rPr>
          <w:rFonts w:cs="Tahoma"/>
        </w:rPr>
      </w:pPr>
      <w:r w:rsidRPr="00043B8D">
        <w:rPr>
          <w:rFonts w:cs="Tahoma"/>
        </w:rPr>
        <w:t xml:space="preserve">De VREG garandeert aan de distributienetbeheerder dat hij zijn exogene kosten volledig zal kunnen doorrekenen aan de distributienetgebruikers. Het </w:t>
      </w:r>
      <w:r w:rsidR="008B7231" w:rsidRPr="00043B8D">
        <w:rPr>
          <w:rFonts w:cs="Tahoma"/>
        </w:rPr>
        <w:t>resultaat</w:t>
      </w:r>
      <w:r w:rsidRPr="00043B8D">
        <w:rPr>
          <w:rFonts w:cs="Tahoma"/>
        </w:rPr>
        <w:t xml:space="preserve"> tussen zijn werkelijke exogene kosten in een boekjaar en zijn opbrengsten uit periodieke distributienettarieven </w:t>
      </w:r>
      <w:r w:rsidR="00313965" w:rsidRPr="00043B8D">
        <w:rPr>
          <w:rFonts w:cs="Tahoma"/>
        </w:rPr>
        <w:t>m.b.t.</w:t>
      </w:r>
      <w:r w:rsidRPr="00043B8D">
        <w:rPr>
          <w:rFonts w:cs="Tahoma"/>
        </w:rPr>
        <w:t xml:space="preserve"> exogene kosten </w:t>
      </w:r>
      <w:r w:rsidR="008B7231" w:rsidRPr="00043B8D">
        <w:rPr>
          <w:rFonts w:cs="Tahoma"/>
        </w:rPr>
        <w:t>moet</w:t>
      </w:r>
      <w:r w:rsidRPr="00043B8D">
        <w:rPr>
          <w:rFonts w:cs="Tahoma"/>
        </w:rPr>
        <w:t xml:space="preserve"> gelijk zijn aan nul, </w:t>
      </w:r>
      <w:r w:rsidR="008B7231" w:rsidRPr="00043B8D">
        <w:rPr>
          <w:rFonts w:cs="Tahoma"/>
        </w:rPr>
        <w:t>door</w:t>
      </w:r>
      <w:r w:rsidRPr="00043B8D">
        <w:rPr>
          <w:rFonts w:cs="Tahoma"/>
        </w:rPr>
        <w:t xml:space="preserve"> over</w:t>
      </w:r>
      <w:r w:rsidR="008B7231" w:rsidRPr="00043B8D">
        <w:rPr>
          <w:rFonts w:cs="Tahoma"/>
        </w:rPr>
        <w:t>boeking</w:t>
      </w:r>
      <w:r w:rsidRPr="00043B8D">
        <w:rPr>
          <w:rFonts w:cs="Tahoma"/>
        </w:rPr>
        <w:t xml:space="preserve"> van het saldo van </w:t>
      </w:r>
      <w:r w:rsidR="008B7231" w:rsidRPr="00043B8D">
        <w:rPr>
          <w:rFonts w:cs="Tahoma"/>
        </w:rPr>
        <w:t xml:space="preserve">de </w:t>
      </w:r>
      <w:r w:rsidRPr="00043B8D">
        <w:rPr>
          <w:rFonts w:cs="Tahoma"/>
        </w:rPr>
        <w:t xml:space="preserve">resultatenrekening naar </w:t>
      </w:r>
      <w:r w:rsidR="00010C02" w:rsidRPr="00043B8D">
        <w:rPr>
          <w:rFonts w:cs="Tahoma"/>
        </w:rPr>
        <w:t xml:space="preserve">de regulatoire saldi op de </w:t>
      </w:r>
      <w:r w:rsidRPr="00043B8D">
        <w:rPr>
          <w:rFonts w:cs="Tahoma"/>
        </w:rPr>
        <w:t xml:space="preserve">balans. De opbrengsten van de distributienetbeheerder uit de periodieke distributienettarieven </w:t>
      </w:r>
      <w:r w:rsidR="00313965" w:rsidRPr="00043B8D">
        <w:rPr>
          <w:rFonts w:cs="Tahoma"/>
        </w:rPr>
        <w:t>m.b.t.</w:t>
      </w:r>
      <w:r w:rsidRPr="00043B8D">
        <w:rPr>
          <w:rFonts w:cs="Tahoma"/>
        </w:rPr>
        <w:t xml:space="preserve"> exogene kosten </w:t>
      </w:r>
      <w:r w:rsidR="005B73E9" w:rsidRPr="00043B8D">
        <w:rPr>
          <w:rFonts w:cs="Tahoma"/>
        </w:rPr>
        <w:t xml:space="preserve">staan dus </w:t>
      </w:r>
      <w:r w:rsidRPr="00043B8D">
        <w:rPr>
          <w:rFonts w:cs="Tahoma"/>
        </w:rPr>
        <w:t xml:space="preserve"> </w:t>
      </w:r>
      <w:r w:rsidR="005B73E9" w:rsidRPr="00043B8D">
        <w:rPr>
          <w:rFonts w:cs="Tahoma"/>
        </w:rPr>
        <w:t xml:space="preserve">tegenover </w:t>
      </w:r>
      <w:r w:rsidRPr="00043B8D">
        <w:rPr>
          <w:rFonts w:cs="Tahoma"/>
        </w:rPr>
        <w:t xml:space="preserve">de gebudgetteerde exogene kosten </w:t>
      </w:r>
      <w:r w:rsidR="005B73E9" w:rsidRPr="00043B8D">
        <w:rPr>
          <w:rFonts w:cs="Tahoma"/>
        </w:rPr>
        <w:t xml:space="preserve">zodat er </w:t>
      </w:r>
      <w:r w:rsidRPr="00043B8D">
        <w:rPr>
          <w:rFonts w:cs="Tahoma"/>
        </w:rPr>
        <w:t xml:space="preserve">zowel een volumeverschil als een saldo tussen de werkelijke exogene kosten en de gebudgetteerde kosten kan ontstaan. Deze verschillen worden gedekt door het saldo tussen de werkelijke exogene kosten en de werkelijke ontvangsten uit periodieke distributienettarieven </w:t>
      </w:r>
      <w:r w:rsidR="00313965" w:rsidRPr="00043B8D">
        <w:rPr>
          <w:rFonts w:cs="Tahoma"/>
        </w:rPr>
        <w:t>m.b.t.</w:t>
      </w:r>
      <w:r w:rsidRPr="00043B8D">
        <w:rPr>
          <w:rFonts w:cs="Tahoma"/>
        </w:rPr>
        <w:t xml:space="preserve"> exogene kosten te beschouwen.</w:t>
      </w:r>
      <w:r w:rsidR="004D0F59" w:rsidRPr="00043B8D">
        <w:rPr>
          <w:rFonts w:cs="Tahoma"/>
        </w:rPr>
        <w:t xml:space="preserve"> </w:t>
      </w:r>
      <w:r w:rsidR="00AF0EAB" w:rsidRPr="00043B8D">
        <w:rPr>
          <w:rFonts w:cs="Tahoma"/>
          <w:lang w:val="nl-BE"/>
        </w:rPr>
        <w:t xml:space="preserve">Dit wordt ter illustratie weergegeven in </w:t>
      </w:r>
      <w:r w:rsidR="00AF0EAB" w:rsidRPr="00043B8D">
        <w:rPr>
          <w:rFonts w:cs="Tahoma"/>
          <w:lang w:val="nl-BE"/>
        </w:rPr>
        <w:fldChar w:fldCharType="begin"/>
      </w:r>
      <w:r w:rsidR="00AF0EAB" w:rsidRPr="00043B8D">
        <w:rPr>
          <w:rFonts w:cs="Tahoma"/>
          <w:lang w:val="nl-BE"/>
        </w:rPr>
        <w:instrText xml:space="preserve"> REF _Ref388617849 \h  \* MERGEFORMAT </w:instrText>
      </w:r>
      <w:r w:rsidR="00AF0EAB" w:rsidRPr="00043B8D">
        <w:rPr>
          <w:rFonts w:cs="Tahoma"/>
          <w:lang w:val="nl-BE"/>
        </w:rPr>
      </w:r>
      <w:r w:rsidR="00AF0EAB" w:rsidRPr="00043B8D">
        <w:rPr>
          <w:rFonts w:cs="Tahoma"/>
          <w:lang w:val="nl-BE"/>
        </w:rPr>
        <w:fldChar w:fldCharType="separate"/>
      </w:r>
      <w:r w:rsidR="00B30F9B" w:rsidRPr="00B30F9B">
        <w:t xml:space="preserve">formule </w:t>
      </w:r>
      <w:r w:rsidR="00B30F9B" w:rsidRPr="00B30F9B">
        <w:rPr>
          <w:noProof/>
        </w:rPr>
        <w:t>6</w:t>
      </w:r>
      <w:r w:rsidR="00AF0EAB" w:rsidRPr="00043B8D">
        <w:rPr>
          <w:rFonts w:cs="Tahoma"/>
          <w:lang w:val="nl-BE"/>
        </w:rPr>
        <w:fldChar w:fldCharType="end"/>
      </w:r>
      <w:r w:rsidR="00AF0EAB" w:rsidRPr="00043B8D">
        <w:rPr>
          <w:rFonts w:cs="Tahoma"/>
          <w:lang w:val="nl-BE"/>
        </w:rPr>
        <w:t>, waarbij de gebudgetteerde opbrengsten gelijk zijn aan de gebudgetteerde kosten:</w:t>
      </w:r>
    </w:p>
    <w:p w14:paraId="65A82AC9" w14:textId="77777777" w:rsidR="00AF0EAB" w:rsidRPr="00043B8D" w:rsidRDefault="00AF0EAB" w:rsidP="00AF0EAB">
      <w:pPr>
        <w:tabs>
          <w:tab w:val="left" w:pos="1701"/>
        </w:tabs>
        <w:rPr>
          <w:rFonts w:cs="Tahoma"/>
          <w:lang w:val="nl-BE"/>
        </w:rPr>
      </w:pPr>
    </w:p>
    <w:p w14:paraId="7F7E4485" w14:textId="77777777" w:rsidR="00AF0EAB" w:rsidRPr="00043B8D" w:rsidRDefault="00E902D4" w:rsidP="00AF0EAB">
      <w:pPr>
        <w:keepNext/>
        <w:pBdr>
          <w:top w:val="dotted" w:sz="4" w:space="1" w:color="auto"/>
          <w:left w:val="dotted" w:sz="4" w:space="4" w:color="auto"/>
          <w:bottom w:val="dotted" w:sz="4" w:space="1" w:color="auto"/>
          <w:right w:val="dotted" w:sz="4" w:space="4" w:color="auto"/>
        </w:pBdr>
        <w:tabs>
          <w:tab w:val="left" w:pos="1701"/>
        </w:tabs>
        <w:jc w:val="center"/>
        <w:rPr>
          <w:b/>
          <w:i/>
        </w:rPr>
      </w:pPr>
      <w:r w:rsidRPr="00043B8D">
        <w:rPr>
          <w:rFonts w:cs="Tahoma"/>
          <w:b/>
          <w:i/>
          <w:position w:val="-14"/>
          <w:lang w:val="nl-BE"/>
        </w:rPr>
        <w:object w:dxaOrig="6360" w:dyaOrig="380" w14:anchorId="39BCF2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6.4pt;height:18.6pt" o:ole="">
            <v:imagedata r:id="rId16" o:title=""/>
          </v:shape>
          <o:OLEObject Type="Embed" ProgID="Equation.3" ShapeID="_x0000_i1025" DrawAspect="Content" ObjectID="_1528638244" r:id="rId17"/>
        </w:object>
      </w:r>
    </w:p>
    <w:p w14:paraId="2A17AAEA" w14:textId="77777777" w:rsidR="00AF0EAB" w:rsidRPr="000D284A" w:rsidRDefault="00AF0EAB" w:rsidP="000D284A">
      <w:pPr>
        <w:pStyle w:val="Bijschrift"/>
        <w:jc w:val="right"/>
        <w:rPr>
          <w:b w:val="0"/>
          <w:i/>
        </w:rPr>
      </w:pPr>
      <w:r w:rsidRPr="000D284A">
        <w:rPr>
          <w:b w:val="0"/>
          <w:i/>
        </w:rPr>
        <w:tab/>
      </w:r>
      <w:bookmarkStart w:id="342" w:name="_Ref388617849"/>
      <w:r w:rsidRPr="000D284A">
        <w:rPr>
          <w:b w:val="0"/>
          <w:i/>
        </w:rPr>
        <w:t xml:space="preserve">formule </w:t>
      </w:r>
      <w:r w:rsidRPr="000D284A">
        <w:rPr>
          <w:b w:val="0"/>
          <w:i/>
        </w:rPr>
        <w:fldChar w:fldCharType="begin"/>
      </w:r>
      <w:r w:rsidRPr="000D284A">
        <w:rPr>
          <w:b w:val="0"/>
          <w:i/>
        </w:rPr>
        <w:instrText xml:space="preserve"> SEQ formule \* ARABIC </w:instrText>
      </w:r>
      <w:r w:rsidRPr="000D284A">
        <w:rPr>
          <w:b w:val="0"/>
          <w:i/>
        </w:rPr>
        <w:fldChar w:fldCharType="separate"/>
      </w:r>
      <w:r w:rsidR="00BD536B">
        <w:rPr>
          <w:b w:val="0"/>
          <w:i/>
          <w:noProof/>
        </w:rPr>
        <w:t>6</w:t>
      </w:r>
      <w:r w:rsidRPr="000D284A">
        <w:rPr>
          <w:b w:val="0"/>
          <w:i/>
        </w:rPr>
        <w:fldChar w:fldCharType="end"/>
      </w:r>
      <w:bookmarkEnd w:id="342"/>
    </w:p>
    <w:p w14:paraId="69048B94" w14:textId="77777777" w:rsidR="00AF0EAB" w:rsidRPr="00043B8D" w:rsidRDefault="00AF0EAB" w:rsidP="00AF0EAB">
      <w:pPr>
        <w:tabs>
          <w:tab w:val="left" w:pos="1701"/>
        </w:tabs>
        <w:rPr>
          <w:rFonts w:cs="Tahoma"/>
          <w:lang w:val="nl-BE"/>
        </w:rPr>
      </w:pPr>
    </w:p>
    <w:p w14:paraId="6E6B8BEC" w14:textId="77777777" w:rsidR="00AF0EAB" w:rsidRPr="00043B8D" w:rsidRDefault="00AF0EAB" w:rsidP="00AF0EAB">
      <w:pPr>
        <w:tabs>
          <w:tab w:val="left" w:pos="1701"/>
        </w:tabs>
        <w:rPr>
          <w:rFonts w:cs="Tahoma"/>
          <w:lang w:val="nl-BE"/>
        </w:rPr>
      </w:pPr>
      <w:r w:rsidRPr="00043B8D">
        <w:rPr>
          <w:rFonts w:cs="Tahoma"/>
          <w:lang w:val="nl-BE"/>
        </w:rPr>
        <w:t>Met hierin:</w:t>
      </w:r>
    </w:p>
    <w:p w14:paraId="2EE3D0CD" w14:textId="77777777" w:rsidR="00AF0EAB" w:rsidRPr="00043B8D" w:rsidRDefault="00AF0EAB" w:rsidP="00AF0EAB">
      <w:pPr>
        <w:tabs>
          <w:tab w:val="left" w:pos="1701"/>
        </w:tabs>
        <w:rPr>
          <w:rFonts w:cs="Tahoma"/>
          <w:lang w:val="nl-BE"/>
        </w:rPr>
      </w:pPr>
    </w:p>
    <w:p w14:paraId="74CE09E2" w14:textId="08FD7F49" w:rsidR="00AF0EAB" w:rsidRPr="00043B8D" w:rsidRDefault="00AF0EAB" w:rsidP="00AF0EAB">
      <w:pPr>
        <w:tabs>
          <w:tab w:val="left" w:pos="709"/>
        </w:tabs>
        <w:ind w:left="1418" w:hanging="1418"/>
        <w:rPr>
          <w:rFonts w:cs="Tahoma"/>
          <w:i/>
        </w:rPr>
      </w:pPr>
      <w:r w:rsidRPr="00043B8D">
        <w:rPr>
          <w:rFonts w:cs="Tahoma"/>
          <w:i/>
        </w:rPr>
        <w:tab/>
        <w:t>RS</w:t>
      </w:r>
      <w:r w:rsidRPr="00043B8D">
        <w:rPr>
          <w:rFonts w:cs="Tahoma"/>
          <w:i/>
          <w:vertAlign w:val="subscript"/>
        </w:rPr>
        <w:t>ex,j,i</w:t>
      </w:r>
      <w:r w:rsidRPr="00043B8D">
        <w:rPr>
          <w:rFonts w:cs="Tahoma"/>
          <w:i/>
        </w:rPr>
        <w:tab/>
        <w:t>Het regulatoir saldo voor distributienetbeheerder i voor exogene kosten ontstaan na afloop van jaar j</w:t>
      </w:r>
      <w:r w:rsidR="00010C02" w:rsidRPr="00043B8D">
        <w:rPr>
          <w:rFonts w:cs="Tahoma"/>
          <w:i/>
        </w:rPr>
        <w:t xml:space="preserve"> (bijvoorbeeld het jaar 2015)</w:t>
      </w:r>
      <w:r w:rsidRPr="00043B8D">
        <w:rPr>
          <w:rFonts w:cs="Tahoma"/>
          <w:i/>
        </w:rPr>
        <w:t>.</w:t>
      </w:r>
      <w:r w:rsidR="00145ECC" w:rsidRPr="00043B8D">
        <w:rPr>
          <w:rFonts w:cs="Tahoma"/>
          <w:i/>
        </w:rPr>
        <w:t xml:space="preserve"> (EUR)</w:t>
      </w:r>
    </w:p>
    <w:p w14:paraId="1F5E12E6" w14:textId="77777777" w:rsidR="00AF0EAB" w:rsidRPr="00043B8D" w:rsidRDefault="00AF0EAB" w:rsidP="00AF0EAB">
      <w:pPr>
        <w:tabs>
          <w:tab w:val="left" w:pos="1418"/>
        </w:tabs>
        <w:ind w:firstLine="708"/>
        <w:rPr>
          <w:rFonts w:cs="Tahoma"/>
          <w:i/>
        </w:rPr>
      </w:pPr>
    </w:p>
    <w:p w14:paraId="7707B554" w14:textId="0F670E0A" w:rsidR="00AF0EAB" w:rsidRPr="00043B8D" w:rsidRDefault="00AF0EAB" w:rsidP="00AF0EAB">
      <w:pPr>
        <w:tabs>
          <w:tab w:val="left" w:pos="709"/>
        </w:tabs>
        <w:ind w:left="1418" w:hanging="1418"/>
        <w:rPr>
          <w:rFonts w:cs="Tahoma"/>
          <w:i/>
        </w:rPr>
      </w:pPr>
      <w:r w:rsidRPr="00043B8D">
        <w:rPr>
          <w:rFonts w:cs="Tahoma"/>
          <w:i/>
        </w:rPr>
        <w:tab/>
        <w:t>O</w:t>
      </w:r>
      <w:r w:rsidRPr="00043B8D">
        <w:rPr>
          <w:rFonts w:cs="Tahoma"/>
          <w:i/>
          <w:vertAlign w:val="subscript"/>
        </w:rPr>
        <w:t>w,ex,j,i</w:t>
      </w:r>
      <w:r w:rsidRPr="00043B8D">
        <w:rPr>
          <w:rFonts w:cs="Tahoma"/>
          <w:i/>
        </w:rPr>
        <w:tab/>
        <w:t xml:space="preserve">De werkelijke opbrengsten voor distributienetbeheerder i in jaar j uit zijn periodieke distributienettarieven bestemd voor dekking van </w:t>
      </w:r>
      <w:r w:rsidR="00010C02" w:rsidRPr="00043B8D">
        <w:rPr>
          <w:rFonts w:cs="Tahoma"/>
          <w:i/>
        </w:rPr>
        <w:t xml:space="preserve">zijn </w:t>
      </w:r>
      <w:r w:rsidRPr="00043B8D">
        <w:rPr>
          <w:rFonts w:cs="Tahoma"/>
          <w:i/>
        </w:rPr>
        <w:t>exogene kosten.</w:t>
      </w:r>
      <w:r w:rsidR="00145ECC" w:rsidRPr="00043B8D">
        <w:rPr>
          <w:rFonts w:cs="Tahoma"/>
          <w:i/>
        </w:rPr>
        <w:t xml:space="preserve"> (EUR)</w:t>
      </w:r>
    </w:p>
    <w:p w14:paraId="7DC4450F" w14:textId="77777777" w:rsidR="00AF0EAB" w:rsidRPr="00043B8D" w:rsidRDefault="00AF0EAB" w:rsidP="00AF0EAB">
      <w:pPr>
        <w:tabs>
          <w:tab w:val="left" w:pos="709"/>
        </w:tabs>
        <w:ind w:left="1418" w:hanging="1418"/>
        <w:rPr>
          <w:rFonts w:cs="Tahoma"/>
          <w:i/>
        </w:rPr>
      </w:pPr>
    </w:p>
    <w:p w14:paraId="6D9A3FDD" w14:textId="7F9250E6" w:rsidR="00AF0EAB" w:rsidRPr="00043B8D" w:rsidRDefault="00AF0EAB" w:rsidP="00AF0EAB">
      <w:pPr>
        <w:tabs>
          <w:tab w:val="left" w:pos="709"/>
        </w:tabs>
        <w:ind w:left="1418" w:hanging="1418"/>
        <w:rPr>
          <w:rFonts w:cs="Tahoma"/>
          <w:i/>
        </w:rPr>
      </w:pPr>
      <w:r w:rsidRPr="00043B8D">
        <w:rPr>
          <w:rFonts w:cs="Tahoma"/>
          <w:i/>
        </w:rPr>
        <w:tab/>
        <w:t>K</w:t>
      </w:r>
      <w:r w:rsidRPr="00043B8D">
        <w:rPr>
          <w:rFonts w:cs="Tahoma"/>
          <w:i/>
          <w:vertAlign w:val="subscript"/>
        </w:rPr>
        <w:t>w,ex,j,i</w:t>
      </w:r>
      <w:r w:rsidRPr="00043B8D">
        <w:rPr>
          <w:rFonts w:cs="Tahoma"/>
          <w:i/>
        </w:rPr>
        <w:tab/>
        <w:t>De werkelijke exogene kosten van distributienetbeheerder i in jaar j.</w:t>
      </w:r>
      <w:r w:rsidR="00145ECC" w:rsidRPr="00043B8D">
        <w:rPr>
          <w:rFonts w:cs="Tahoma"/>
          <w:i/>
        </w:rPr>
        <w:t xml:space="preserve"> (EUR)</w:t>
      </w:r>
      <w:r w:rsidRPr="00043B8D">
        <w:rPr>
          <w:rFonts w:cs="Tahoma"/>
          <w:i/>
        </w:rPr>
        <w:t xml:space="preserve"> </w:t>
      </w:r>
    </w:p>
    <w:p w14:paraId="51910562" w14:textId="77777777" w:rsidR="00AF0EAB" w:rsidRPr="00043B8D" w:rsidRDefault="00AF0EAB" w:rsidP="00AF0EAB">
      <w:pPr>
        <w:tabs>
          <w:tab w:val="left" w:pos="709"/>
        </w:tabs>
        <w:ind w:left="1418" w:hanging="1418"/>
        <w:rPr>
          <w:rFonts w:cs="Tahoma"/>
          <w:i/>
        </w:rPr>
      </w:pPr>
    </w:p>
    <w:p w14:paraId="4388636F" w14:textId="2B367B65" w:rsidR="00AF0EAB" w:rsidRPr="00043B8D" w:rsidRDefault="00AF0EAB" w:rsidP="00AF0EAB">
      <w:pPr>
        <w:tabs>
          <w:tab w:val="left" w:pos="709"/>
        </w:tabs>
        <w:ind w:left="1418" w:hanging="1418"/>
        <w:rPr>
          <w:rFonts w:cs="Tahoma"/>
          <w:i/>
        </w:rPr>
      </w:pPr>
      <w:r w:rsidRPr="00043B8D">
        <w:rPr>
          <w:rFonts w:cs="Tahoma"/>
          <w:i/>
        </w:rPr>
        <w:tab/>
        <w:t>O</w:t>
      </w:r>
      <w:r w:rsidRPr="00043B8D">
        <w:rPr>
          <w:rFonts w:cs="Tahoma"/>
          <w:i/>
          <w:vertAlign w:val="subscript"/>
        </w:rPr>
        <w:t>b,ex,j,i</w:t>
      </w:r>
      <w:r w:rsidRPr="00043B8D">
        <w:rPr>
          <w:rFonts w:cs="Tahoma"/>
          <w:i/>
        </w:rPr>
        <w:tab/>
        <w:t>De voor jaar j voor distributienetbeheerder i gebudgetteerde opbrengsten uit zijn periodieke distributienettarieven ter dekking van de exogene kosten, op eventuele afrondingsfouten bij omzetting van het budget naar distributienettarieven na, gelijk verondersteld aan K</w:t>
      </w:r>
      <w:r w:rsidRPr="00043B8D">
        <w:rPr>
          <w:rFonts w:cs="Tahoma"/>
          <w:i/>
          <w:vertAlign w:val="subscript"/>
        </w:rPr>
        <w:t xml:space="preserve">b,ex,j,i </w:t>
      </w:r>
      <w:r w:rsidRPr="00043B8D">
        <w:rPr>
          <w:rFonts w:cs="Tahoma"/>
          <w:i/>
        </w:rPr>
        <w:t>.</w:t>
      </w:r>
      <w:r w:rsidR="00145ECC" w:rsidRPr="00043B8D">
        <w:rPr>
          <w:rFonts w:cs="Tahoma"/>
          <w:i/>
        </w:rPr>
        <w:t xml:space="preserve"> (EUR)</w:t>
      </w:r>
    </w:p>
    <w:p w14:paraId="625B6334" w14:textId="77777777" w:rsidR="00AF0EAB" w:rsidRPr="00043B8D" w:rsidRDefault="00AF0EAB" w:rsidP="00AF0EAB">
      <w:pPr>
        <w:tabs>
          <w:tab w:val="left" w:pos="709"/>
        </w:tabs>
        <w:ind w:left="1418" w:hanging="1418"/>
        <w:rPr>
          <w:rFonts w:cs="Tahoma"/>
          <w:i/>
        </w:rPr>
      </w:pPr>
    </w:p>
    <w:p w14:paraId="66F99F79" w14:textId="2EBCE0CC" w:rsidR="00AF0EAB" w:rsidRPr="00043B8D" w:rsidRDefault="00AF0EAB" w:rsidP="00AF0EAB">
      <w:pPr>
        <w:tabs>
          <w:tab w:val="left" w:pos="709"/>
        </w:tabs>
        <w:ind w:left="1418" w:hanging="1418"/>
        <w:rPr>
          <w:rFonts w:cs="Tahoma"/>
          <w:i/>
        </w:rPr>
      </w:pPr>
      <w:r w:rsidRPr="00043B8D">
        <w:rPr>
          <w:rFonts w:cs="Tahoma"/>
          <w:i/>
        </w:rPr>
        <w:tab/>
        <w:t>K</w:t>
      </w:r>
      <w:r w:rsidRPr="00043B8D">
        <w:rPr>
          <w:rFonts w:cs="Tahoma"/>
          <w:i/>
          <w:vertAlign w:val="subscript"/>
        </w:rPr>
        <w:t>b,ex,j,i</w:t>
      </w:r>
      <w:r w:rsidRPr="00043B8D">
        <w:rPr>
          <w:rFonts w:cs="Tahoma"/>
          <w:i/>
        </w:rPr>
        <w:tab/>
        <w:t>De voor jaar j voor distributienetbeheerder i gebudgetteerde exogene kosten, gelijk aan TI</w:t>
      </w:r>
      <w:r w:rsidRPr="00043B8D">
        <w:rPr>
          <w:rFonts w:cs="Tahoma"/>
          <w:i/>
          <w:vertAlign w:val="subscript"/>
        </w:rPr>
        <w:t>ex,j,i</w:t>
      </w:r>
      <w:r w:rsidRPr="00043B8D">
        <w:rPr>
          <w:rFonts w:cs="Tahoma"/>
          <w:i/>
        </w:rPr>
        <w:t xml:space="preserve"> in  </w:t>
      </w:r>
      <w:r w:rsidRPr="00043B8D">
        <w:rPr>
          <w:rFonts w:cs="Tahoma"/>
          <w:i/>
        </w:rPr>
        <w:fldChar w:fldCharType="begin"/>
      </w:r>
      <w:r w:rsidRPr="00043B8D">
        <w:rPr>
          <w:rFonts w:cs="Tahoma"/>
          <w:i/>
        </w:rPr>
        <w:instrText xml:space="preserve"> REF _Ref389029855 \h  \* MERGEFORMAT </w:instrText>
      </w:r>
      <w:r w:rsidRPr="00043B8D">
        <w:rPr>
          <w:rFonts w:cs="Tahoma"/>
          <w:i/>
        </w:rPr>
      </w:r>
      <w:r w:rsidRPr="00043B8D">
        <w:rPr>
          <w:rFonts w:cs="Tahoma"/>
          <w:i/>
        </w:rPr>
        <w:fldChar w:fldCharType="separate"/>
      </w:r>
      <w:r w:rsidR="00B30F9B" w:rsidRPr="00B30F9B">
        <w:rPr>
          <w:i/>
        </w:rPr>
        <w:t xml:space="preserve">formule </w:t>
      </w:r>
      <w:r w:rsidR="00B30F9B" w:rsidRPr="00B30F9B">
        <w:rPr>
          <w:i/>
          <w:noProof/>
        </w:rPr>
        <w:t>3</w:t>
      </w:r>
      <w:r w:rsidRPr="00043B8D">
        <w:rPr>
          <w:rFonts w:cs="Tahoma"/>
          <w:i/>
        </w:rPr>
        <w:fldChar w:fldCharType="end"/>
      </w:r>
      <w:r w:rsidRPr="00043B8D">
        <w:rPr>
          <w:rFonts w:cs="Tahoma"/>
          <w:i/>
        </w:rPr>
        <w:t>.</w:t>
      </w:r>
      <w:r w:rsidR="00145ECC" w:rsidRPr="00043B8D">
        <w:rPr>
          <w:rFonts w:cs="Tahoma"/>
          <w:i/>
        </w:rPr>
        <w:t xml:space="preserve"> (EUR)</w:t>
      </w:r>
    </w:p>
    <w:p w14:paraId="1167E024" w14:textId="77777777" w:rsidR="00AF0EAB" w:rsidRPr="00043B8D" w:rsidRDefault="00AF0EAB" w:rsidP="00AF0EAB">
      <w:pPr>
        <w:tabs>
          <w:tab w:val="left" w:pos="1701"/>
        </w:tabs>
        <w:rPr>
          <w:rFonts w:cs="Tahoma"/>
          <w:lang w:val="nl-BE"/>
        </w:rPr>
      </w:pPr>
    </w:p>
    <w:p w14:paraId="590E903B" w14:textId="64344939" w:rsidR="00AF0EAB" w:rsidRPr="00043B8D" w:rsidRDefault="00AF0EAB" w:rsidP="005251E2">
      <w:pPr>
        <w:pStyle w:val="Kop2"/>
        <w:numPr>
          <w:ilvl w:val="2"/>
          <w:numId w:val="24"/>
        </w:numPr>
        <w:ind w:left="993" w:hanging="993"/>
        <w:rPr>
          <w:i/>
          <w:sz w:val="22"/>
          <w:szCs w:val="22"/>
        </w:rPr>
      </w:pPr>
      <w:bookmarkStart w:id="343" w:name="_Ref390418072"/>
      <w:bookmarkStart w:id="344" w:name="_Ref390418117"/>
      <w:bookmarkStart w:id="345" w:name="_Toc454186671"/>
      <w:r w:rsidRPr="00043B8D">
        <w:rPr>
          <w:i/>
          <w:sz w:val="22"/>
          <w:szCs w:val="22"/>
        </w:rPr>
        <w:t>Regulatoir saldo voor niet-exogene kosten: volumerisico m.b.t. verbruiksgerelateerde tariefdragers</w:t>
      </w:r>
      <w:bookmarkEnd w:id="343"/>
      <w:bookmarkEnd w:id="344"/>
      <w:bookmarkEnd w:id="345"/>
    </w:p>
    <w:p w14:paraId="1EC00865" w14:textId="77777777" w:rsidR="00AF0EAB" w:rsidRPr="00043B8D" w:rsidRDefault="00AF0EAB" w:rsidP="00AF0EAB">
      <w:pPr>
        <w:tabs>
          <w:tab w:val="left" w:pos="1701"/>
        </w:tabs>
        <w:rPr>
          <w:rFonts w:cs="Tahoma"/>
          <w:lang w:val="nl-BE"/>
        </w:rPr>
      </w:pPr>
    </w:p>
    <w:p w14:paraId="480EBFD1" w14:textId="15159B16" w:rsidR="00270C17" w:rsidRPr="00043B8D" w:rsidRDefault="00270C17" w:rsidP="00E41E54">
      <w:pPr>
        <w:rPr>
          <w:rFonts w:cs="Tahoma"/>
        </w:rPr>
      </w:pPr>
      <w:r w:rsidRPr="00043B8D">
        <w:rPr>
          <w:rFonts w:cs="Tahoma"/>
        </w:rPr>
        <w:t>De distributienetbeheerders worden geconfronte</w:t>
      </w:r>
      <w:r w:rsidR="00E252C0" w:rsidRPr="00043B8D">
        <w:rPr>
          <w:rFonts w:cs="Tahoma"/>
        </w:rPr>
        <w:t>erd met een aanzienlijk aantal</w:t>
      </w:r>
      <w:r w:rsidRPr="00043B8D">
        <w:rPr>
          <w:rFonts w:cs="Tahoma"/>
        </w:rPr>
        <w:t xml:space="preserve"> kosten</w:t>
      </w:r>
      <w:r w:rsidR="00E252C0" w:rsidRPr="00043B8D">
        <w:rPr>
          <w:rFonts w:cs="Tahoma"/>
        </w:rPr>
        <w:t xml:space="preserve"> dat tamelijk </w:t>
      </w:r>
      <w:r w:rsidRPr="00043B8D">
        <w:rPr>
          <w:rFonts w:cs="Tahoma"/>
        </w:rPr>
        <w:t xml:space="preserve">onafhankelijk </w:t>
      </w:r>
      <w:r w:rsidR="00E252C0" w:rsidRPr="00043B8D">
        <w:rPr>
          <w:rFonts w:cs="Tahoma"/>
        </w:rPr>
        <w:t xml:space="preserve">is </w:t>
      </w:r>
      <w:r w:rsidRPr="00043B8D">
        <w:rPr>
          <w:rFonts w:cs="Tahoma"/>
        </w:rPr>
        <w:t>van het energieverbruik door de distributienetgebruikers op hun distributienet. Nochtans is het grootste deel van de periodieke distributienettarieven gebaseerd op tariefdra</w:t>
      </w:r>
      <w:r w:rsidR="00E41E54" w:rsidRPr="00043B8D">
        <w:rPr>
          <w:rFonts w:cs="Tahoma"/>
        </w:rPr>
        <w:t>gers m.b.t. het energieverbruik</w:t>
      </w:r>
      <w:r w:rsidRPr="00043B8D">
        <w:rPr>
          <w:rFonts w:cs="Tahoma"/>
        </w:rPr>
        <w:t>. Het niet compenseren van het volumerisico zou</w:t>
      </w:r>
      <w:r w:rsidR="00E252C0" w:rsidRPr="00043B8D">
        <w:rPr>
          <w:rFonts w:cs="Tahoma"/>
        </w:rPr>
        <w:t xml:space="preserve"> </w:t>
      </w:r>
      <w:r w:rsidRPr="00043B8D">
        <w:rPr>
          <w:rFonts w:cs="Tahoma"/>
        </w:rPr>
        <w:t xml:space="preserve">een onverantwoord grote impact kunnen hebben op het resultaat van de distributienetbeheerders en bijgevolg op </w:t>
      </w:r>
      <w:r w:rsidR="002255E8" w:rsidRPr="00043B8D">
        <w:rPr>
          <w:rFonts w:cs="Tahoma"/>
        </w:rPr>
        <w:t xml:space="preserve">zijn </w:t>
      </w:r>
      <w:r w:rsidR="003C2799" w:rsidRPr="00043B8D">
        <w:rPr>
          <w:rFonts w:cs="Tahoma"/>
        </w:rPr>
        <w:t xml:space="preserve">werkelijke </w:t>
      </w:r>
      <w:r w:rsidRPr="00043B8D">
        <w:rPr>
          <w:rFonts w:cs="Tahoma"/>
        </w:rPr>
        <w:t xml:space="preserve">vermogenskostenvergoeding. </w:t>
      </w:r>
      <w:r w:rsidR="00D366ED" w:rsidRPr="00043B8D">
        <w:rPr>
          <w:rFonts w:cs="Tahoma"/>
        </w:rPr>
        <w:t xml:space="preserve">Dit zou een aanzienlijk risico kunnen vormen voor wat betreft de financiële stabiliteit van de onderneming. Dat het risico aanzienlijk kan zijn, is evident bij </w:t>
      </w:r>
      <w:r w:rsidR="00E82260" w:rsidRPr="00043B8D">
        <w:rPr>
          <w:rFonts w:cs="Tahoma"/>
        </w:rPr>
        <w:t xml:space="preserve">gasdistributie </w:t>
      </w:r>
      <w:r w:rsidR="00D366ED" w:rsidRPr="00043B8D">
        <w:rPr>
          <w:rFonts w:cs="Tahoma"/>
        </w:rPr>
        <w:t xml:space="preserve">waar </w:t>
      </w:r>
      <w:r w:rsidR="00E82260" w:rsidRPr="00043B8D">
        <w:rPr>
          <w:rFonts w:cs="Tahoma"/>
        </w:rPr>
        <w:t xml:space="preserve">het energieverbruik sterk in </w:t>
      </w:r>
      <w:r w:rsidR="00D366ED" w:rsidRPr="00043B8D">
        <w:rPr>
          <w:rFonts w:cs="Tahoma"/>
        </w:rPr>
        <w:t xml:space="preserve">relatie staat </w:t>
      </w:r>
      <w:r w:rsidR="00E252C0" w:rsidRPr="00043B8D">
        <w:rPr>
          <w:rFonts w:cs="Tahoma"/>
        </w:rPr>
        <w:t>tot</w:t>
      </w:r>
      <w:r w:rsidR="00E82260" w:rsidRPr="00043B8D">
        <w:rPr>
          <w:rFonts w:cs="Tahoma"/>
        </w:rPr>
        <w:t xml:space="preserve"> de omgevingstemperatuur</w:t>
      </w:r>
      <w:r w:rsidR="001D2390" w:rsidRPr="00043B8D">
        <w:rPr>
          <w:rFonts w:cs="Tahoma"/>
        </w:rPr>
        <w:t xml:space="preserve"> m</w:t>
      </w:r>
      <w:r w:rsidR="00D366ED" w:rsidRPr="00043B8D">
        <w:rPr>
          <w:rFonts w:cs="Tahoma"/>
        </w:rPr>
        <w:t xml:space="preserve">aar ook </w:t>
      </w:r>
      <w:r w:rsidR="00E82260" w:rsidRPr="00043B8D">
        <w:rPr>
          <w:rFonts w:cs="Tahoma"/>
        </w:rPr>
        <w:t xml:space="preserve">bij elektriciteit </w:t>
      </w:r>
      <w:r w:rsidR="00D366ED" w:rsidRPr="00043B8D">
        <w:rPr>
          <w:rFonts w:cs="Tahoma"/>
        </w:rPr>
        <w:t xml:space="preserve">zijn er </w:t>
      </w:r>
      <w:r w:rsidR="00E82260" w:rsidRPr="00043B8D">
        <w:rPr>
          <w:rFonts w:cs="Tahoma"/>
        </w:rPr>
        <w:t xml:space="preserve">de effecten </w:t>
      </w:r>
      <w:r w:rsidR="001D2390" w:rsidRPr="00043B8D">
        <w:rPr>
          <w:rFonts w:cs="Tahoma"/>
        </w:rPr>
        <w:t>ten gevolge van</w:t>
      </w:r>
      <w:r w:rsidR="00E82260" w:rsidRPr="00043B8D">
        <w:rPr>
          <w:rFonts w:cs="Tahoma"/>
        </w:rPr>
        <w:t xml:space="preserve"> </w:t>
      </w:r>
      <w:r w:rsidR="001D2390" w:rsidRPr="00043B8D">
        <w:rPr>
          <w:rFonts w:cs="Tahoma"/>
        </w:rPr>
        <w:t>eigen energieproductie door afnemers</w:t>
      </w:r>
      <w:r w:rsidR="00E82260" w:rsidRPr="00043B8D">
        <w:rPr>
          <w:rFonts w:cs="Tahoma"/>
        </w:rPr>
        <w:t xml:space="preserve">. </w:t>
      </w:r>
    </w:p>
    <w:p w14:paraId="78E18672" w14:textId="77777777" w:rsidR="00270C17" w:rsidRPr="00043B8D" w:rsidRDefault="00270C17" w:rsidP="00AF0EAB">
      <w:pPr>
        <w:tabs>
          <w:tab w:val="left" w:pos="1701"/>
        </w:tabs>
        <w:rPr>
          <w:rFonts w:cs="Tahoma"/>
          <w:lang w:val="nl-BE"/>
        </w:rPr>
      </w:pPr>
    </w:p>
    <w:p w14:paraId="7EEFB53A" w14:textId="6D8A61D8" w:rsidR="00AF0EAB" w:rsidRPr="00043B8D" w:rsidRDefault="00AF0EAB" w:rsidP="00B376D5">
      <w:pPr>
        <w:pStyle w:val="Lijstalinea"/>
        <w:numPr>
          <w:ilvl w:val="0"/>
          <w:numId w:val="22"/>
        </w:numPr>
        <w:tabs>
          <w:tab w:val="left" w:pos="1701"/>
        </w:tabs>
        <w:rPr>
          <w:rFonts w:cs="Tahoma"/>
          <w:lang w:val="nl-BE"/>
        </w:rPr>
      </w:pPr>
      <w:r w:rsidRPr="00043B8D">
        <w:rPr>
          <w:rFonts w:cs="Tahoma"/>
          <w:lang w:val="nl-BE"/>
        </w:rPr>
        <w:t>De tariefdrager kWh</w:t>
      </w:r>
      <w:r w:rsidR="001D2390" w:rsidRPr="00043B8D">
        <w:rPr>
          <w:rFonts w:cs="Tahoma"/>
          <w:lang w:val="nl-BE"/>
        </w:rPr>
        <w:t xml:space="preserve"> </w:t>
      </w:r>
      <w:r w:rsidRPr="00043B8D">
        <w:rPr>
          <w:rFonts w:cs="Tahoma"/>
          <w:lang w:val="nl-BE"/>
        </w:rPr>
        <w:t>heeft vandaag een zeer grote invloed op de inkomsten van de distributienetbeheerders uit de distributienettarieven. Het niet opvolgen van de volumeverschillen die daarbij ontstaan, zou tot ontoelaatbaar grote schommelingen in het resultaat van de distributienetbeheerders kunnen leiden die de financiële stabiliteit van deze ondernemingen kan aantasten.</w:t>
      </w:r>
    </w:p>
    <w:p w14:paraId="4D086EFA" w14:textId="77777777" w:rsidR="00AF0EAB" w:rsidRPr="00043B8D" w:rsidRDefault="00AF0EAB" w:rsidP="00AF0EAB">
      <w:pPr>
        <w:tabs>
          <w:tab w:val="left" w:pos="1701"/>
        </w:tabs>
        <w:rPr>
          <w:rFonts w:cs="Tahoma"/>
          <w:lang w:val="nl-BE"/>
        </w:rPr>
      </w:pPr>
    </w:p>
    <w:p w14:paraId="57963EDE" w14:textId="4F823435" w:rsidR="00AF0EAB" w:rsidRPr="00043B8D" w:rsidRDefault="00AF0EAB" w:rsidP="00B376D5">
      <w:pPr>
        <w:pStyle w:val="Lijstalinea"/>
        <w:numPr>
          <w:ilvl w:val="0"/>
          <w:numId w:val="22"/>
        </w:numPr>
        <w:tabs>
          <w:tab w:val="left" w:pos="1701"/>
        </w:tabs>
        <w:rPr>
          <w:rFonts w:cs="Tahoma"/>
          <w:lang w:val="nl-BE"/>
        </w:rPr>
      </w:pPr>
      <w:r w:rsidRPr="00043B8D">
        <w:rPr>
          <w:rFonts w:cs="Tahoma"/>
          <w:lang w:val="nl-BE"/>
        </w:rPr>
        <w:t>Ook de tariefdragers kW, kW</w:t>
      </w:r>
      <w:r w:rsidRPr="00043B8D">
        <w:rPr>
          <w:rFonts w:cs="Tahoma"/>
          <w:vertAlign w:val="subscript"/>
          <w:lang w:val="nl-BE"/>
        </w:rPr>
        <w:t>max</w:t>
      </w:r>
      <w:r w:rsidRPr="00043B8D">
        <w:rPr>
          <w:rFonts w:cs="Tahoma"/>
          <w:lang w:val="nl-BE"/>
        </w:rPr>
        <w:t xml:space="preserve"> </w:t>
      </w:r>
      <w:r w:rsidR="005E6B14" w:rsidRPr="00043B8D">
        <w:rPr>
          <w:rFonts w:cs="Tahoma"/>
          <w:lang w:val="nl-BE"/>
        </w:rPr>
        <w:t xml:space="preserve">, </w:t>
      </w:r>
      <w:r w:rsidRPr="00043B8D">
        <w:rPr>
          <w:rFonts w:cs="Tahoma"/>
          <w:lang w:val="nl-BE"/>
        </w:rPr>
        <w:t>kVarh</w:t>
      </w:r>
      <w:r w:rsidR="005E6B14" w:rsidRPr="00043B8D">
        <w:rPr>
          <w:rFonts w:cs="Tahoma"/>
          <w:lang w:val="nl-BE"/>
        </w:rPr>
        <w:t xml:space="preserve"> en kVA</w:t>
      </w:r>
      <w:r w:rsidRPr="00043B8D">
        <w:rPr>
          <w:rFonts w:cs="Tahoma"/>
          <w:lang w:val="nl-BE"/>
        </w:rPr>
        <w:t xml:space="preserve"> zorgen voor</w:t>
      </w:r>
      <w:r w:rsidR="00045956" w:rsidRPr="00043B8D">
        <w:rPr>
          <w:rFonts w:cs="Tahoma"/>
          <w:lang w:val="nl-BE"/>
        </w:rPr>
        <w:t xml:space="preserve"> </w:t>
      </w:r>
      <w:r w:rsidR="00446DE5" w:rsidRPr="00043B8D">
        <w:rPr>
          <w:rFonts w:cs="Tahoma"/>
          <w:lang w:val="nl-BE"/>
        </w:rPr>
        <w:t>soms</w:t>
      </w:r>
      <w:r w:rsidR="00045956" w:rsidRPr="00043B8D">
        <w:rPr>
          <w:rFonts w:cs="Tahoma"/>
          <w:lang w:val="nl-BE"/>
        </w:rPr>
        <w:t xml:space="preserve"> sterk variabele</w:t>
      </w:r>
      <w:r w:rsidRPr="00043B8D">
        <w:rPr>
          <w:rFonts w:cs="Tahoma"/>
          <w:lang w:val="nl-BE"/>
        </w:rPr>
        <w:t xml:space="preserve"> inkomsten voor een distributienetbeheerder. </w:t>
      </w:r>
    </w:p>
    <w:p w14:paraId="39F6A084" w14:textId="77777777" w:rsidR="00E82260" w:rsidRPr="00043B8D" w:rsidRDefault="00E82260" w:rsidP="00AF0EAB">
      <w:pPr>
        <w:tabs>
          <w:tab w:val="left" w:pos="1701"/>
        </w:tabs>
        <w:rPr>
          <w:rFonts w:cs="Tahoma"/>
          <w:lang w:val="nl-BE"/>
        </w:rPr>
      </w:pPr>
    </w:p>
    <w:p w14:paraId="4578C7F0" w14:textId="2EE40231" w:rsidR="00AF0EAB" w:rsidRPr="00043B8D" w:rsidRDefault="00045956" w:rsidP="00AF0EAB">
      <w:pPr>
        <w:tabs>
          <w:tab w:val="left" w:pos="1701"/>
        </w:tabs>
        <w:rPr>
          <w:rFonts w:cs="Tahoma"/>
          <w:lang w:val="nl-BE"/>
        </w:rPr>
      </w:pPr>
      <w:r w:rsidRPr="00043B8D">
        <w:rPr>
          <w:rFonts w:cs="Tahoma"/>
          <w:lang w:val="nl-BE"/>
        </w:rPr>
        <w:t xml:space="preserve">De VREG laat bijgevolg toe dat de distributienetbeheerder mag rekenen op het totaal van de hem toegelaten inkomsten voor niet-exogene kosten. </w:t>
      </w:r>
      <w:r w:rsidR="00AF0EAB" w:rsidRPr="00043B8D">
        <w:rPr>
          <w:rFonts w:cs="Tahoma"/>
          <w:lang w:val="nl-BE"/>
        </w:rPr>
        <w:t xml:space="preserve">Wat betreft </w:t>
      </w:r>
      <w:r w:rsidRPr="00043B8D">
        <w:rPr>
          <w:rFonts w:cs="Tahoma"/>
          <w:lang w:val="nl-BE"/>
        </w:rPr>
        <w:t xml:space="preserve">de werkelijke inkomsten, </w:t>
      </w:r>
      <w:r w:rsidR="00AF0EAB" w:rsidRPr="00043B8D">
        <w:rPr>
          <w:rFonts w:cs="Tahoma"/>
          <w:lang w:val="nl-BE"/>
        </w:rPr>
        <w:t xml:space="preserve">zal na afloop van het </w:t>
      </w:r>
      <w:r w:rsidR="000D79FF" w:rsidRPr="00043B8D">
        <w:rPr>
          <w:rFonts w:cs="Tahoma"/>
          <w:lang w:val="nl-BE"/>
        </w:rPr>
        <w:t>boek</w:t>
      </w:r>
      <w:r w:rsidR="00AF0EAB" w:rsidRPr="00043B8D">
        <w:rPr>
          <w:rFonts w:cs="Tahoma"/>
          <w:lang w:val="nl-BE"/>
        </w:rPr>
        <w:t xml:space="preserve">jaar een regulatoir saldo voor volumeverschillen ontstaan, gelijk aan het verschil tussen de werkelijke en </w:t>
      </w:r>
      <w:r w:rsidRPr="00043B8D">
        <w:rPr>
          <w:rFonts w:cs="Tahoma"/>
          <w:lang w:val="nl-BE"/>
        </w:rPr>
        <w:t xml:space="preserve">de </w:t>
      </w:r>
      <w:r w:rsidR="00AF0EAB" w:rsidRPr="00043B8D">
        <w:rPr>
          <w:rFonts w:cs="Tahoma"/>
          <w:lang w:val="nl-BE"/>
        </w:rPr>
        <w:t xml:space="preserve">verwachte ontvangsten uit periodieke distributienettarieven </w:t>
      </w:r>
      <w:r w:rsidR="008B7231" w:rsidRPr="00043B8D">
        <w:rPr>
          <w:rFonts w:cs="Tahoma"/>
          <w:lang w:val="nl-BE"/>
        </w:rPr>
        <w:t>m.b.t.</w:t>
      </w:r>
      <w:r w:rsidRPr="00043B8D">
        <w:rPr>
          <w:rFonts w:cs="Tahoma"/>
          <w:lang w:val="nl-BE"/>
        </w:rPr>
        <w:t xml:space="preserve"> niet-exogene kosten </w:t>
      </w:r>
      <w:r w:rsidR="00AF0EAB" w:rsidRPr="00043B8D">
        <w:rPr>
          <w:rFonts w:cs="Tahoma"/>
          <w:lang w:val="nl-BE"/>
        </w:rPr>
        <w:t>met tariefdragers kWh, kW, kW</w:t>
      </w:r>
      <w:r w:rsidR="00AF0EAB" w:rsidRPr="00043B8D">
        <w:rPr>
          <w:rFonts w:cs="Tahoma"/>
          <w:vertAlign w:val="subscript"/>
          <w:lang w:val="nl-BE"/>
        </w:rPr>
        <w:t>max</w:t>
      </w:r>
      <w:r w:rsidR="00AF0EAB" w:rsidRPr="00043B8D">
        <w:rPr>
          <w:rFonts w:cs="Tahoma"/>
          <w:lang w:val="nl-BE"/>
        </w:rPr>
        <w:t xml:space="preserve"> </w:t>
      </w:r>
      <w:r w:rsidR="005E6B14" w:rsidRPr="00043B8D">
        <w:rPr>
          <w:rFonts w:cs="Tahoma"/>
          <w:lang w:val="nl-BE"/>
        </w:rPr>
        <w:t xml:space="preserve">, </w:t>
      </w:r>
      <w:r w:rsidR="00AF0EAB" w:rsidRPr="00043B8D">
        <w:rPr>
          <w:rFonts w:cs="Tahoma"/>
          <w:lang w:val="nl-BE"/>
        </w:rPr>
        <w:t>kVarh</w:t>
      </w:r>
      <w:r w:rsidR="005E6B14" w:rsidRPr="00043B8D">
        <w:rPr>
          <w:rFonts w:cs="Tahoma"/>
          <w:lang w:val="nl-BE"/>
        </w:rPr>
        <w:t xml:space="preserve"> en kVA</w:t>
      </w:r>
      <w:r w:rsidR="00AF0EAB" w:rsidRPr="00043B8D">
        <w:rPr>
          <w:rFonts w:cs="Tahoma"/>
          <w:lang w:val="nl-BE"/>
        </w:rPr>
        <w:t xml:space="preserve">. </w:t>
      </w:r>
      <w:r w:rsidR="00F57C24" w:rsidRPr="00043B8D">
        <w:rPr>
          <w:rFonts w:cs="Tahoma"/>
          <w:lang w:val="nl-BE"/>
        </w:rPr>
        <w:t xml:space="preserve">Dit betekent dat de distributienetbeheerder enkel nog </w:t>
      </w:r>
      <w:r w:rsidR="00C56F36" w:rsidRPr="00043B8D">
        <w:rPr>
          <w:rFonts w:cs="Tahoma"/>
          <w:lang w:val="nl-BE"/>
        </w:rPr>
        <w:t>wordt blootgesteld aan het</w:t>
      </w:r>
      <w:r w:rsidR="00F57C24" w:rsidRPr="00043B8D">
        <w:rPr>
          <w:rFonts w:cs="Tahoma"/>
          <w:lang w:val="nl-BE"/>
        </w:rPr>
        <w:t xml:space="preserve"> </w:t>
      </w:r>
      <w:r w:rsidRPr="00043B8D">
        <w:rPr>
          <w:rFonts w:cs="Tahoma"/>
          <w:lang w:val="nl-BE"/>
        </w:rPr>
        <w:t xml:space="preserve">relatief beperkte </w:t>
      </w:r>
      <w:r w:rsidR="00C56F36" w:rsidRPr="00043B8D">
        <w:rPr>
          <w:rFonts w:cs="Tahoma"/>
          <w:lang w:val="nl-BE"/>
        </w:rPr>
        <w:t xml:space="preserve">volumerisico op de tariefdrager </w:t>
      </w:r>
      <w:r w:rsidR="0091772A" w:rsidRPr="00043B8D">
        <w:rPr>
          <w:rFonts w:cs="Tahoma"/>
          <w:lang w:val="nl-BE"/>
        </w:rPr>
        <w:t>‘</w:t>
      </w:r>
      <w:r w:rsidRPr="00043B8D">
        <w:rPr>
          <w:rFonts w:cs="Tahoma"/>
          <w:lang w:val="nl-BE"/>
        </w:rPr>
        <w:t xml:space="preserve">vaste term (EUR) per jaar per toegangspunt (per </w:t>
      </w:r>
      <w:r w:rsidR="00C56F36" w:rsidRPr="00043B8D">
        <w:rPr>
          <w:rFonts w:cs="Tahoma"/>
          <w:lang w:val="nl-BE"/>
        </w:rPr>
        <w:t>EAN</w:t>
      </w:r>
      <w:r w:rsidRPr="00043B8D">
        <w:rPr>
          <w:rFonts w:cs="Tahoma"/>
          <w:lang w:val="nl-BE"/>
        </w:rPr>
        <w:t>)</w:t>
      </w:r>
      <w:r w:rsidR="0091772A" w:rsidRPr="00043B8D">
        <w:rPr>
          <w:rFonts w:cs="Tahoma"/>
          <w:lang w:val="nl-BE"/>
        </w:rPr>
        <w:t>’</w:t>
      </w:r>
      <w:r w:rsidR="00C56F36" w:rsidRPr="00043B8D">
        <w:rPr>
          <w:rFonts w:cs="Tahoma"/>
          <w:lang w:val="nl-BE"/>
        </w:rPr>
        <w:t xml:space="preserve">. </w:t>
      </w:r>
      <w:r w:rsidR="00AF0EAB" w:rsidRPr="00043B8D">
        <w:rPr>
          <w:rFonts w:cs="Tahoma"/>
          <w:lang w:val="nl-BE"/>
        </w:rPr>
        <w:t>Dit</w:t>
      </w:r>
      <w:r w:rsidR="00C56F36" w:rsidRPr="00043B8D">
        <w:rPr>
          <w:rFonts w:cs="Tahoma"/>
          <w:lang w:val="nl-BE"/>
        </w:rPr>
        <w:t xml:space="preserve"> alles</w:t>
      </w:r>
      <w:r w:rsidR="0091772A" w:rsidRPr="00043B8D">
        <w:rPr>
          <w:rFonts w:cs="Tahoma"/>
          <w:lang w:val="nl-BE"/>
        </w:rPr>
        <w:t xml:space="preserve"> </w:t>
      </w:r>
      <w:r w:rsidR="00AF0EAB" w:rsidRPr="00043B8D">
        <w:rPr>
          <w:rFonts w:cs="Tahoma"/>
          <w:lang w:val="nl-BE"/>
        </w:rPr>
        <w:t xml:space="preserve">wordt weergegeven in  </w:t>
      </w:r>
      <w:r w:rsidR="00AF0EAB" w:rsidRPr="00043B8D">
        <w:rPr>
          <w:rFonts w:cs="Tahoma"/>
          <w:lang w:val="nl-BE"/>
        </w:rPr>
        <w:fldChar w:fldCharType="begin"/>
      </w:r>
      <w:r w:rsidR="00AF0EAB" w:rsidRPr="00043B8D">
        <w:rPr>
          <w:rFonts w:cs="Tahoma"/>
          <w:lang w:val="nl-BE"/>
        </w:rPr>
        <w:instrText xml:space="preserve"> REF _Ref388618650 \h  \* MERGEFORMAT </w:instrText>
      </w:r>
      <w:r w:rsidR="00AF0EAB" w:rsidRPr="00043B8D">
        <w:rPr>
          <w:rFonts w:cs="Tahoma"/>
          <w:lang w:val="nl-BE"/>
        </w:rPr>
      </w:r>
      <w:r w:rsidR="00AF0EAB" w:rsidRPr="00043B8D">
        <w:rPr>
          <w:rFonts w:cs="Tahoma"/>
          <w:lang w:val="nl-BE"/>
        </w:rPr>
        <w:fldChar w:fldCharType="separate"/>
      </w:r>
      <w:r w:rsidR="00B30F9B" w:rsidRPr="00B30F9B">
        <w:t xml:space="preserve">formule </w:t>
      </w:r>
      <w:r w:rsidR="00B30F9B" w:rsidRPr="00B30F9B">
        <w:rPr>
          <w:noProof/>
        </w:rPr>
        <w:t>7</w:t>
      </w:r>
      <w:r w:rsidR="00AF0EAB" w:rsidRPr="00043B8D">
        <w:rPr>
          <w:rFonts w:cs="Tahoma"/>
          <w:lang w:val="nl-BE"/>
        </w:rPr>
        <w:fldChar w:fldCharType="end"/>
      </w:r>
      <w:r w:rsidR="008B7231" w:rsidRPr="00043B8D">
        <w:rPr>
          <w:rFonts w:cs="Tahoma"/>
          <w:lang w:val="nl-BE"/>
        </w:rPr>
        <w:t>:</w:t>
      </w:r>
    </w:p>
    <w:p w14:paraId="459B0FD0" w14:textId="77777777" w:rsidR="00AF0EAB" w:rsidRPr="00043B8D" w:rsidRDefault="00AF0EAB" w:rsidP="00AF0EAB">
      <w:pPr>
        <w:tabs>
          <w:tab w:val="left" w:pos="1701"/>
        </w:tabs>
        <w:rPr>
          <w:rFonts w:cs="Tahoma"/>
          <w:lang w:val="nl-BE"/>
        </w:rPr>
      </w:pPr>
    </w:p>
    <w:p w14:paraId="68BA7F4B" w14:textId="77777777" w:rsidR="00AF0EAB" w:rsidRPr="00043B8D" w:rsidRDefault="00E902D4" w:rsidP="00AF0EAB">
      <w:pPr>
        <w:keepNext/>
        <w:pBdr>
          <w:top w:val="dotted" w:sz="4" w:space="1" w:color="auto"/>
          <w:left w:val="dotted" w:sz="4" w:space="4" w:color="auto"/>
          <w:bottom w:val="dotted" w:sz="4" w:space="1" w:color="auto"/>
          <w:right w:val="dotted" w:sz="4" w:space="4" w:color="auto"/>
        </w:pBdr>
        <w:tabs>
          <w:tab w:val="left" w:pos="1701"/>
        </w:tabs>
        <w:jc w:val="center"/>
      </w:pPr>
      <w:r w:rsidRPr="00043B8D">
        <w:rPr>
          <w:rFonts w:cs="Tahoma"/>
          <w:position w:val="-14"/>
          <w:lang w:val="nl-BE"/>
        </w:rPr>
        <w:object w:dxaOrig="3560" w:dyaOrig="380" w14:anchorId="20B4FC02">
          <v:shape id="_x0000_i1026" type="#_x0000_t75" style="width:178.9pt;height:18.6pt" o:ole="">
            <v:imagedata r:id="rId18" o:title=""/>
          </v:shape>
          <o:OLEObject Type="Embed" ProgID="Equation.3" ShapeID="_x0000_i1026" DrawAspect="Content" ObjectID="_1528638245" r:id="rId19"/>
        </w:object>
      </w:r>
    </w:p>
    <w:p w14:paraId="55B24D31" w14:textId="77777777" w:rsidR="00AF0EAB" w:rsidRPr="000D284A" w:rsidRDefault="00AF0EAB" w:rsidP="000D284A">
      <w:pPr>
        <w:pStyle w:val="Bijschrift"/>
        <w:jc w:val="right"/>
        <w:rPr>
          <w:b w:val="0"/>
          <w:i/>
        </w:rPr>
      </w:pPr>
      <w:r w:rsidRPr="000D284A">
        <w:rPr>
          <w:b w:val="0"/>
          <w:i/>
        </w:rPr>
        <w:tab/>
      </w:r>
      <w:bookmarkStart w:id="346" w:name="_Ref388618650"/>
      <w:r w:rsidRPr="000D284A">
        <w:rPr>
          <w:b w:val="0"/>
          <w:i/>
        </w:rPr>
        <w:t xml:space="preserve">formule </w:t>
      </w:r>
      <w:r w:rsidRPr="000D284A">
        <w:rPr>
          <w:b w:val="0"/>
          <w:i/>
        </w:rPr>
        <w:fldChar w:fldCharType="begin"/>
      </w:r>
      <w:r w:rsidRPr="000D284A">
        <w:rPr>
          <w:b w:val="0"/>
          <w:i/>
        </w:rPr>
        <w:instrText xml:space="preserve"> SEQ formule \* ARABIC </w:instrText>
      </w:r>
      <w:r w:rsidRPr="000D284A">
        <w:rPr>
          <w:b w:val="0"/>
          <w:i/>
        </w:rPr>
        <w:fldChar w:fldCharType="separate"/>
      </w:r>
      <w:r w:rsidR="00BD536B">
        <w:rPr>
          <w:b w:val="0"/>
          <w:i/>
          <w:noProof/>
        </w:rPr>
        <w:t>7</w:t>
      </w:r>
      <w:r w:rsidRPr="000D284A">
        <w:rPr>
          <w:b w:val="0"/>
          <w:i/>
        </w:rPr>
        <w:fldChar w:fldCharType="end"/>
      </w:r>
      <w:bookmarkEnd w:id="346"/>
    </w:p>
    <w:p w14:paraId="34482EB0" w14:textId="77777777" w:rsidR="00AF0EAB" w:rsidRPr="00043B8D" w:rsidRDefault="00AF0EAB" w:rsidP="00AF0EAB">
      <w:pPr>
        <w:tabs>
          <w:tab w:val="left" w:pos="1701"/>
        </w:tabs>
        <w:rPr>
          <w:rFonts w:cs="Tahoma"/>
          <w:lang w:val="nl-BE"/>
        </w:rPr>
      </w:pPr>
    </w:p>
    <w:p w14:paraId="5033E044" w14:textId="77777777" w:rsidR="00AF0EAB" w:rsidRPr="00043B8D" w:rsidRDefault="00AF0EAB" w:rsidP="00AF0EAB">
      <w:pPr>
        <w:tabs>
          <w:tab w:val="left" w:pos="1701"/>
        </w:tabs>
        <w:rPr>
          <w:rFonts w:cs="Tahoma"/>
          <w:lang w:val="nl-BE"/>
        </w:rPr>
      </w:pPr>
      <w:r w:rsidRPr="00043B8D">
        <w:rPr>
          <w:rFonts w:cs="Tahoma"/>
          <w:lang w:val="nl-BE"/>
        </w:rPr>
        <w:t>Met hierin:</w:t>
      </w:r>
    </w:p>
    <w:p w14:paraId="712F71BC" w14:textId="77777777" w:rsidR="00AF0EAB" w:rsidRPr="00043B8D" w:rsidRDefault="00AF0EAB" w:rsidP="00AF0EAB">
      <w:pPr>
        <w:tabs>
          <w:tab w:val="left" w:pos="1701"/>
        </w:tabs>
        <w:rPr>
          <w:rFonts w:cs="Tahoma"/>
          <w:lang w:val="nl-BE"/>
        </w:rPr>
      </w:pPr>
    </w:p>
    <w:p w14:paraId="442B1BC1" w14:textId="1E36AB5B" w:rsidR="00AF0EAB" w:rsidRPr="00043B8D" w:rsidRDefault="00AF0EAB" w:rsidP="00AF0EAB">
      <w:pPr>
        <w:tabs>
          <w:tab w:val="left" w:pos="709"/>
        </w:tabs>
        <w:ind w:left="2127" w:hanging="1418"/>
        <w:rPr>
          <w:rFonts w:cs="Tahoma"/>
          <w:i/>
        </w:rPr>
      </w:pPr>
      <w:r w:rsidRPr="00043B8D">
        <w:rPr>
          <w:rFonts w:cs="Tahoma"/>
          <w:i/>
        </w:rPr>
        <w:t>RS</w:t>
      </w:r>
      <w:r w:rsidRPr="00043B8D">
        <w:rPr>
          <w:rFonts w:cs="Tahoma"/>
          <w:i/>
          <w:vertAlign w:val="subscript"/>
        </w:rPr>
        <w:t>n-ex,j,i</w:t>
      </w:r>
      <w:r w:rsidRPr="00043B8D">
        <w:rPr>
          <w:rFonts w:cs="Tahoma"/>
          <w:i/>
        </w:rPr>
        <w:tab/>
        <w:t>Het regulatoir saldo voor niet-exogene kosten voor distributienetbeheerder i ontstaan na afloop van jaar j</w:t>
      </w:r>
      <w:r w:rsidR="000D79FF" w:rsidRPr="00043B8D">
        <w:rPr>
          <w:rFonts w:cs="Tahoma"/>
          <w:i/>
        </w:rPr>
        <w:t xml:space="preserve"> (bijvoorbeeld jaar 2015)</w:t>
      </w:r>
      <w:r w:rsidRPr="00043B8D">
        <w:rPr>
          <w:rFonts w:cs="Tahoma"/>
          <w:i/>
        </w:rPr>
        <w:t>.</w:t>
      </w:r>
      <w:r w:rsidR="00145ECC" w:rsidRPr="00043B8D">
        <w:rPr>
          <w:rFonts w:cs="Tahoma"/>
          <w:i/>
        </w:rPr>
        <w:t xml:space="preserve"> (EUR)</w:t>
      </w:r>
    </w:p>
    <w:p w14:paraId="44D488AA" w14:textId="77777777" w:rsidR="00AF0EAB" w:rsidRPr="00043B8D" w:rsidRDefault="00AF0EAB" w:rsidP="00AF0EAB">
      <w:pPr>
        <w:tabs>
          <w:tab w:val="left" w:pos="1418"/>
        </w:tabs>
        <w:ind w:firstLine="708"/>
        <w:rPr>
          <w:rFonts w:cs="Tahoma"/>
          <w:i/>
        </w:rPr>
      </w:pPr>
    </w:p>
    <w:p w14:paraId="288BBB86" w14:textId="60BE04A2" w:rsidR="00AF0EAB" w:rsidRPr="00043B8D" w:rsidRDefault="00AF0EAB" w:rsidP="00AF0EAB">
      <w:pPr>
        <w:tabs>
          <w:tab w:val="left" w:pos="709"/>
        </w:tabs>
        <w:ind w:left="2127" w:hanging="1418"/>
      </w:pPr>
      <w:r w:rsidRPr="00043B8D">
        <w:rPr>
          <w:rFonts w:cs="Tahoma"/>
          <w:i/>
        </w:rPr>
        <w:t>O</w:t>
      </w:r>
      <w:r w:rsidRPr="00043B8D">
        <w:rPr>
          <w:rFonts w:cs="Tahoma"/>
          <w:i/>
          <w:vertAlign w:val="subscript"/>
        </w:rPr>
        <w:t>w,n-ex,kWh,j,i</w:t>
      </w:r>
      <w:r w:rsidRPr="00043B8D">
        <w:rPr>
          <w:rFonts w:cs="Tahoma"/>
          <w:i/>
        </w:rPr>
        <w:tab/>
        <w:t>De werkelijke opbrengsten van distributienetbeheerder i in jaar j uit de periodieke distributienettarieven met tariefdragers kWh, kW, kW</w:t>
      </w:r>
      <w:r w:rsidRPr="00043B8D">
        <w:rPr>
          <w:rFonts w:cs="Tahoma"/>
          <w:i/>
          <w:vertAlign w:val="subscript"/>
        </w:rPr>
        <w:t>max</w:t>
      </w:r>
      <w:r w:rsidRPr="00043B8D">
        <w:rPr>
          <w:rFonts w:cs="Tahoma"/>
          <w:i/>
        </w:rPr>
        <w:t xml:space="preserve"> </w:t>
      </w:r>
      <w:r w:rsidR="005E6B14" w:rsidRPr="00043B8D">
        <w:rPr>
          <w:rFonts w:cs="Tahoma"/>
          <w:i/>
        </w:rPr>
        <w:t xml:space="preserve">, </w:t>
      </w:r>
      <w:r w:rsidRPr="00043B8D">
        <w:rPr>
          <w:rFonts w:cs="Tahoma"/>
          <w:i/>
        </w:rPr>
        <w:t>kVarh</w:t>
      </w:r>
      <w:r w:rsidR="005E6B14" w:rsidRPr="00043B8D">
        <w:rPr>
          <w:rFonts w:cs="Tahoma"/>
          <w:i/>
        </w:rPr>
        <w:t xml:space="preserve"> en kVA</w:t>
      </w:r>
      <w:r w:rsidRPr="00043B8D">
        <w:rPr>
          <w:rFonts w:cs="Tahoma"/>
          <w:i/>
        </w:rPr>
        <w:t xml:space="preserve"> ter inning van het toegelaten inkomen voor niet-exogene kosten</w:t>
      </w:r>
      <w:r w:rsidRPr="00043B8D">
        <w:t>.</w:t>
      </w:r>
      <w:r w:rsidR="00145ECC" w:rsidRPr="00043B8D">
        <w:rPr>
          <w:rFonts w:cs="Tahoma"/>
          <w:i/>
        </w:rPr>
        <w:t xml:space="preserve"> (EUR)</w:t>
      </w:r>
    </w:p>
    <w:p w14:paraId="13A5CE63" w14:textId="77777777" w:rsidR="00AF0EAB" w:rsidRPr="00043B8D" w:rsidRDefault="00AF0EAB" w:rsidP="00AF0EAB">
      <w:pPr>
        <w:tabs>
          <w:tab w:val="left" w:pos="709"/>
        </w:tabs>
        <w:ind w:left="2127" w:hanging="1418"/>
      </w:pPr>
    </w:p>
    <w:p w14:paraId="5AEB631C" w14:textId="6C966BEB" w:rsidR="00AF0EAB" w:rsidRPr="00043B8D" w:rsidRDefault="00AF0EAB" w:rsidP="00AF0EAB">
      <w:pPr>
        <w:tabs>
          <w:tab w:val="left" w:pos="709"/>
        </w:tabs>
        <w:ind w:left="2127" w:hanging="1418"/>
      </w:pPr>
      <w:r w:rsidRPr="00043B8D">
        <w:rPr>
          <w:rFonts w:cs="Tahoma"/>
          <w:i/>
        </w:rPr>
        <w:t>O</w:t>
      </w:r>
      <w:r w:rsidRPr="00043B8D">
        <w:rPr>
          <w:rFonts w:cs="Tahoma"/>
          <w:i/>
          <w:vertAlign w:val="subscript"/>
        </w:rPr>
        <w:t>b,n-ex,kWh,j,i</w:t>
      </w:r>
      <w:r w:rsidRPr="00043B8D">
        <w:rPr>
          <w:rFonts w:cs="Tahoma"/>
          <w:i/>
        </w:rPr>
        <w:tab/>
        <w:t>De gebudgetteerde opbrengsten voor distributienetbeheerder i voor jaar j uit de periodieke distributienettarieven met tariefdragers kWh, kW, kW</w:t>
      </w:r>
      <w:r w:rsidRPr="00043B8D">
        <w:rPr>
          <w:rFonts w:cs="Tahoma"/>
          <w:i/>
          <w:vertAlign w:val="subscript"/>
        </w:rPr>
        <w:t>max</w:t>
      </w:r>
      <w:r w:rsidRPr="00043B8D">
        <w:rPr>
          <w:rFonts w:cs="Tahoma"/>
          <w:i/>
        </w:rPr>
        <w:t xml:space="preserve"> </w:t>
      </w:r>
      <w:r w:rsidR="005E6B14" w:rsidRPr="00043B8D">
        <w:rPr>
          <w:rFonts w:cs="Tahoma"/>
          <w:i/>
        </w:rPr>
        <w:t xml:space="preserve">, </w:t>
      </w:r>
      <w:r w:rsidRPr="00043B8D">
        <w:rPr>
          <w:rFonts w:cs="Tahoma"/>
          <w:i/>
        </w:rPr>
        <w:t>kVarh</w:t>
      </w:r>
      <w:r w:rsidR="005E6B14" w:rsidRPr="00043B8D">
        <w:rPr>
          <w:rFonts w:cs="Tahoma"/>
          <w:i/>
        </w:rPr>
        <w:t xml:space="preserve"> en kVA</w:t>
      </w:r>
      <w:r w:rsidRPr="00043B8D">
        <w:rPr>
          <w:rFonts w:cs="Tahoma"/>
          <w:i/>
        </w:rPr>
        <w:t xml:space="preserve"> ter inning van het toegelaten inkomen voor niet-exogene kosten</w:t>
      </w:r>
      <w:r w:rsidR="006B4912" w:rsidRPr="00043B8D">
        <w:rPr>
          <w:rFonts w:cs="Tahoma"/>
          <w:i/>
        </w:rPr>
        <w:t xml:space="preserve"> […]</w:t>
      </w:r>
      <w:r w:rsidR="006B4912" w:rsidRPr="00043B8D">
        <w:rPr>
          <w:rStyle w:val="Voetnootmarkering"/>
          <w:rFonts w:cs="Tahoma"/>
          <w:i/>
        </w:rPr>
        <w:footnoteReference w:id="32"/>
      </w:r>
      <w:r w:rsidR="006B4912" w:rsidRPr="00043B8D">
        <w:rPr>
          <w:rFonts w:cs="Tahoma"/>
          <w:i/>
        </w:rPr>
        <w:t xml:space="preserve"> </w:t>
      </w:r>
      <w:r w:rsidR="00145ECC" w:rsidRPr="00043B8D">
        <w:rPr>
          <w:rFonts w:cs="Tahoma"/>
          <w:i/>
        </w:rPr>
        <w:t>(EUR)</w:t>
      </w:r>
    </w:p>
    <w:p w14:paraId="13461D64" w14:textId="5C4A1B98" w:rsidR="00AF0EAB" w:rsidRPr="00043B8D" w:rsidRDefault="00DB68BD" w:rsidP="00E44479">
      <w:pPr>
        <w:tabs>
          <w:tab w:val="left" w:pos="709"/>
        </w:tabs>
      </w:pPr>
      <w:r w:rsidRPr="00043B8D">
        <w:t>[</w:t>
      </w:r>
    </w:p>
    <w:p w14:paraId="0F570A01" w14:textId="1048295A" w:rsidR="00847887" w:rsidRPr="00043B8D" w:rsidRDefault="00847887" w:rsidP="005251E2">
      <w:pPr>
        <w:pStyle w:val="Kop2"/>
        <w:numPr>
          <w:ilvl w:val="2"/>
          <w:numId w:val="24"/>
        </w:numPr>
        <w:ind w:left="993" w:hanging="993"/>
        <w:rPr>
          <w:i/>
          <w:sz w:val="22"/>
          <w:szCs w:val="22"/>
        </w:rPr>
      </w:pPr>
      <w:bookmarkStart w:id="347" w:name="_Toc454186672"/>
      <w:r w:rsidRPr="00043B8D">
        <w:rPr>
          <w:i/>
          <w:sz w:val="22"/>
          <w:szCs w:val="22"/>
        </w:rPr>
        <w:t>Regulatoire saldi bij gewijzigde distributienettarieven gedurende het jaar</w:t>
      </w:r>
      <w:bookmarkEnd w:id="347"/>
    </w:p>
    <w:p w14:paraId="6DD49AEB" w14:textId="77777777" w:rsidR="00847887" w:rsidRPr="00043B8D" w:rsidRDefault="00847887" w:rsidP="00E44479">
      <w:pPr>
        <w:tabs>
          <w:tab w:val="left" w:pos="709"/>
        </w:tabs>
      </w:pPr>
    </w:p>
    <w:p w14:paraId="5BEB6DFC" w14:textId="06F67391" w:rsidR="00EA2764" w:rsidRPr="00043B8D" w:rsidRDefault="00B71713" w:rsidP="00E44479">
      <w:pPr>
        <w:tabs>
          <w:tab w:val="left" w:pos="709"/>
        </w:tabs>
      </w:pPr>
      <w:r w:rsidRPr="00043B8D">
        <w:t xml:space="preserve">De inkomsten van </w:t>
      </w:r>
      <w:r w:rsidR="00F40D55" w:rsidRPr="00043B8D">
        <w:t xml:space="preserve">elke </w:t>
      </w:r>
      <w:r w:rsidRPr="00043B8D">
        <w:t xml:space="preserve">distributienetbeheerder uit zijn </w:t>
      </w:r>
      <w:r w:rsidR="009D1DF6" w:rsidRPr="00043B8D">
        <w:t xml:space="preserve">periodieke </w:t>
      </w:r>
      <w:r w:rsidRPr="00043B8D">
        <w:t xml:space="preserve">distributienettarieven zullen opgedeeld worden in inkomsten voor exogene kosten en inkomsten voor niet-exogene kosten overeenkomstig de </w:t>
      </w:r>
      <w:r w:rsidR="00F40D55" w:rsidRPr="00043B8D">
        <w:t xml:space="preserve">gehanteerde </w:t>
      </w:r>
      <w:r w:rsidRPr="00043B8D">
        <w:t xml:space="preserve">verhouding </w:t>
      </w:r>
      <w:r w:rsidR="00F40D55" w:rsidRPr="00043B8D">
        <w:t xml:space="preserve">exogeen/niet-exogeen per tariefcomponent per afname/injectie en per activiteit </w:t>
      </w:r>
      <w:r w:rsidRPr="00043B8D">
        <w:t>overeenkomstig</w:t>
      </w:r>
      <w:r w:rsidR="00F40D55" w:rsidRPr="00043B8D">
        <w:t xml:space="preserve"> het </w:t>
      </w:r>
      <w:r w:rsidRPr="00043B8D">
        <w:t>tariefvoorstel</w:t>
      </w:r>
      <w:r w:rsidR="00F40D55" w:rsidRPr="00043B8D">
        <w:t xml:space="preserve"> voor die distributienettarieven</w:t>
      </w:r>
      <w:r w:rsidRPr="00043B8D">
        <w:t>.</w:t>
      </w:r>
      <w:r w:rsidR="001B1C78" w:rsidRPr="00043B8D">
        <w:t xml:space="preserve"> Deze methodiek moet toelaten om zowel de regulatoire saldi inzake de exogene kosten als de regulatoire saldi inzake de volumeverschillen m.b.t. de verbruik gerelateerde tariefdragers op een correcte wijze vast te stellen.</w:t>
      </w:r>
    </w:p>
    <w:p w14:paraId="4D664DEA" w14:textId="77777777" w:rsidR="00EA2764" w:rsidRPr="00043B8D" w:rsidRDefault="00EA2764" w:rsidP="00E44479">
      <w:pPr>
        <w:tabs>
          <w:tab w:val="left" w:pos="709"/>
        </w:tabs>
      </w:pPr>
    </w:p>
    <w:p w14:paraId="3F1C14AF" w14:textId="374E6431" w:rsidR="00CB6F22" w:rsidRPr="00043B8D" w:rsidRDefault="00EA2764" w:rsidP="00CB6F22">
      <w:pPr>
        <w:rPr>
          <w:rFonts w:cs="Tahoma"/>
        </w:rPr>
      </w:pPr>
      <w:r w:rsidRPr="00043B8D">
        <w:t xml:space="preserve">Dit betekent dat </w:t>
      </w:r>
      <w:r w:rsidR="00A2442F" w:rsidRPr="00043B8D">
        <w:t xml:space="preserve">de ontvangsten moeten toegewezen worden aan de </w:t>
      </w:r>
      <w:r w:rsidRPr="00043B8D">
        <w:t>periode</w:t>
      </w:r>
      <w:r w:rsidR="00A2442F" w:rsidRPr="00043B8D">
        <w:t>s</w:t>
      </w:r>
      <w:r w:rsidRPr="00043B8D">
        <w:t xml:space="preserve"> waarover bepaalde periodieke distributienettarieven van kracht zijn geweest</w:t>
      </w:r>
      <w:r w:rsidR="00A2442F" w:rsidRPr="00043B8D">
        <w:t xml:space="preserve">. </w:t>
      </w:r>
      <w:r w:rsidR="00D77293" w:rsidRPr="00043B8D">
        <w:rPr>
          <w:rFonts w:cs="Tahoma"/>
        </w:rPr>
        <w:t>Indien in een kalenderjaar periodieke distributienettarieven van meer dan één tariefvoorstel worden toegepast, zullen per tariefcomponent de werkelijke inkomsten van de distributienetbeheerder als volgt worden toegewezen aan inkomsten voor exogene en niet-exogene kosten:</w:t>
      </w:r>
    </w:p>
    <w:p w14:paraId="036F33FC" w14:textId="77777777" w:rsidR="003A64A3" w:rsidRPr="00043B8D" w:rsidRDefault="003A64A3" w:rsidP="00CB6F22"/>
    <w:p w14:paraId="167ECA52" w14:textId="77777777" w:rsidR="00CB6F22" w:rsidRPr="00043B8D" w:rsidRDefault="00CB6F22" w:rsidP="00CB6F22">
      <w:pPr>
        <w:keepNext/>
      </w:pPr>
      <w:r w:rsidRPr="00043B8D">
        <w:rPr>
          <w:position w:val="-32"/>
        </w:rPr>
        <w:object w:dxaOrig="9600" w:dyaOrig="760" w14:anchorId="13FE1BD7">
          <v:shape id="_x0000_i1027" type="#_x0000_t75" style="width:480pt;height:38.05pt" o:ole="">
            <v:imagedata r:id="rId20" o:title=""/>
          </v:shape>
          <o:OLEObject Type="Embed" ProgID="Equation.3" ShapeID="_x0000_i1027" DrawAspect="Content" ObjectID="_1528638246" r:id="rId21"/>
        </w:object>
      </w:r>
    </w:p>
    <w:p w14:paraId="19245CA5" w14:textId="77777777" w:rsidR="00CB6F22" w:rsidRPr="00043B8D" w:rsidRDefault="00CB6F22" w:rsidP="00CB6F22">
      <w:pPr>
        <w:rPr>
          <w:rFonts w:cs="Tahoma"/>
        </w:rPr>
      </w:pPr>
      <w:r w:rsidRPr="00043B8D">
        <w:rPr>
          <w:rFonts w:cs="Tahoma"/>
        </w:rPr>
        <w:t>Met hierin:</w:t>
      </w:r>
    </w:p>
    <w:p w14:paraId="2302E9E7" w14:textId="77777777" w:rsidR="00CB6F22" w:rsidRPr="00043B8D" w:rsidRDefault="00CB6F22" w:rsidP="00CB6F22">
      <w:pPr>
        <w:rPr>
          <w:rFonts w:cs="Tahoma"/>
        </w:rPr>
      </w:pPr>
    </w:p>
    <w:p w14:paraId="41D41317" w14:textId="77777777" w:rsidR="00CB6F22" w:rsidRPr="00043B8D" w:rsidRDefault="00CB6F22" w:rsidP="00CB6F22">
      <w:pPr>
        <w:ind w:left="1418" w:hanging="1058"/>
        <w:rPr>
          <w:rFonts w:cs="Tahoma"/>
        </w:rPr>
      </w:pPr>
      <w:r w:rsidRPr="00043B8D">
        <w:rPr>
          <w:rFonts w:cs="Tahoma"/>
          <w:i/>
        </w:rPr>
        <w:t>x</w:t>
      </w:r>
      <w:r w:rsidRPr="00043B8D">
        <w:rPr>
          <w:rFonts w:cs="Tahoma"/>
          <w:i/>
          <w:vertAlign w:val="subscript"/>
        </w:rPr>
        <w:t>tc,n-ex</w:t>
      </w:r>
      <w:r w:rsidRPr="00043B8D">
        <w:rPr>
          <w:rFonts w:cs="Tahoma"/>
        </w:rPr>
        <w:tab/>
        <w:t xml:space="preserve">Het percentage dat stelt hoeveel van de inkomsten uit het jaar die een distributienetbeheerder heeft ontvangen uit periodiek tariefcomponent </w:t>
      </w:r>
      <w:r w:rsidRPr="00043B8D">
        <w:rPr>
          <w:rFonts w:cs="Tahoma"/>
          <w:i/>
        </w:rPr>
        <w:t>tc,</w:t>
      </w:r>
      <w:r w:rsidRPr="00043B8D">
        <w:rPr>
          <w:rFonts w:cs="Tahoma"/>
        </w:rPr>
        <w:t xml:space="preserve"> waarvoor volgens de tariefmethodologie een volumedekking geldt, wordt toegewezen aan inkomsten voor de niet-exogene kosten. Het resterende deel wordt toegewezen aan de exogene kosten;</w:t>
      </w:r>
    </w:p>
    <w:p w14:paraId="7FED40D4" w14:textId="77777777" w:rsidR="00CB6F22" w:rsidRPr="00043B8D" w:rsidRDefault="00CB6F22" w:rsidP="00CB6F22">
      <w:pPr>
        <w:ind w:left="1418" w:hanging="1058"/>
        <w:rPr>
          <w:rFonts w:cs="Tahoma"/>
          <w:i/>
        </w:rPr>
      </w:pPr>
    </w:p>
    <w:p w14:paraId="4BDCFF4C" w14:textId="7F5538C1" w:rsidR="00CB6F22" w:rsidRPr="00043B8D" w:rsidRDefault="00CB6F22" w:rsidP="00CB6F22">
      <w:pPr>
        <w:ind w:left="1418" w:hanging="1058"/>
        <w:rPr>
          <w:rFonts w:cs="Tahoma"/>
        </w:rPr>
      </w:pPr>
      <w:r w:rsidRPr="00043B8D">
        <w:rPr>
          <w:rFonts w:cs="Tahoma"/>
          <w:i/>
        </w:rPr>
        <w:t>x</w:t>
      </w:r>
      <w:r w:rsidRPr="00043B8D">
        <w:rPr>
          <w:rFonts w:cs="Tahoma"/>
          <w:i/>
          <w:vertAlign w:val="superscript"/>
        </w:rPr>
        <w:t>n</w:t>
      </w:r>
      <w:r w:rsidRPr="00043B8D">
        <w:rPr>
          <w:rFonts w:cs="Tahoma"/>
          <w:i/>
          <w:vertAlign w:val="subscript"/>
        </w:rPr>
        <w:t>tc,n-ex</w:t>
      </w:r>
      <w:r w:rsidRPr="00043B8D">
        <w:rPr>
          <w:rFonts w:cs="Tahoma"/>
        </w:rPr>
        <w:tab/>
        <w:t xml:space="preserve">Het door de VREG toegelaten percentage voor niet-exogene kosten van tariefcomponent </w:t>
      </w:r>
      <w:r w:rsidRPr="00043B8D">
        <w:rPr>
          <w:rFonts w:cs="Tahoma"/>
          <w:i/>
        </w:rPr>
        <w:t>tc</w:t>
      </w:r>
      <w:r w:rsidRPr="00043B8D">
        <w:rPr>
          <w:rFonts w:cs="Tahoma"/>
        </w:rPr>
        <w:t xml:space="preserve"> in dat jaar volgens </w:t>
      </w:r>
      <w:r w:rsidR="003A64A3" w:rsidRPr="00043B8D">
        <w:rPr>
          <w:rFonts w:cs="Tahoma"/>
        </w:rPr>
        <w:t xml:space="preserve">Tabel 3 van het </w:t>
      </w:r>
      <w:r w:rsidRPr="00043B8D">
        <w:rPr>
          <w:rFonts w:cs="Tahoma"/>
        </w:rPr>
        <w:t xml:space="preserve">tariefvoorstel </w:t>
      </w:r>
      <w:r w:rsidRPr="00043B8D">
        <w:rPr>
          <w:rFonts w:cs="Tahoma"/>
          <w:i/>
        </w:rPr>
        <w:t>n</w:t>
      </w:r>
      <w:r w:rsidRPr="00043B8D">
        <w:rPr>
          <w:rFonts w:cs="Tahoma"/>
        </w:rPr>
        <w:t>;</w:t>
      </w:r>
    </w:p>
    <w:p w14:paraId="783AF13B" w14:textId="77777777" w:rsidR="00CB6F22" w:rsidRPr="00043B8D" w:rsidRDefault="00CB6F22" w:rsidP="00CB6F22">
      <w:pPr>
        <w:ind w:left="1418" w:hanging="1058"/>
        <w:rPr>
          <w:rFonts w:cs="Tahoma"/>
        </w:rPr>
      </w:pPr>
    </w:p>
    <w:p w14:paraId="0845507C" w14:textId="77777777" w:rsidR="00CB6F22" w:rsidRPr="00043B8D" w:rsidRDefault="00CB6F22" w:rsidP="00CB6F22">
      <w:pPr>
        <w:ind w:left="1418" w:hanging="1058"/>
        <w:rPr>
          <w:rFonts w:cs="Tahoma"/>
        </w:rPr>
      </w:pPr>
      <w:r w:rsidRPr="00043B8D">
        <w:rPr>
          <w:rFonts w:cs="Tahoma"/>
          <w:i/>
        </w:rPr>
        <w:t>d</w:t>
      </w:r>
      <w:r w:rsidRPr="00043B8D">
        <w:rPr>
          <w:rFonts w:cs="Tahoma"/>
          <w:i/>
          <w:vertAlign w:val="superscript"/>
        </w:rPr>
        <w:t>n</w:t>
      </w:r>
      <w:r w:rsidRPr="00043B8D">
        <w:rPr>
          <w:rFonts w:cs="Tahoma"/>
          <w:i/>
        </w:rPr>
        <w:tab/>
      </w:r>
      <w:r w:rsidRPr="00043B8D">
        <w:rPr>
          <w:rFonts w:cs="Tahoma"/>
        </w:rPr>
        <w:t xml:space="preserve">Het aantal kalenderdagen dat de distributienettarieven van tariefvoorstel </w:t>
      </w:r>
      <w:r w:rsidRPr="00043B8D">
        <w:rPr>
          <w:rFonts w:cs="Tahoma"/>
          <w:i/>
        </w:rPr>
        <w:t>n</w:t>
      </w:r>
      <w:r w:rsidRPr="00043B8D">
        <w:rPr>
          <w:rFonts w:cs="Tahoma"/>
        </w:rPr>
        <w:t xml:space="preserve"> in dat jaar van kracht waren.</w:t>
      </w:r>
    </w:p>
    <w:p w14:paraId="662D55D3" w14:textId="77777777" w:rsidR="00CB6F22" w:rsidRPr="00043B8D" w:rsidRDefault="00CB6F22" w:rsidP="00CB6F22">
      <w:pPr>
        <w:ind w:left="1418" w:hanging="1058"/>
        <w:rPr>
          <w:rFonts w:cs="Tahoma"/>
        </w:rPr>
      </w:pPr>
    </w:p>
    <w:p w14:paraId="74426301" w14:textId="77777777" w:rsidR="00CB6F22" w:rsidRPr="00043B8D" w:rsidRDefault="00CB6F22" w:rsidP="00CB6F22">
      <w:pPr>
        <w:ind w:left="1418" w:hanging="1058"/>
        <w:rPr>
          <w:rFonts w:cs="Tahoma"/>
        </w:rPr>
      </w:pPr>
      <w:r w:rsidRPr="00043B8D">
        <w:rPr>
          <w:rFonts w:cs="Tahoma"/>
          <w:i/>
        </w:rPr>
        <w:t>n</w:t>
      </w:r>
      <w:r w:rsidRPr="00043B8D">
        <w:rPr>
          <w:rFonts w:cs="Tahoma"/>
        </w:rPr>
        <w:tab/>
        <w:t>Het aantal tariefvoorstellen die in het jaar van kracht waren voor de distributienetbeheerder.</w:t>
      </w:r>
    </w:p>
    <w:p w14:paraId="31DD1806" w14:textId="77777777" w:rsidR="00CB6F22" w:rsidRPr="00043B8D" w:rsidRDefault="00CB6F22" w:rsidP="00CB6F22">
      <w:pPr>
        <w:rPr>
          <w:rFonts w:cs="Tahoma"/>
          <w:i/>
        </w:rPr>
      </w:pPr>
    </w:p>
    <w:p w14:paraId="236FFECA" w14:textId="77777777" w:rsidR="00CE7E2F" w:rsidRPr="00043B8D" w:rsidRDefault="00CB6F22" w:rsidP="00CB6F22">
      <w:pPr>
        <w:tabs>
          <w:tab w:val="left" w:pos="709"/>
        </w:tabs>
        <w:rPr>
          <w:rFonts w:cs="Tahoma"/>
        </w:rPr>
      </w:pPr>
      <w:r w:rsidRPr="00043B8D">
        <w:rPr>
          <w:rFonts w:cs="Tahoma"/>
        </w:rPr>
        <w:t xml:space="preserve">De VREG kan niet toelaten dat de periodieke tarieven waarvoor er geen dekking van het volumerisico is in de tariefmethodologie en die zowel een exogene als een niet-exogene </w:t>
      </w:r>
      <w:r w:rsidR="00A75B0B" w:rsidRPr="00043B8D">
        <w:rPr>
          <w:rFonts w:cs="Tahoma"/>
        </w:rPr>
        <w:t>component bevatten</w:t>
      </w:r>
      <w:r w:rsidRPr="00043B8D">
        <w:rPr>
          <w:rFonts w:cs="Tahoma"/>
        </w:rPr>
        <w:t>, worden gewijzigd gedurende een kalenderjaar.</w:t>
      </w:r>
    </w:p>
    <w:p w14:paraId="2DF90249" w14:textId="1A8E471A" w:rsidR="00A2442F" w:rsidRPr="00043B8D" w:rsidRDefault="00DB68BD" w:rsidP="00CB6F22">
      <w:pPr>
        <w:tabs>
          <w:tab w:val="left" w:pos="709"/>
        </w:tabs>
        <w:rPr>
          <w:rFonts w:cs="Tahoma"/>
        </w:rPr>
      </w:pPr>
      <w:r w:rsidRPr="00043B8D">
        <w:rPr>
          <w:rFonts w:cs="Tahoma"/>
        </w:rPr>
        <w:t>]</w:t>
      </w:r>
      <w:r w:rsidRPr="00043B8D">
        <w:rPr>
          <w:rStyle w:val="Voetnootmarkering"/>
          <w:rFonts w:cs="Tahoma"/>
        </w:rPr>
        <w:footnoteReference w:id="33"/>
      </w:r>
    </w:p>
    <w:p w14:paraId="4580FA20" w14:textId="77777777" w:rsidR="00F40D55" w:rsidRPr="00043B8D" w:rsidRDefault="00F40D55" w:rsidP="00E44479">
      <w:pPr>
        <w:tabs>
          <w:tab w:val="left" w:pos="709"/>
        </w:tabs>
      </w:pPr>
    </w:p>
    <w:p w14:paraId="26573296" w14:textId="7A12BF3A" w:rsidR="00E44479" w:rsidRPr="00043B8D" w:rsidRDefault="00E44479" w:rsidP="005251E2">
      <w:pPr>
        <w:pStyle w:val="Kop2"/>
        <w:numPr>
          <w:ilvl w:val="2"/>
          <w:numId w:val="24"/>
        </w:numPr>
        <w:ind w:left="993" w:hanging="993"/>
        <w:rPr>
          <w:i/>
          <w:sz w:val="22"/>
          <w:szCs w:val="22"/>
        </w:rPr>
      </w:pPr>
      <w:bookmarkStart w:id="348" w:name="_Toc454186673"/>
      <w:r w:rsidRPr="00043B8D">
        <w:rPr>
          <w:i/>
          <w:sz w:val="22"/>
          <w:szCs w:val="22"/>
        </w:rPr>
        <w:t>Overzicht regulatoire saldi</w:t>
      </w:r>
      <w:bookmarkEnd w:id="348"/>
    </w:p>
    <w:p w14:paraId="7A3C659A" w14:textId="77777777" w:rsidR="00E44479" w:rsidRPr="00043B8D" w:rsidRDefault="00E44479" w:rsidP="00E44479">
      <w:pPr>
        <w:tabs>
          <w:tab w:val="left" w:pos="709"/>
        </w:tabs>
      </w:pPr>
    </w:p>
    <w:p w14:paraId="03E22E3E" w14:textId="6F8F763F" w:rsidR="00AF0EAB" w:rsidRPr="000D284A" w:rsidRDefault="00F237EB" w:rsidP="000D284A">
      <w:pPr>
        <w:pStyle w:val="Bijschrift"/>
        <w:jc w:val="right"/>
        <w:rPr>
          <w:b w:val="0"/>
          <w:i/>
        </w:rPr>
      </w:pPr>
      <w:r w:rsidRPr="000D284A">
        <w:rPr>
          <w:b w:val="0"/>
          <w:i/>
        </w:rPr>
        <w:t xml:space="preserve">Ter verduidelijking wordt </w:t>
      </w:r>
      <w:r w:rsidR="00AF0EAB" w:rsidRPr="000D284A">
        <w:rPr>
          <w:b w:val="0"/>
          <w:i/>
        </w:rPr>
        <w:t xml:space="preserve">het proces </w:t>
      </w:r>
      <w:r w:rsidR="00C56F36" w:rsidRPr="000D284A">
        <w:rPr>
          <w:b w:val="0"/>
          <w:i/>
        </w:rPr>
        <w:t>voor</w:t>
      </w:r>
      <w:r w:rsidR="00AF0EAB" w:rsidRPr="000D284A">
        <w:rPr>
          <w:b w:val="0"/>
          <w:i/>
        </w:rPr>
        <w:t xml:space="preserve"> vertaling van toegelaten inkomsten naar werkelijke opbrengsten </w:t>
      </w:r>
      <w:r w:rsidRPr="000D284A">
        <w:rPr>
          <w:b w:val="0"/>
          <w:i/>
        </w:rPr>
        <w:t xml:space="preserve">schematisch </w:t>
      </w:r>
      <w:r w:rsidR="00AF0EAB" w:rsidRPr="000D284A">
        <w:rPr>
          <w:b w:val="0"/>
          <w:i/>
        </w:rPr>
        <w:t xml:space="preserve">voorgesteld in </w:t>
      </w:r>
      <w:r w:rsidR="00AF0EAB" w:rsidRPr="000D284A">
        <w:rPr>
          <w:b w:val="0"/>
          <w:i/>
        </w:rPr>
        <w:fldChar w:fldCharType="begin"/>
      </w:r>
      <w:r w:rsidR="00AF0EAB" w:rsidRPr="000D284A">
        <w:rPr>
          <w:b w:val="0"/>
          <w:i/>
        </w:rPr>
        <w:instrText xml:space="preserve"> REF _Ref389824667 \h  \* MERGEFORMAT </w:instrText>
      </w:r>
      <w:r w:rsidR="00AF0EAB" w:rsidRPr="000D284A">
        <w:rPr>
          <w:b w:val="0"/>
          <w:i/>
        </w:rPr>
      </w:r>
      <w:r w:rsidR="00AF0EAB" w:rsidRPr="000D284A">
        <w:rPr>
          <w:b w:val="0"/>
          <w:i/>
        </w:rPr>
        <w:fldChar w:fldCharType="separate"/>
      </w:r>
      <w:r w:rsidR="00BD536B" w:rsidRPr="000D284A">
        <w:rPr>
          <w:b w:val="0"/>
          <w:i/>
        </w:rPr>
        <w:t xml:space="preserve">Figuur </w:t>
      </w:r>
      <w:r w:rsidR="00BD536B">
        <w:rPr>
          <w:b w:val="0"/>
          <w:i/>
          <w:noProof/>
        </w:rPr>
        <w:t>1</w:t>
      </w:r>
      <w:r w:rsidR="00AF0EAB" w:rsidRPr="000D284A">
        <w:rPr>
          <w:b w:val="0"/>
          <w:i/>
        </w:rPr>
        <w:fldChar w:fldCharType="end"/>
      </w:r>
      <w:r w:rsidR="00AF0EAB" w:rsidRPr="000D284A">
        <w:rPr>
          <w:b w:val="0"/>
          <w:i/>
        </w:rPr>
        <w:t xml:space="preserve">. In dit schema </w:t>
      </w:r>
      <w:r w:rsidR="00F46BD2" w:rsidRPr="000D284A">
        <w:rPr>
          <w:b w:val="0"/>
          <w:i/>
        </w:rPr>
        <w:t>wordt</w:t>
      </w:r>
      <w:r w:rsidR="00AF0EAB" w:rsidRPr="000D284A">
        <w:rPr>
          <w:b w:val="0"/>
          <w:i/>
        </w:rPr>
        <w:t xml:space="preserve"> er bij wijze van voorbeeld een tekort als regulatoir saldo voor exogene kosten en een overschot als regulatoir</w:t>
      </w:r>
      <w:r w:rsidR="00F46BD2" w:rsidRPr="000D284A">
        <w:rPr>
          <w:b w:val="0"/>
          <w:i/>
        </w:rPr>
        <w:t xml:space="preserve"> saldo voor niet-exogene kosten verondersteld.</w:t>
      </w:r>
    </w:p>
    <w:p w14:paraId="03632D71" w14:textId="77777777" w:rsidR="007E191A" w:rsidRPr="00043B8D" w:rsidRDefault="007E191A" w:rsidP="00AF0EAB">
      <w:pPr>
        <w:tabs>
          <w:tab w:val="left" w:pos="709"/>
        </w:tabs>
      </w:pPr>
    </w:p>
    <w:p w14:paraId="4EBB1B08" w14:textId="77777777" w:rsidR="00AF0EAB" w:rsidRPr="00043B8D" w:rsidRDefault="00AF0EAB" w:rsidP="00AF0EAB">
      <w:pPr>
        <w:jc w:val="left"/>
      </w:pPr>
      <w:r w:rsidRPr="00043B8D">
        <w:rPr>
          <w:noProof/>
          <w:lang w:val="nl-BE" w:eastAsia="nl-BE"/>
        </w:rPr>
        <mc:AlternateContent>
          <mc:Choice Requires="wpg">
            <w:drawing>
              <wp:inline distT="0" distB="0" distL="0" distR="0" wp14:anchorId="5A349352" wp14:editId="2FCDC349">
                <wp:extent cx="3657600" cy="3235325"/>
                <wp:effectExtent l="38100" t="0" r="76200" b="22225"/>
                <wp:docPr id="19" name="Groe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0" cy="3235325"/>
                          <a:chOff x="2857" y="1755"/>
                          <a:chExt cx="5760" cy="5095"/>
                        </a:xfrm>
                      </wpg:grpSpPr>
                      <wps:wsp>
                        <wps:cNvPr id="20" name="Rectangle 20"/>
                        <wps:cNvSpPr>
                          <a:spLocks noChangeArrowheads="1"/>
                        </wps:cNvSpPr>
                        <wps:spPr bwMode="auto">
                          <a:xfrm>
                            <a:off x="3708" y="1755"/>
                            <a:ext cx="4488" cy="933"/>
                          </a:xfrm>
                          <a:prstGeom prst="rect">
                            <a:avLst/>
                          </a:prstGeom>
                          <a:solidFill>
                            <a:schemeClr val="bg1">
                              <a:lumMod val="95000"/>
                              <a:lumOff val="0"/>
                            </a:schemeClr>
                          </a:solidFill>
                          <a:ln w="9525">
                            <a:solidFill>
                              <a:srgbClr val="000000"/>
                            </a:solidFill>
                            <a:miter lim="800000"/>
                            <a:headEnd/>
                            <a:tailEnd/>
                          </a:ln>
                        </wps:spPr>
                        <wps:txbx>
                          <w:txbxContent>
                            <w:p w14:paraId="4666E49E" w14:textId="31664C7F" w:rsidR="008F1DB1" w:rsidRDefault="008F1DB1" w:rsidP="00AF0EAB">
                              <w:pPr>
                                <w:jc w:val="center"/>
                                <w:rPr>
                                  <w:sz w:val="16"/>
                                  <w:szCs w:val="16"/>
                                  <w:lang w:val="nl-BE"/>
                                </w:rPr>
                              </w:pPr>
                              <w:r w:rsidRPr="003A634F">
                                <w:rPr>
                                  <w:sz w:val="16"/>
                                  <w:szCs w:val="16"/>
                                  <w:lang w:val="nl-BE"/>
                                </w:rPr>
                                <w:t>Totaal toegelaten inkomen</w:t>
                              </w:r>
                              <w:r>
                                <w:rPr>
                                  <w:sz w:val="16"/>
                                  <w:szCs w:val="16"/>
                                  <w:lang w:val="nl-BE"/>
                                </w:rPr>
                                <w:t xml:space="preserve"> van distributienetbeheerder i voor jaar j</w:t>
                              </w:r>
                            </w:p>
                            <w:p w14:paraId="745D53E4" w14:textId="3216CE76" w:rsidR="008F1DB1" w:rsidRPr="003A634F" w:rsidRDefault="008F1DB1" w:rsidP="00AF0EAB">
                              <w:pPr>
                                <w:jc w:val="center"/>
                                <w:rPr>
                                  <w:sz w:val="16"/>
                                  <w:szCs w:val="16"/>
                                  <w:lang w:val="nl-BE"/>
                                </w:rPr>
                              </w:pPr>
                              <w:r>
                                <w:rPr>
                                  <w:sz w:val="16"/>
                                  <w:szCs w:val="16"/>
                                  <w:lang w:val="nl-BE"/>
                                </w:rPr>
                                <w:t>(inning via periodieke distributienettarieven)</w:t>
                              </w:r>
                            </w:p>
                          </w:txbxContent>
                        </wps:txbx>
                        <wps:bodyPr rot="0" vert="horz" wrap="square" lIns="91440" tIns="45720" rIns="91440" bIns="45720" anchor="t" anchorCtr="0" upright="1">
                          <a:noAutofit/>
                        </wps:bodyPr>
                      </wps:wsp>
                      <wps:wsp>
                        <wps:cNvPr id="21" name="Rectangle 21"/>
                        <wps:cNvSpPr>
                          <a:spLocks noChangeArrowheads="1"/>
                        </wps:cNvSpPr>
                        <wps:spPr bwMode="auto">
                          <a:xfrm>
                            <a:off x="3708" y="2688"/>
                            <a:ext cx="4488" cy="933"/>
                          </a:xfrm>
                          <a:prstGeom prst="rect">
                            <a:avLst/>
                          </a:prstGeom>
                          <a:solidFill>
                            <a:schemeClr val="bg1">
                              <a:lumMod val="95000"/>
                              <a:lumOff val="0"/>
                            </a:schemeClr>
                          </a:solidFill>
                          <a:ln w="9525">
                            <a:solidFill>
                              <a:srgbClr val="000000"/>
                            </a:solidFill>
                            <a:miter lim="800000"/>
                            <a:headEnd/>
                            <a:tailEnd/>
                          </a:ln>
                        </wps:spPr>
                        <wps:txbx>
                          <w:txbxContent>
                            <w:p w14:paraId="2C0BAF7C" w14:textId="77777777" w:rsidR="008F1DB1" w:rsidRPr="003A634F" w:rsidRDefault="008F1DB1" w:rsidP="00AF0EAB">
                              <w:pPr>
                                <w:tabs>
                                  <w:tab w:val="left" w:pos="2520"/>
                                </w:tabs>
                                <w:jc w:val="left"/>
                                <w:rPr>
                                  <w:sz w:val="16"/>
                                  <w:szCs w:val="16"/>
                                  <w:lang w:val="nl-BE"/>
                                </w:rPr>
                              </w:pPr>
                              <w:r w:rsidRPr="003A634F">
                                <w:rPr>
                                  <w:sz w:val="16"/>
                                  <w:szCs w:val="16"/>
                                  <w:lang w:val="nl-BE"/>
                                </w:rPr>
                                <w:t xml:space="preserve">Toegelaten </w:t>
                              </w:r>
                              <w:r>
                                <w:rPr>
                                  <w:sz w:val="16"/>
                                  <w:szCs w:val="16"/>
                                  <w:lang w:val="nl-BE"/>
                                </w:rPr>
                                <w:tab/>
                                <w:t>Toegelaten</w:t>
                              </w:r>
                            </w:p>
                            <w:p w14:paraId="5757F7EB" w14:textId="77777777" w:rsidR="008F1DB1" w:rsidRPr="003A634F" w:rsidRDefault="008F1DB1" w:rsidP="00AF0EAB">
                              <w:pPr>
                                <w:tabs>
                                  <w:tab w:val="left" w:pos="2520"/>
                                </w:tabs>
                                <w:jc w:val="left"/>
                                <w:rPr>
                                  <w:sz w:val="16"/>
                                  <w:szCs w:val="16"/>
                                  <w:lang w:val="nl-BE"/>
                                </w:rPr>
                              </w:pPr>
                              <w:r w:rsidRPr="003A634F">
                                <w:rPr>
                                  <w:sz w:val="16"/>
                                  <w:szCs w:val="16"/>
                                  <w:lang w:val="nl-BE"/>
                                </w:rPr>
                                <w:t xml:space="preserve">inkomen </w:t>
                              </w:r>
                              <w:r>
                                <w:rPr>
                                  <w:sz w:val="16"/>
                                  <w:szCs w:val="16"/>
                                  <w:lang w:val="nl-BE"/>
                                </w:rPr>
                                <w:t>m.b.t.</w:t>
                              </w:r>
                              <w:r>
                                <w:rPr>
                                  <w:sz w:val="16"/>
                                  <w:szCs w:val="16"/>
                                  <w:lang w:val="nl-BE"/>
                                </w:rPr>
                                <w:tab/>
                                <w:t xml:space="preserve">inkomen m.b.t. </w:t>
                              </w:r>
                            </w:p>
                            <w:p w14:paraId="64CEE456" w14:textId="77777777" w:rsidR="008F1DB1" w:rsidRDefault="008F1DB1" w:rsidP="00AF0EAB">
                              <w:pPr>
                                <w:tabs>
                                  <w:tab w:val="left" w:pos="2520"/>
                                </w:tabs>
                                <w:ind w:left="2520" w:hanging="2520"/>
                                <w:jc w:val="left"/>
                                <w:rPr>
                                  <w:sz w:val="16"/>
                                  <w:szCs w:val="16"/>
                                  <w:lang w:val="nl-BE"/>
                                </w:rPr>
                              </w:pPr>
                              <w:r w:rsidRPr="003A634F">
                                <w:rPr>
                                  <w:sz w:val="16"/>
                                  <w:szCs w:val="16"/>
                                  <w:lang w:val="nl-BE"/>
                                </w:rPr>
                                <w:t>niet-exogene kosten</w:t>
                              </w:r>
                              <w:r>
                                <w:rPr>
                                  <w:sz w:val="16"/>
                                  <w:szCs w:val="16"/>
                                  <w:lang w:val="nl-BE"/>
                                </w:rPr>
                                <w:tab/>
                                <w:t>exogene kosten</w:t>
                              </w:r>
                            </w:p>
                            <w:p w14:paraId="701A9BA5" w14:textId="77777777" w:rsidR="008F1DB1" w:rsidRPr="003A634F" w:rsidRDefault="008F1DB1" w:rsidP="00AF0EAB">
                              <w:pPr>
                                <w:tabs>
                                  <w:tab w:val="left" w:pos="2520"/>
                                </w:tabs>
                                <w:jc w:val="left"/>
                                <w:rPr>
                                  <w:sz w:val="16"/>
                                  <w:szCs w:val="16"/>
                                  <w:lang w:val="nl-BE"/>
                                </w:rPr>
                              </w:pPr>
                              <w:r>
                                <w:rPr>
                                  <w:sz w:val="16"/>
                                  <w:szCs w:val="16"/>
                                  <w:lang w:val="nl-BE"/>
                                </w:rPr>
                                <w:tab/>
                                <w:t>(budget)</w:t>
                              </w:r>
                            </w:p>
                          </w:txbxContent>
                        </wps:txbx>
                        <wps:bodyPr rot="0" vert="horz" wrap="square" lIns="91440" tIns="45720" rIns="91440" bIns="45720" anchor="t" anchorCtr="0" upright="1">
                          <a:noAutofit/>
                        </wps:bodyPr>
                      </wps:wsp>
                      <wps:wsp>
                        <wps:cNvPr id="22" name="Rectangle 22"/>
                        <wps:cNvSpPr>
                          <a:spLocks noChangeArrowheads="1"/>
                        </wps:cNvSpPr>
                        <wps:spPr bwMode="auto">
                          <a:xfrm>
                            <a:off x="3708" y="3621"/>
                            <a:ext cx="2389" cy="933"/>
                          </a:xfrm>
                          <a:prstGeom prst="rect">
                            <a:avLst/>
                          </a:prstGeom>
                          <a:solidFill>
                            <a:schemeClr val="bg1">
                              <a:lumMod val="95000"/>
                              <a:lumOff val="0"/>
                            </a:schemeClr>
                          </a:solidFill>
                          <a:ln w="9525">
                            <a:solidFill>
                              <a:srgbClr val="000000"/>
                            </a:solidFill>
                            <a:miter lim="800000"/>
                            <a:headEnd/>
                            <a:tailEnd/>
                          </a:ln>
                        </wps:spPr>
                        <wps:txbx>
                          <w:txbxContent>
                            <w:p w14:paraId="5C404A05" w14:textId="59B7D410" w:rsidR="008F1DB1" w:rsidRDefault="008F1DB1" w:rsidP="00F46BD2">
                              <w:pPr>
                                <w:tabs>
                                  <w:tab w:val="left" w:pos="1560"/>
                                </w:tabs>
                                <w:jc w:val="center"/>
                                <w:rPr>
                                  <w:sz w:val="16"/>
                                  <w:szCs w:val="16"/>
                                  <w:lang w:val="nl-BE"/>
                                </w:rPr>
                              </w:pPr>
                              <w:r>
                                <w:rPr>
                                  <w:sz w:val="16"/>
                                  <w:szCs w:val="16"/>
                                  <w:lang w:val="nl-BE"/>
                                </w:rPr>
                                <w:t xml:space="preserve">Inning via  </w:t>
                              </w:r>
                              <w:r>
                                <w:rPr>
                                  <w:sz w:val="16"/>
                                  <w:szCs w:val="16"/>
                                  <w:lang w:val="nl-BE"/>
                                </w:rPr>
                                <w:tab/>
                                <w:t>Inning</w:t>
                              </w:r>
                            </w:p>
                            <w:p w14:paraId="29648579" w14:textId="77777777" w:rsidR="008F1DB1" w:rsidRDefault="008F1DB1" w:rsidP="00AF0EAB">
                              <w:pPr>
                                <w:tabs>
                                  <w:tab w:val="left" w:pos="1560"/>
                                </w:tabs>
                                <w:jc w:val="left"/>
                                <w:rPr>
                                  <w:sz w:val="16"/>
                                  <w:szCs w:val="16"/>
                                  <w:lang w:val="nl-BE"/>
                                </w:rPr>
                              </w:pPr>
                              <w:r>
                                <w:rPr>
                                  <w:sz w:val="16"/>
                                  <w:szCs w:val="16"/>
                                  <w:lang w:val="nl-BE"/>
                                </w:rPr>
                                <w:t xml:space="preserve">distributienettarieven </w:t>
                              </w:r>
                              <w:r>
                                <w:rPr>
                                  <w:sz w:val="16"/>
                                  <w:szCs w:val="16"/>
                                  <w:lang w:val="nl-BE"/>
                                </w:rPr>
                                <w:tab/>
                                <w:t>via</w:t>
                              </w:r>
                            </w:p>
                            <w:p w14:paraId="10613CC4" w14:textId="159D1317" w:rsidR="008F1DB1" w:rsidRDefault="008F1DB1" w:rsidP="00AF0EAB">
                              <w:pPr>
                                <w:tabs>
                                  <w:tab w:val="left" w:pos="1560"/>
                                </w:tabs>
                                <w:jc w:val="left"/>
                                <w:rPr>
                                  <w:sz w:val="16"/>
                                  <w:szCs w:val="16"/>
                                  <w:lang w:val="nl-BE"/>
                                </w:rPr>
                              </w:pPr>
                              <w:r>
                                <w:rPr>
                                  <w:sz w:val="16"/>
                                  <w:szCs w:val="16"/>
                                  <w:lang w:val="nl-BE"/>
                                </w:rPr>
                                <w:t>EUR/kWh, /kW,</w:t>
                              </w:r>
                              <w:r>
                                <w:rPr>
                                  <w:sz w:val="16"/>
                                  <w:szCs w:val="16"/>
                                  <w:lang w:val="nl-BE"/>
                                </w:rPr>
                                <w:tab/>
                                <w:t>overige</w:t>
                              </w:r>
                            </w:p>
                            <w:p w14:paraId="7D64DB74" w14:textId="08AB76E9" w:rsidR="008F1DB1" w:rsidRPr="003A634F" w:rsidRDefault="008F1DB1" w:rsidP="00AF0EAB">
                              <w:pPr>
                                <w:tabs>
                                  <w:tab w:val="left" w:pos="1560"/>
                                </w:tabs>
                                <w:jc w:val="left"/>
                                <w:rPr>
                                  <w:sz w:val="16"/>
                                  <w:szCs w:val="16"/>
                                  <w:lang w:val="nl-BE"/>
                                </w:rPr>
                              </w:pPr>
                              <w:r>
                                <w:rPr>
                                  <w:sz w:val="16"/>
                                  <w:szCs w:val="16"/>
                                  <w:lang w:val="nl-BE"/>
                                </w:rPr>
                                <w:t>/kW</w:t>
                              </w:r>
                              <w:r w:rsidRPr="000E6D5C">
                                <w:rPr>
                                  <w:sz w:val="16"/>
                                  <w:szCs w:val="16"/>
                                  <w:vertAlign w:val="subscript"/>
                                  <w:lang w:val="nl-BE"/>
                                </w:rPr>
                                <w:t>max</w:t>
                              </w:r>
                              <w:r>
                                <w:rPr>
                                  <w:sz w:val="16"/>
                                  <w:szCs w:val="16"/>
                                  <w:lang w:val="nl-BE"/>
                                </w:rPr>
                                <w:t>, /kVarh, /kVA</w:t>
                              </w:r>
                              <w:r>
                                <w:rPr>
                                  <w:sz w:val="16"/>
                                  <w:szCs w:val="16"/>
                                  <w:lang w:val="nl-BE"/>
                                </w:rPr>
                                <w:tab/>
                                <w:t>dnt.</w:t>
                              </w:r>
                            </w:p>
                          </w:txbxContent>
                        </wps:txbx>
                        <wps:bodyPr rot="0" vert="horz" wrap="square" lIns="91440" tIns="45720" rIns="91440" bIns="45720" anchor="t" anchorCtr="0" upright="1">
                          <a:noAutofit/>
                        </wps:bodyPr>
                      </wps:wsp>
                      <wps:wsp>
                        <wps:cNvPr id="23" name="AutoShape 23"/>
                        <wps:cNvCnPr>
                          <a:cxnSpLocks noChangeShapeType="1"/>
                        </wps:cNvCnPr>
                        <wps:spPr bwMode="auto">
                          <a:xfrm>
                            <a:off x="6097" y="2688"/>
                            <a:ext cx="0" cy="1866"/>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24" name="AutoShape 24"/>
                        <wps:cNvCnPr>
                          <a:cxnSpLocks noChangeShapeType="1"/>
                        </wps:cNvCnPr>
                        <wps:spPr bwMode="auto">
                          <a:xfrm>
                            <a:off x="5377" y="3621"/>
                            <a:ext cx="0" cy="933"/>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wps:wsp>
                        <wps:cNvPr id="25" name="AutoShape 25"/>
                        <wps:cNvCnPr>
                          <a:cxnSpLocks noChangeShapeType="1"/>
                        </wps:cNvCnPr>
                        <wps:spPr bwMode="auto">
                          <a:xfrm>
                            <a:off x="3708" y="4297"/>
                            <a:ext cx="0" cy="180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wps:wsp>
                        <wps:cNvPr id="26" name="Rectangle 26"/>
                        <wps:cNvSpPr>
                          <a:spLocks noChangeArrowheads="1"/>
                        </wps:cNvSpPr>
                        <wps:spPr bwMode="auto">
                          <a:xfrm>
                            <a:off x="6097" y="4554"/>
                            <a:ext cx="1800" cy="933"/>
                          </a:xfrm>
                          <a:prstGeom prst="rect">
                            <a:avLst/>
                          </a:prstGeom>
                          <a:solidFill>
                            <a:schemeClr val="bg1">
                              <a:lumMod val="75000"/>
                              <a:lumOff val="0"/>
                            </a:schemeClr>
                          </a:solidFill>
                          <a:ln w="9525">
                            <a:solidFill>
                              <a:srgbClr val="000000"/>
                            </a:solidFill>
                            <a:miter lim="800000"/>
                            <a:headEnd/>
                            <a:tailEnd/>
                          </a:ln>
                        </wps:spPr>
                        <wps:txbx>
                          <w:txbxContent>
                            <w:p w14:paraId="466C1044" w14:textId="77777777" w:rsidR="008F1DB1" w:rsidRDefault="008F1DB1" w:rsidP="00AF0EAB">
                              <w:pPr>
                                <w:tabs>
                                  <w:tab w:val="left" w:pos="180"/>
                                </w:tabs>
                                <w:jc w:val="left"/>
                                <w:rPr>
                                  <w:sz w:val="16"/>
                                  <w:szCs w:val="16"/>
                                  <w:lang w:val="nl-BE"/>
                                </w:rPr>
                              </w:pPr>
                              <w:r>
                                <w:rPr>
                                  <w:sz w:val="16"/>
                                  <w:szCs w:val="16"/>
                                  <w:lang w:val="nl-BE"/>
                                </w:rPr>
                                <w:tab/>
                                <w:t>Werkelijke</w:t>
                              </w:r>
                            </w:p>
                            <w:p w14:paraId="3AB8EC27" w14:textId="77777777" w:rsidR="008F1DB1" w:rsidRDefault="008F1DB1" w:rsidP="00AF0EAB">
                              <w:pPr>
                                <w:tabs>
                                  <w:tab w:val="left" w:pos="180"/>
                                </w:tabs>
                                <w:ind w:left="180"/>
                                <w:jc w:val="left"/>
                                <w:rPr>
                                  <w:sz w:val="16"/>
                                  <w:szCs w:val="16"/>
                                  <w:lang w:val="nl-BE"/>
                                </w:rPr>
                              </w:pPr>
                              <w:r>
                                <w:rPr>
                                  <w:sz w:val="16"/>
                                  <w:szCs w:val="16"/>
                                  <w:lang w:val="nl-BE"/>
                                </w:rPr>
                                <w:t>opbrengsten m.b.t. exogene</w:t>
                              </w:r>
                            </w:p>
                            <w:p w14:paraId="634859C6" w14:textId="77777777" w:rsidR="008F1DB1" w:rsidRDefault="008F1DB1" w:rsidP="00AF0EAB">
                              <w:pPr>
                                <w:tabs>
                                  <w:tab w:val="left" w:pos="180"/>
                                </w:tabs>
                                <w:ind w:left="180"/>
                                <w:jc w:val="left"/>
                                <w:rPr>
                                  <w:sz w:val="16"/>
                                  <w:szCs w:val="16"/>
                                  <w:lang w:val="nl-BE"/>
                                </w:rPr>
                              </w:pPr>
                              <w:r>
                                <w:rPr>
                                  <w:sz w:val="16"/>
                                  <w:szCs w:val="16"/>
                                  <w:lang w:val="nl-BE"/>
                                </w:rPr>
                                <w:t>kosten</w:t>
                              </w:r>
                            </w:p>
                            <w:p w14:paraId="69A8F750" w14:textId="77777777" w:rsidR="008F1DB1" w:rsidRPr="003A634F" w:rsidRDefault="008F1DB1" w:rsidP="00AF0EAB">
                              <w:pPr>
                                <w:jc w:val="left"/>
                                <w:rPr>
                                  <w:sz w:val="16"/>
                                  <w:szCs w:val="16"/>
                                  <w:lang w:val="nl-BE"/>
                                </w:rPr>
                              </w:pPr>
                            </w:p>
                          </w:txbxContent>
                        </wps:txbx>
                        <wps:bodyPr rot="0" vert="horz" wrap="square" lIns="91440" tIns="45720" rIns="91440" bIns="45720" anchor="t" anchorCtr="0" upright="1">
                          <a:noAutofit/>
                        </wps:bodyPr>
                      </wps:wsp>
                      <wps:wsp>
                        <wps:cNvPr id="27" name="Rectangle 27"/>
                        <wps:cNvSpPr>
                          <a:spLocks noChangeArrowheads="1"/>
                        </wps:cNvSpPr>
                        <wps:spPr bwMode="auto">
                          <a:xfrm>
                            <a:off x="2857" y="4554"/>
                            <a:ext cx="2520" cy="933"/>
                          </a:xfrm>
                          <a:prstGeom prst="rect">
                            <a:avLst/>
                          </a:prstGeom>
                          <a:solidFill>
                            <a:schemeClr val="bg1">
                              <a:lumMod val="75000"/>
                              <a:lumOff val="0"/>
                            </a:schemeClr>
                          </a:solidFill>
                          <a:ln w="9525">
                            <a:solidFill>
                              <a:srgbClr val="000000"/>
                            </a:solidFill>
                            <a:miter lim="800000"/>
                            <a:headEnd/>
                            <a:tailEnd/>
                          </a:ln>
                        </wps:spPr>
                        <wps:txbx>
                          <w:txbxContent>
                            <w:p w14:paraId="25B25AE5" w14:textId="6178A7C2" w:rsidR="008F1DB1" w:rsidRDefault="008F1DB1" w:rsidP="00AF0EAB">
                              <w:pPr>
                                <w:tabs>
                                  <w:tab w:val="left" w:pos="180"/>
                                </w:tabs>
                                <w:jc w:val="left"/>
                                <w:rPr>
                                  <w:sz w:val="16"/>
                                  <w:szCs w:val="16"/>
                                  <w:lang w:val="nl-BE"/>
                                </w:rPr>
                              </w:pPr>
                              <w:r w:rsidRPr="005E6B14">
                                <w:rPr>
                                  <w:sz w:val="14"/>
                                  <w:szCs w:val="14"/>
                                  <w:lang w:val="nl-BE"/>
                                </w:rPr>
                                <w:t>Werkelijke opbrengsten uit distributienettarieven  EUR/kWh, /kW, /kW</w:t>
                              </w:r>
                              <w:r w:rsidRPr="005E6B14">
                                <w:rPr>
                                  <w:sz w:val="14"/>
                                  <w:szCs w:val="14"/>
                                  <w:vertAlign w:val="subscript"/>
                                  <w:lang w:val="nl-BE"/>
                                </w:rPr>
                                <w:t>max</w:t>
                              </w:r>
                              <w:r w:rsidRPr="005E6B14">
                                <w:rPr>
                                  <w:sz w:val="14"/>
                                  <w:szCs w:val="14"/>
                                  <w:lang w:val="nl-BE"/>
                                </w:rPr>
                                <w:t>, /kVarh, /kVA m.b.t. niet-exogene kosten</w:t>
                              </w:r>
                            </w:p>
                            <w:p w14:paraId="4655C6B4" w14:textId="77777777" w:rsidR="008F1DB1" w:rsidRPr="003A634F" w:rsidRDefault="008F1DB1" w:rsidP="00AF0EAB">
                              <w:pPr>
                                <w:jc w:val="left"/>
                                <w:rPr>
                                  <w:sz w:val="16"/>
                                  <w:szCs w:val="16"/>
                                  <w:lang w:val="nl-BE"/>
                                </w:rPr>
                              </w:pPr>
                            </w:p>
                          </w:txbxContent>
                        </wps:txbx>
                        <wps:bodyPr rot="0" vert="horz" wrap="square" lIns="91440" tIns="45720" rIns="91440" bIns="45720" anchor="t" anchorCtr="0" upright="1">
                          <a:noAutofit/>
                        </wps:bodyPr>
                      </wps:wsp>
                      <wps:wsp>
                        <wps:cNvPr id="28" name="Rectangle 28"/>
                        <wps:cNvSpPr>
                          <a:spLocks noChangeArrowheads="1"/>
                        </wps:cNvSpPr>
                        <wps:spPr bwMode="auto">
                          <a:xfrm>
                            <a:off x="7897" y="5917"/>
                            <a:ext cx="720" cy="933"/>
                          </a:xfrm>
                          <a:prstGeom prst="rect">
                            <a:avLst/>
                          </a:prstGeom>
                          <a:solidFill>
                            <a:schemeClr val="bg1">
                              <a:lumMod val="65000"/>
                              <a:lumOff val="0"/>
                            </a:schemeClr>
                          </a:solidFill>
                          <a:ln w="9525">
                            <a:solidFill>
                              <a:srgbClr val="000000"/>
                            </a:solidFill>
                            <a:miter lim="800000"/>
                            <a:headEnd/>
                            <a:tailEnd/>
                          </a:ln>
                        </wps:spPr>
                        <wps:txbx>
                          <w:txbxContent>
                            <w:p w14:paraId="266EBCBD" w14:textId="77777777" w:rsidR="008F1DB1" w:rsidRDefault="008F1DB1" w:rsidP="00AF0EAB">
                              <w:pPr>
                                <w:tabs>
                                  <w:tab w:val="left" w:pos="180"/>
                                </w:tabs>
                                <w:jc w:val="left"/>
                                <w:rPr>
                                  <w:sz w:val="16"/>
                                  <w:szCs w:val="16"/>
                                  <w:lang w:val="nl-BE"/>
                                </w:rPr>
                              </w:pPr>
                              <w:r>
                                <w:rPr>
                                  <w:sz w:val="16"/>
                                  <w:szCs w:val="16"/>
                                  <w:lang w:val="nl-BE"/>
                                </w:rPr>
                                <w:t>Reg. Saldo</w:t>
                              </w:r>
                            </w:p>
                            <w:p w14:paraId="014B7056" w14:textId="77777777" w:rsidR="008F1DB1" w:rsidRDefault="008F1DB1" w:rsidP="00AF0EAB">
                              <w:pPr>
                                <w:tabs>
                                  <w:tab w:val="left" w:pos="180"/>
                                </w:tabs>
                                <w:jc w:val="left"/>
                                <w:rPr>
                                  <w:sz w:val="16"/>
                                  <w:szCs w:val="16"/>
                                  <w:lang w:val="nl-BE"/>
                                </w:rPr>
                              </w:pPr>
                              <w:r>
                                <w:rPr>
                                  <w:sz w:val="16"/>
                                  <w:szCs w:val="16"/>
                                  <w:lang w:val="nl-BE"/>
                                </w:rPr>
                                <w:t>exog.</w:t>
                              </w:r>
                            </w:p>
                            <w:p w14:paraId="46214645" w14:textId="77777777" w:rsidR="008F1DB1" w:rsidRDefault="008F1DB1" w:rsidP="00AF0EAB">
                              <w:pPr>
                                <w:tabs>
                                  <w:tab w:val="left" w:pos="0"/>
                                </w:tabs>
                                <w:jc w:val="left"/>
                                <w:rPr>
                                  <w:sz w:val="16"/>
                                  <w:szCs w:val="16"/>
                                  <w:lang w:val="nl-BE"/>
                                </w:rPr>
                              </w:pPr>
                              <w:r>
                                <w:rPr>
                                  <w:sz w:val="16"/>
                                  <w:szCs w:val="16"/>
                                  <w:lang w:val="nl-BE"/>
                                </w:rPr>
                                <w:t>&gt;0</w:t>
                              </w:r>
                            </w:p>
                            <w:p w14:paraId="0591934C" w14:textId="77777777" w:rsidR="008F1DB1" w:rsidRPr="003A634F" w:rsidRDefault="008F1DB1" w:rsidP="00AF0EAB">
                              <w:pPr>
                                <w:jc w:val="left"/>
                                <w:rPr>
                                  <w:sz w:val="16"/>
                                  <w:szCs w:val="16"/>
                                  <w:lang w:val="nl-BE"/>
                                </w:rPr>
                              </w:pPr>
                            </w:p>
                          </w:txbxContent>
                        </wps:txbx>
                        <wps:bodyPr rot="0" vert="horz" wrap="square" lIns="91440" tIns="45720" rIns="91440" bIns="45720" anchor="t" anchorCtr="0" upright="1">
                          <a:noAutofit/>
                        </wps:bodyPr>
                      </wps:wsp>
                      <wps:wsp>
                        <wps:cNvPr id="29" name="Rectangle 29"/>
                        <wps:cNvSpPr>
                          <a:spLocks noChangeArrowheads="1"/>
                        </wps:cNvSpPr>
                        <wps:spPr bwMode="auto">
                          <a:xfrm>
                            <a:off x="2857" y="5917"/>
                            <a:ext cx="851" cy="933"/>
                          </a:xfrm>
                          <a:prstGeom prst="rect">
                            <a:avLst/>
                          </a:prstGeom>
                          <a:solidFill>
                            <a:schemeClr val="bg1">
                              <a:lumMod val="65000"/>
                              <a:lumOff val="0"/>
                            </a:schemeClr>
                          </a:solidFill>
                          <a:ln w="9525">
                            <a:solidFill>
                              <a:srgbClr val="000000"/>
                            </a:solidFill>
                            <a:miter lim="800000"/>
                            <a:headEnd/>
                            <a:tailEnd/>
                          </a:ln>
                        </wps:spPr>
                        <wps:txbx>
                          <w:txbxContent>
                            <w:p w14:paraId="0BA94832" w14:textId="77777777" w:rsidR="008F1DB1" w:rsidRDefault="008F1DB1" w:rsidP="00AF0EAB">
                              <w:pPr>
                                <w:tabs>
                                  <w:tab w:val="left" w:pos="0"/>
                                </w:tabs>
                                <w:jc w:val="left"/>
                                <w:rPr>
                                  <w:sz w:val="16"/>
                                  <w:szCs w:val="16"/>
                                  <w:lang w:val="nl-BE"/>
                                </w:rPr>
                              </w:pPr>
                              <w:r>
                                <w:rPr>
                                  <w:sz w:val="16"/>
                                  <w:szCs w:val="16"/>
                                  <w:lang w:val="nl-BE"/>
                                </w:rPr>
                                <w:t>Reg. Saldo</w:t>
                              </w:r>
                            </w:p>
                            <w:p w14:paraId="78434FF9" w14:textId="77777777" w:rsidR="008F1DB1" w:rsidRDefault="008F1DB1" w:rsidP="00AF0EAB">
                              <w:pPr>
                                <w:tabs>
                                  <w:tab w:val="left" w:pos="0"/>
                                </w:tabs>
                                <w:jc w:val="left"/>
                                <w:rPr>
                                  <w:sz w:val="16"/>
                                  <w:szCs w:val="16"/>
                                  <w:lang w:val="nl-BE"/>
                                </w:rPr>
                              </w:pPr>
                              <w:r>
                                <w:rPr>
                                  <w:sz w:val="16"/>
                                  <w:szCs w:val="16"/>
                                  <w:lang w:val="nl-BE"/>
                                </w:rPr>
                                <w:t>n-exog.</w:t>
                              </w:r>
                            </w:p>
                            <w:p w14:paraId="495FEAEF" w14:textId="77777777" w:rsidR="008F1DB1" w:rsidRPr="003A634F" w:rsidRDefault="008F1DB1" w:rsidP="00AF0EAB">
                              <w:pPr>
                                <w:tabs>
                                  <w:tab w:val="left" w:pos="0"/>
                                </w:tabs>
                                <w:jc w:val="left"/>
                                <w:rPr>
                                  <w:sz w:val="16"/>
                                  <w:szCs w:val="16"/>
                                  <w:lang w:val="nl-BE"/>
                                </w:rPr>
                              </w:pPr>
                              <w:r>
                                <w:rPr>
                                  <w:sz w:val="16"/>
                                  <w:szCs w:val="16"/>
                                  <w:lang w:val="nl-BE"/>
                                </w:rPr>
                                <w:t>&lt;0</w:t>
                              </w:r>
                            </w:p>
                          </w:txbxContent>
                        </wps:txbx>
                        <wps:bodyPr rot="0" vert="horz" wrap="square" lIns="91440" tIns="45720" rIns="91440" bIns="45720" anchor="t" anchorCtr="0" upright="1">
                          <a:noAutofit/>
                        </wps:bodyPr>
                      </wps:wsp>
                      <wps:wsp>
                        <wps:cNvPr id="30" name="AutoShape 30"/>
                        <wps:cNvCnPr>
                          <a:cxnSpLocks noChangeShapeType="1"/>
                        </wps:cNvCnPr>
                        <wps:spPr bwMode="auto">
                          <a:xfrm>
                            <a:off x="2857" y="4554"/>
                            <a:ext cx="0" cy="180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wps:wsp>
                        <wps:cNvPr id="31" name="AutoShape 31"/>
                        <wps:cNvCnPr>
                          <a:cxnSpLocks noChangeShapeType="1"/>
                        </wps:cNvCnPr>
                        <wps:spPr bwMode="auto">
                          <a:xfrm>
                            <a:off x="2857" y="5737"/>
                            <a:ext cx="851"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2" name="AutoShape 32"/>
                        <wps:cNvCnPr>
                          <a:cxnSpLocks noChangeShapeType="1"/>
                        </wps:cNvCnPr>
                        <wps:spPr bwMode="auto">
                          <a:xfrm>
                            <a:off x="8617" y="4537"/>
                            <a:ext cx="0" cy="180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wps:wsp>
                        <wps:cNvPr id="33" name="AutoShape 33"/>
                        <wps:cNvCnPr>
                          <a:cxnSpLocks noChangeShapeType="1"/>
                        </wps:cNvCnPr>
                        <wps:spPr bwMode="auto">
                          <a:xfrm>
                            <a:off x="7897" y="4657"/>
                            <a:ext cx="0" cy="180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wps:wsp>
                        <wps:cNvPr id="34" name="AutoShape 34"/>
                        <wps:cNvCnPr>
                          <a:cxnSpLocks noChangeShapeType="1"/>
                        </wps:cNvCnPr>
                        <wps:spPr bwMode="auto">
                          <a:xfrm>
                            <a:off x="7897" y="5737"/>
                            <a:ext cx="720" cy="1"/>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5" name="Rectangle 35"/>
                        <wps:cNvSpPr>
                          <a:spLocks noChangeArrowheads="1"/>
                        </wps:cNvSpPr>
                        <wps:spPr bwMode="auto">
                          <a:xfrm>
                            <a:off x="6097" y="3621"/>
                            <a:ext cx="2520" cy="933"/>
                          </a:xfrm>
                          <a:prstGeom prst="rect">
                            <a:avLst/>
                          </a:prstGeom>
                          <a:solidFill>
                            <a:schemeClr val="bg1">
                              <a:lumMod val="85000"/>
                              <a:lumOff val="0"/>
                            </a:schemeClr>
                          </a:solidFill>
                          <a:ln w="9525">
                            <a:solidFill>
                              <a:srgbClr val="000000"/>
                            </a:solidFill>
                            <a:miter lim="800000"/>
                            <a:headEnd/>
                            <a:tailEnd/>
                          </a:ln>
                        </wps:spPr>
                        <wps:txbx>
                          <w:txbxContent>
                            <w:p w14:paraId="36409185" w14:textId="77777777" w:rsidR="008F1DB1" w:rsidRDefault="008F1DB1" w:rsidP="00AF0EAB">
                              <w:pPr>
                                <w:tabs>
                                  <w:tab w:val="left" w:pos="180"/>
                                </w:tabs>
                                <w:jc w:val="left"/>
                                <w:rPr>
                                  <w:sz w:val="16"/>
                                  <w:szCs w:val="16"/>
                                  <w:lang w:val="nl-BE"/>
                                </w:rPr>
                              </w:pPr>
                              <w:r>
                                <w:rPr>
                                  <w:sz w:val="16"/>
                                  <w:szCs w:val="16"/>
                                  <w:lang w:val="nl-BE"/>
                                </w:rPr>
                                <w:tab/>
                                <w:t>Werkelijke exogene</w:t>
                              </w:r>
                            </w:p>
                            <w:p w14:paraId="661B5CE0" w14:textId="77777777" w:rsidR="008F1DB1" w:rsidRDefault="008F1DB1" w:rsidP="00AF0EAB">
                              <w:pPr>
                                <w:tabs>
                                  <w:tab w:val="left" w:pos="180"/>
                                </w:tabs>
                                <w:ind w:left="180"/>
                                <w:jc w:val="left"/>
                                <w:rPr>
                                  <w:sz w:val="16"/>
                                  <w:szCs w:val="16"/>
                                  <w:lang w:val="nl-BE"/>
                                </w:rPr>
                              </w:pPr>
                              <w:r>
                                <w:rPr>
                                  <w:sz w:val="16"/>
                                  <w:szCs w:val="16"/>
                                  <w:lang w:val="nl-BE"/>
                                </w:rPr>
                                <w:t>kosten</w:t>
                              </w:r>
                            </w:p>
                            <w:p w14:paraId="42C6FB1B" w14:textId="77777777" w:rsidR="008F1DB1" w:rsidRPr="003A634F" w:rsidRDefault="008F1DB1" w:rsidP="00AF0EAB">
                              <w:pPr>
                                <w:jc w:val="left"/>
                                <w:rPr>
                                  <w:sz w:val="16"/>
                                  <w:szCs w:val="16"/>
                                  <w:lang w:val="nl-BE"/>
                                </w:rPr>
                              </w:pPr>
                            </w:p>
                          </w:txbxContent>
                        </wps:txbx>
                        <wps:bodyPr rot="0" vert="horz" wrap="square" lIns="91440" tIns="45720" rIns="91440" bIns="45720" anchor="t" anchorCtr="0" upright="1">
                          <a:noAutofit/>
                        </wps:bodyPr>
                      </wps:wsp>
                    </wpg:wgp>
                  </a:graphicData>
                </a:graphic>
              </wp:inline>
            </w:drawing>
          </mc:Choice>
          <mc:Fallback>
            <w:pict>
              <v:group id="Groep 19" o:spid="_x0000_s1026" style="width:4in;height:254.75pt;mso-position-horizontal-relative:char;mso-position-vertical-relative:line" coordorigin="2857,1755" coordsize="5760,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">
                <v:rect id="Rectangle 20" o:spid="_x0000_s1027" style="position:absolute;left:3708;top:1755;width:4488;height: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fTHL8A&#10;AADbAAAADwAAAGRycy9kb3ducmV2LnhtbERPz2vCMBS+D/wfwhO8zdQexFWjFEHx6NzGPD6aZ1Nt&#10;XkoSbf3vl4Ow48f3e7UZbCse5EPjWMFsmoEgrpxuuFbw/bV7X4AIEVlj65gUPCnAZj16W2GhXc+f&#10;9DjFWqQQDgUqMDF2hZShMmQxTF1HnLiL8xZjgr6W2mOfwm0r8yybS4sNpwaDHW0NVbfT3Sr4KZ+/&#10;53yf7Y/t1V/uH1iare6VmoyHcgki0hD/xS/3QSvI0/r0Jf0Auf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MB9McvwAAANsAAAAPAAAAAAAAAAAAAAAAAJgCAABkcnMvZG93bnJl&#10;di54bWxQSwUGAAAAAAQABAD1AAAAhAMAAAAA&#10;" fillcolor="#f2f2f2 [3052]">
                  <v:textbox>
                    <w:txbxContent>
                      <w:p w14:paraId="4666E49E" w14:textId="31664C7F" w:rsidR="008F1DB1" w:rsidRDefault="008F1DB1" w:rsidP="00AF0EAB">
                        <w:pPr>
                          <w:jc w:val="center"/>
                          <w:rPr>
                            <w:sz w:val="16"/>
                            <w:szCs w:val="16"/>
                            <w:lang w:val="nl-BE"/>
                          </w:rPr>
                        </w:pPr>
                        <w:r w:rsidRPr="003A634F">
                          <w:rPr>
                            <w:sz w:val="16"/>
                            <w:szCs w:val="16"/>
                            <w:lang w:val="nl-BE"/>
                          </w:rPr>
                          <w:t>Totaal toegelaten inkomen</w:t>
                        </w:r>
                        <w:r>
                          <w:rPr>
                            <w:sz w:val="16"/>
                            <w:szCs w:val="16"/>
                            <w:lang w:val="nl-BE"/>
                          </w:rPr>
                          <w:t xml:space="preserve"> van distributienetbeheerder i voor jaar j</w:t>
                        </w:r>
                      </w:p>
                      <w:p w14:paraId="745D53E4" w14:textId="3216CE76" w:rsidR="008F1DB1" w:rsidRPr="003A634F" w:rsidRDefault="008F1DB1" w:rsidP="00AF0EAB">
                        <w:pPr>
                          <w:jc w:val="center"/>
                          <w:rPr>
                            <w:sz w:val="16"/>
                            <w:szCs w:val="16"/>
                            <w:lang w:val="nl-BE"/>
                          </w:rPr>
                        </w:pPr>
                        <w:r>
                          <w:rPr>
                            <w:sz w:val="16"/>
                            <w:szCs w:val="16"/>
                            <w:lang w:val="nl-BE"/>
                          </w:rPr>
                          <w:t>(inning via periodieke distributienettarieven)</w:t>
                        </w:r>
                      </w:p>
                    </w:txbxContent>
                  </v:textbox>
                </v:rect>
                <v:rect id="Rectangle 21" o:spid="_x0000_s1028" style="position:absolute;left:3708;top:2688;width:4488;height: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t2h8MA&#10;AADbAAAADwAAAGRycy9kb3ducmV2LnhtbESPzWrDMBCE74W+g9hCbo1sH0LrRjEmkJBjflra42Jt&#10;LLfWykhK7Lx9VSjkOMzMN8yymmwvruRD51hBPs9AEDdOd9wqeD9tnl9AhIissXdMCm4UoFo9Piyx&#10;1G7kA12PsRUJwqFEBSbGoZQyNIYshrkbiJN3dt5iTNK3UnscE9z2ssiyhbTYcVowONDaUPNzvFgF&#10;H/Xt86vYZtt9/+3Pl1eszVqPSs2epvoNRKQp3sP/7Z1WUOTw9yX9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0t2h8MAAADbAAAADwAAAAAAAAAAAAAAAACYAgAAZHJzL2Rv&#10;d25yZXYueG1sUEsFBgAAAAAEAAQA9QAAAIgDAAAAAA==&#10;" fillcolor="#f2f2f2 [3052]">
                  <v:textbox>
                    <w:txbxContent>
                      <w:p w14:paraId="2C0BAF7C" w14:textId="77777777" w:rsidR="008F1DB1" w:rsidRPr="003A634F" w:rsidRDefault="008F1DB1" w:rsidP="00AF0EAB">
                        <w:pPr>
                          <w:tabs>
                            <w:tab w:val="left" w:pos="2520"/>
                          </w:tabs>
                          <w:jc w:val="left"/>
                          <w:rPr>
                            <w:sz w:val="16"/>
                            <w:szCs w:val="16"/>
                            <w:lang w:val="nl-BE"/>
                          </w:rPr>
                        </w:pPr>
                        <w:r w:rsidRPr="003A634F">
                          <w:rPr>
                            <w:sz w:val="16"/>
                            <w:szCs w:val="16"/>
                            <w:lang w:val="nl-BE"/>
                          </w:rPr>
                          <w:t xml:space="preserve">Toegelaten </w:t>
                        </w:r>
                        <w:r>
                          <w:rPr>
                            <w:sz w:val="16"/>
                            <w:szCs w:val="16"/>
                            <w:lang w:val="nl-BE"/>
                          </w:rPr>
                          <w:tab/>
                        </w:r>
                        <w:proofErr w:type="spellStart"/>
                        <w:r>
                          <w:rPr>
                            <w:sz w:val="16"/>
                            <w:szCs w:val="16"/>
                            <w:lang w:val="nl-BE"/>
                          </w:rPr>
                          <w:t>Toegelaten</w:t>
                        </w:r>
                        <w:proofErr w:type="spellEnd"/>
                      </w:p>
                      <w:p w14:paraId="5757F7EB" w14:textId="77777777" w:rsidR="008F1DB1" w:rsidRPr="003A634F" w:rsidRDefault="008F1DB1" w:rsidP="00AF0EAB">
                        <w:pPr>
                          <w:tabs>
                            <w:tab w:val="left" w:pos="2520"/>
                          </w:tabs>
                          <w:jc w:val="left"/>
                          <w:rPr>
                            <w:sz w:val="16"/>
                            <w:szCs w:val="16"/>
                            <w:lang w:val="nl-BE"/>
                          </w:rPr>
                        </w:pPr>
                        <w:r w:rsidRPr="003A634F">
                          <w:rPr>
                            <w:sz w:val="16"/>
                            <w:szCs w:val="16"/>
                            <w:lang w:val="nl-BE"/>
                          </w:rPr>
                          <w:t xml:space="preserve">inkomen </w:t>
                        </w:r>
                        <w:r>
                          <w:rPr>
                            <w:sz w:val="16"/>
                            <w:szCs w:val="16"/>
                            <w:lang w:val="nl-BE"/>
                          </w:rPr>
                          <w:t>m.b.t.</w:t>
                        </w:r>
                        <w:r>
                          <w:rPr>
                            <w:sz w:val="16"/>
                            <w:szCs w:val="16"/>
                            <w:lang w:val="nl-BE"/>
                          </w:rPr>
                          <w:tab/>
                          <w:t xml:space="preserve">inkomen m.b.t. </w:t>
                        </w:r>
                      </w:p>
                      <w:p w14:paraId="64CEE456" w14:textId="77777777" w:rsidR="008F1DB1" w:rsidRDefault="008F1DB1" w:rsidP="00AF0EAB">
                        <w:pPr>
                          <w:tabs>
                            <w:tab w:val="left" w:pos="2520"/>
                          </w:tabs>
                          <w:ind w:left="2520" w:hanging="2520"/>
                          <w:jc w:val="left"/>
                          <w:rPr>
                            <w:sz w:val="16"/>
                            <w:szCs w:val="16"/>
                            <w:lang w:val="nl-BE"/>
                          </w:rPr>
                        </w:pPr>
                        <w:r w:rsidRPr="003A634F">
                          <w:rPr>
                            <w:sz w:val="16"/>
                            <w:szCs w:val="16"/>
                            <w:lang w:val="nl-BE"/>
                          </w:rPr>
                          <w:t>niet-exogene kosten</w:t>
                        </w:r>
                        <w:r>
                          <w:rPr>
                            <w:sz w:val="16"/>
                            <w:szCs w:val="16"/>
                            <w:lang w:val="nl-BE"/>
                          </w:rPr>
                          <w:tab/>
                          <w:t>exogene kosten</w:t>
                        </w:r>
                      </w:p>
                      <w:p w14:paraId="701A9BA5" w14:textId="77777777" w:rsidR="008F1DB1" w:rsidRPr="003A634F" w:rsidRDefault="008F1DB1" w:rsidP="00AF0EAB">
                        <w:pPr>
                          <w:tabs>
                            <w:tab w:val="left" w:pos="2520"/>
                          </w:tabs>
                          <w:jc w:val="left"/>
                          <w:rPr>
                            <w:sz w:val="16"/>
                            <w:szCs w:val="16"/>
                            <w:lang w:val="nl-BE"/>
                          </w:rPr>
                        </w:pPr>
                        <w:r>
                          <w:rPr>
                            <w:sz w:val="16"/>
                            <w:szCs w:val="16"/>
                            <w:lang w:val="nl-BE"/>
                          </w:rPr>
                          <w:tab/>
                          <w:t>(budget)</w:t>
                        </w:r>
                      </w:p>
                    </w:txbxContent>
                  </v:textbox>
                </v:rect>
                <v:rect id="Rectangle 22" o:spid="_x0000_s1029" style="position:absolute;left:3708;top:3621;width:2389;height: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no8MMA&#10;AADbAAAADwAAAGRycy9kb3ducmV2LnhtbESPT2sCMRTE74V+h/AK3mrWPUi7GmURKj36p9IeH5vn&#10;ZnXzsiTRXb99Iwgeh5n5DTNfDrYVV/KhcaxgMs5AEFdON1wr+Nl/vX+ACBFZY+uYFNwowHLx+jLH&#10;Qruet3TdxVokCIcCFZgYu0LKUBmyGMauI07e0XmLMUlfS+2xT3DbyjzLptJiw2nBYEcrQ9V5d7EK&#10;DuXt9y9fZ+tNe/LHyyeWZqV7pUZvQzkDEWmIz/Cj/a0V5Dncv6QfI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5no8MMAAADbAAAADwAAAAAAAAAAAAAAAACYAgAAZHJzL2Rv&#10;d25yZXYueG1sUEsFBgAAAAAEAAQA9QAAAIgDAAAAAA==&#10;" fillcolor="#f2f2f2 [3052]">
                  <v:textbox>
                    <w:txbxContent>
                      <w:p w14:paraId="5C404A05" w14:textId="59B7D410" w:rsidR="008F1DB1" w:rsidRDefault="008F1DB1" w:rsidP="00F46BD2">
                        <w:pPr>
                          <w:tabs>
                            <w:tab w:val="left" w:pos="1560"/>
                          </w:tabs>
                          <w:jc w:val="center"/>
                          <w:rPr>
                            <w:sz w:val="16"/>
                            <w:szCs w:val="16"/>
                            <w:lang w:val="nl-BE"/>
                          </w:rPr>
                        </w:pPr>
                        <w:r>
                          <w:rPr>
                            <w:sz w:val="16"/>
                            <w:szCs w:val="16"/>
                            <w:lang w:val="nl-BE"/>
                          </w:rPr>
                          <w:t xml:space="preserve">Inning via  </w:t>
                        </w:r>
                        <w:r>
                          <w:rPr>
                            <w:sz w:val="16"/>
                            <w:szCs w:val="16"/>
                            <w:lang w:val="nl-BE"/>
                          </w:rPr>
                          <w:tab/>
                          <w:t>Inning</w:t>
                        </w:r>
                      </w:p>
                      <w:p w14:paraId="29648579" w14:textId="77777777" w:rsidR="008F1DB1" w:rsidRDefault="008F1DB1" w:rsidP="00AF0EAB">
                        <w:pPr>
                          <w:tabs>
                            <w:tab w:val="left" w:pos="1560"/>
                          </w:tabs>
                          <w:jc w:val="left"/>
                          <w:rPr>
                            <w:sz w:val="16"/>
                            <w:szCs w:val="16"/>
                            <w:lang w:val="nl-BE"/>
                          </w:rPr>
                        </w:pPr>
                        <w:r>
                          <w:rPr>
                            <w:sz w:val="16"/>
                            <w:szCs w:val="16"/>
                            <w:lang w:val="nl-BE"/>
                          </w:rPr>
                          <w:t xml:space="preserve">distributienettarieven </w:t>
                        </w:r>
                        <w:r>
                          <w:rPr>
                            <w:sz w:val="16"/>
                            <w:szCs w:val="16"/>
                            <w:lang w:val="nl-BE"/>
                          </w:rPr>
                          <w:tab/>
                          <w:t>via</w:t>
                        </w:r>
                      </w:p>
                      <w:p w14:paraId="10613CC4" w14:textId="159D1317" w:rsidR="008F1DB1" w:rsidRDefault="008F1DB1" w:rsidP="00AF0EAB">
                        <w:pPr>
                          <w:tabs>
                            <w:tab w:val="left" w:pos="1560"/>
                          </w:tabs>
                          <w:jc w:val="left"/>
                          <w:rPr>
                            <w:sz w:val="16"/>
                            <w:szCs w:val="16"/>
                            <w:lang w:val="nl-BE"/>
                          </w:rPr>
                        </w:pPr>
                        <w:r>
                          <w:rPr>
                            <w:sz w:val="16"/>
                            <w:szCs w:val="16"/>
                            <w:lang w:val="nl-BE"/>
                          </w:rPr>
                          <w:t>EUR/kWh, /kW,</w:t>
                        </w:r>
                        <w:r>
                          <w:rPr>
                            <w:sz w:val="16"/>
                            <w:szCs w:val="16"/>
                            <w:lang w:val="nl-BE"/>
                          </w:rPr>
                          <w:tab/>
                          <w:t>overige</w:t>
                        </w:r>
                      </w:p>
                      <w:p w14:paraId="7D64DB74" w14:textId="08AB76E9" w:rsidR="008F1DB1" w:rsidRPr="003A634F" w:rsidRDefault="008F1DB1" w:rsidP="00AF0EAB">
                        <w:pPr>
                          <w:tabs>
                            <w:tab w:val="left" w:pos="1560"/>
                          </w:tabs>
                          <w:jc w:val="left"/>
                          <w:rPr>
                            <w:sz w:val="16"/>
                            <w:szCs w:val="16"/>
                            <w:lang w:val="nl-BE"/>
                          </w:rPr>
                        </w:pPr>
                        <w:r>
                          <w:rPr>
                            <w:sz w:val="16"/>
                            <w:szCs w:val="16"/>
                            <w:lang w:val="nl-BE"/>
                          </w:rPr>
                          <w:t>/</w:t>
                        </w:r>
                        <w:proofErr w:type="spellStart"/>
                        <w:r>
                          <w:rPr>
                            <w:sz w:val="16"/>
                            <w:szCs w:val="16"/>
                            <w:lang w:val="nl-BE"/>
                          </w:rPr>
                          <w:t>kW</w:t>
                        </w:r>
                        <w:r w:rsidRPr="000E6D5C">
                          <w:rPr>
                            <w:sz w:val="16"/>
                            <w:szCs w:val="16"/>
                            <w:vertAlign w:val="subscript"/>
                            <w:lang w:val="nl-BE"/>
                          </w:rPr>
                          <w:t>max</w:t>
                        </w:r>
                        <w:proofErr w:type="spellEnd"/>
                        <w:r>
                          <w:rPr>
                            <w:sz w:val="16"/>
                            <w:szCs w:val="16"/>
                            <w:lang w:val="nl-BE"/>
                          </w:rPr>
                          <w:t>, /</w:t>
                        </w:r>
                        <w:proofErr w:type="spellStart"/>
                        <w:r>
                          <w:rPr>
                            <w:sz w:val="16"/>
                            <w:szCs w:val="16"/>
                            <w:lang w:val="nl-BE"/>
                          </w:rPr>
                          <w:t>kVarh</w:t>
                        </w:r>
                        <w:proofErr w:type="spellEnd"/>
                        <w:r>
                          <w:rPr>
                            <w:sz w:val="16"/>
                            <w:szCs w:val="16"/>
                            <w:lang w:val="nl-BE"/>
                          </w:rPr>
                          <w:t>, /kVA</w:t>
                        </w:r>
                        <w:r>
                          <w:rPr>
                            <w:sz w:val="16"/>
                            <w:szCs w:val="16"/>
                            <w:lang w:val="nl-BE"/>
                          </w:rPr>
                          <w:tab/>
                        </w:r>
                        <w:proofErr w:type="spellStart"/>
                        <w:r>
                          <w:rPr>
                            <w:sz w:val="16"/>
                            <w:szCs w:val="16"/>
                            <w:lang w:val="nl-BE"/>
                          </w:rPr>
                          <w:t>dnt</w:t>
                        </w:r>
                        <w:proofErr w:type="spellEnd"/>
                        <w:r>
                          <w:rPr>
                            <w:sz w:val="16"/>
                            <w:szCs w:val="16"/>
                            <w:lang w:val="nl-BE"/>
                          </w:rPr>
                          <w:t>.</w:t>
                        </w:r>
                      </w:p>
                    </w:txbxContent>
                  </v:textbox>
                </v:rect>
                <v:shapetype id="_x0000_t32" coordsize="21600,21600" o:spt="32" o:oned="t" path="m,l21600,21600e" filled="f">
                  <v:path arrowok="t" fillok="f" o:connecttype="none"/>
                  <o:lock v:ext="edit" shapetype="t"/>
                </v:shapetype>
                <v:shape id="AutoShape 23" o:spid="_x0000_s1030" type="#_x0000_t32" style="position:absolute;left:6097;top:2688;width:0;height:186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ed8QAAADbAAAADwAAAGRycy9kb3ducmV2LnhtbESPQWsCMRSE74L/ITzBi9Ssi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t953xAAAANsAAAAPAAAAAAAAAAAA&#10;AAAAAKECAABkcnMvZG93bnJldi54bWxQSwUGAAAAAAQABAD5AAAAkgMAAAAA&#10;"/>
                <v:shape id="AutoShape 24" o:spid="_x0000_s1031" type="#_x0000_t32" style="position:absolute;left:5377;top:3621;width:0;height:9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hY1cYAAADbAAAADwAAAGRycy9kb3ducmV2LnhtbESPUUvDMBSF34X9h3AFX8Sl29yQumyM&#10;gaDI2DoFXy/NtSltbkKTdZ2/fhEEHw/nnO9wluvBtqKnLtSOFUzGGQji0umaKwWfHy8PTyBCRNbY&#10;OiYFFwqwXo1ulphrd+aC+mOsRIJwyFGBidHnUobSkMUwdp44ed+usxiT7CqpOzwnuG3lNMsW0mLN&#10;acGgp62hsjmerIKmb/bFYR78/emHFu/e7N5mX1qpu9th8wwi0hD/w3/tV61g+gi/X9IPkK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xIWNXGAAAA2wAAAA8AAAAAAAAA&#10;AAAAAAAAoQIAAGRycy9kb3ducmV2LnhtbFBLBQYAAAAABAAEAPkAAACUAwAAAAA=&#10;">
                  <v:stroke dashstyle="dash"/>
                </v:shape>
                <v:shape id="AutoShape 25" o:spid="_x0000_s1032" type="#_x0000_t32" style="position:absolute;left:3708;top:4297;width:0;height:18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T9TsUAAADbAAAADwAAAGRycy9kb3ducmV2LnhtbESP3WoCMRSE7wu+QziCN0WztSiyNYoI&#10;BaWU+lPo7WFzull2cxI2cV379E2h4OUwM98wy3VvG9FRGyrHCp4mGQjiwumKSwWf59fxAkSIyBob&#10;x6TgRgHWq8HDEnPtrnyk7hRLkSAcclRgYvS5lKEwZDFMnCdO3rdrLcYk21LqFq8Jbhs5zbK5tFhx&#10;WjDoaWuoqE8Xq6Du6o/jYRb84+WH5m/evO+fv7RSo2G/eQERqY/38H97pxVMZ/D3Jf0Au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wT9TsUAAADbAAAADwAAAAAAAAAA&#10;AAAAAAChAgAAZHJzL2Rvd25yZXYueG1sUEsFBgAAAAAEAAQA+QAAAJMDAAAAAA==&#10;">
                  <v:stroke dashstyle="dash"/>
                </v:shape>
                <v:rect id="Rectangle 26" o:spid="_x0000_s1033" style="position:absolute;left:6097;top:4554;width:1800;height: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MB8IA&#10;AADbAAAADwAAAGRycy9kb3ducmV2LnhtbESPwYrCQBBE78L+w9ALe9OJHlSyjqK7rnjwYrIf0GTa&#10;JJjpCZlW4987guCxqKpX1GLVu0ZdqQu1ZwPjUQKKuPC25tLAf/43nIMKgmyx8UwG7hRgtfwYLDC1&#10;/sZHumZSqgjhkKKBSqRNtQ5FRQ7DyLfE0Tv5zqFE2ZXadniLcNfoSZJMtcOa40KFLf1UVJyzizMw&#10;Oxw2snV+nBf+lG+kzPt692vM12e//gYl1Ms7/GrvrYHJFJ5f4g/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gwwHwgAAANsAAAAPAAAAAAAAAAAAAAAAAJgCAABkcnMvZG93&#10;bnJldi54bWxQSwUGAAAAAAQABAD1AAAAhwMAAAAA&#10;" fillcolor="#bfbfbf [2412]">
                  <v:textbox>
                    <w:txbxContent>
                      <w:p w14:paraId="466C1044" w14:textId="77777777" w:rsidR="008F1DB1" w:rsidRDefault="008F1DB1" w:rsidP="00AF0EAB">
                        <w:pPr>
                          <w:tabs>
                            <w:tab w:val="left" w:pos="180"/>
                          </w:tabs>
                          <w:jc w:val="left"/>
                          <w:rPr>
                            <w:sz w:val="16"/>
                            <w:szCs w:val="16"/>
                            <w:lang w:val="nl-BE"/>
                          </w:rPr>
                        </w:pPr>
                        <w:r>
                          <w:rPr>
                            <w:sz w:val="16"/>
                            <w:szCs w:val="16"/>
                            <w:lang w:val="nl-BE"/>
                          </w:rPr>
                          <w:tab/>
                          <w:t>Werkelijke</w:t>
                        </w:r>
                      </w:p>
                      <w:p w14:paraId="3AB8EC27" w14:textId="77777777" w:rsidR="008F1DB1" w:rsidRDefault="008F1DB1" w:rsidP="00AF0EAB">
                        <w:pPr>
                          <w:tabs>
                            <w:tab w:val="left" w:pos="180"/>
                          </w:tabs>
                          <w:ind w:left="180"/>
                          <w:jc w:val="left"/>
                          <w:rPr>
                            <w:sz w:val="16"/>
                            <w:szCs w:val="16"/>
                            <w:lang w:val="nl-BE"/>
                          </w:rPr>
                        </w:pPr>
                        <w:r>
                          <w:rPr>
                            <w:sz w:val="16"/>
                            <w:szCs w:val="16"/>
                            <w:lang w:val="nl-BE"/>
                          </w:rPr>
                          <w:t>opbrengsten m.b.t. exogene</w:t>
                        </w:r>
                      </w:p>
                      <w:p w14:paraId="634859C6" w14:textId="77777777" w:rsidR="008F1DB1" w:rsidRDefault="008F1DB1" w:rsidP="00AF0EAB">
                        <w:pPr>
                          <w:tabs>
                            <w:tab w:val="left" w:pos="180"/>
                          </w:tabs>
                          <w:ind w:left="180"/>
                          <w:jc w:val="left"/>
                          <w:rPr>
                            <w:sz w:val="16"/>
                            <w:szCs w:val="16"/>
                            <w:lang w:val="nl-BE"/>
                          </w:rPr>
                        </w:pPr>
                        <w:r>
                          <w:rPr>
                            <w:sz w:val="16"/>
                            <w:szCs w:val="16"/>
                            <w:lang w:val="nl-BE"/>
                          </w:rPr>
                          <w:t>kosten</w:t>
                        </w:r>
                      </w:p>
                      <w:p w14:paraId="69A8F750" w14:textId="77777777" w:rsidR="008F1DB1" w:rsidRPr="003A634F" w:rsidRDefault="008F1DB1" w:rsidP="00AF0EAB">
                        <w:pPr>
                          <w:jc w:val="left"/>
                          <w:rPr>
                            <w:sz w:val="16"/>
                            <w:szCs w:val="16"/>
                            <w:lang w:val="nl-BE"/>
                          </w:rPr>
                        </w:pPr>
                      </w:p>
                    </w:txbxContent>
                  </v:textbox>
                </v:rect>
                <v:rect id="Rectangle 27" o:spid="_x0000_s1034" style="position:absolute;left:2857;top:4554;width:2520;height: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pnMMA&#10;AADbAAAADwAAAGRycy9kb3ducmV2LnhtbESPzWrDMBCE74G+g9hCbrGcHOriWAlJ/+jBl9p5gMXa&#10;2CbWyljbxHn7qlDocZiZb5hiP7tBXWkKvWcD6yQFRdx423Nr4FS/r55BBUG2OHgmA3cKsN89LArM&#10;rb/xF10raVWEcMjRQCcy5lqHpiOHIfEjcfTOfnIoUU6tthPeItwNepOmT9phz3Ghw5FeOmou1bcz&#10;kJXlUd6cX9eNP9dHaeu5/3g1Zvk4H7aghGb5D/+1P62BTQa/X+IP0L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c+pnMMAAADbAAAADwAAAAAAAAAAAAAAAACYAgAAZHJzL2Rv&#10;d25yZXYueG1sUEsFBgAAAAAEAAQA9QAAAIgDAAAAAA==&#10;" fillcolor="#bfbfbf [2412]">
                  <v:textbox>
                    <w:txbxContent>
                      <w:p w14:paraId="25B25AE5" w14:textId="6178A7C2" w:rsidR="008F1DB1" w:rsidRDefault="008F1DB1" w:rsidP="00AF0EAB">
                        <w:pPr>
                          <w:tabs>
                            <w:tab w:val="left" w:pos="180"/>
                          </w:tabs>
                          <w:jc w:val="left"/>
                          <w:rPr>
                            <w:sz w:val="16"/>
                            <w:szCs w:val="16"/>
                            <w:lang w:val="nl-BE"/>
                          </w:rPr>
                        </w:pPr>
                        <w:r w:rsidRPr="005E6B14">
                          <w:rPr>
                            <w:sz w:val="14"/>
                            <w:szCs w:val="14"/>
                            <w:lang w:val="nl-BE"/>
                          </w:rPr>
                          <w:t>Werkelijke opbrengsten uit distributienettarieven  EUR/kWh, /kW, /kW</w:t>
                        </w:r>
                        <w:r w:rsidRPr="005E6B14">
                          <w:rPr>
                            <w:sz w:val="14"/>
                            <w:szCs w:val="14"/>
                            <w:vertAlign w:val="subscript"/>
                            <w:lang w:val="nl-BE"/>
                          </w:rPr>
                          <w:t>max</w:t>
                        </w:r>
                        <w:r w:rsidRPr="005E6B14">
                          <w:rPr>
                            <w:sz w:val="14"/>
                            <w:szCs w:val="14"/>
                            <w:lang w:val="nl-BE"/>
                          </w:rPr>
                          <w:t>, /kVarh, /kVA m.b.t. niet-exogene kosten</w:t>
                        </w:r>
                      </w:p>
                      <w:p w14:paraId="4655C6B4" w14:textId="77777777" w:rsidR="008F1DB1" w:rsidRPr="003A634F" w:rsidRDefault="008F1DB1" w:rsidP="00AF0EAB">
                        <w:pPr>
                          <w:jc w:val="left"/>
                          <w:rPr>
                            <w:sz w:val="16"/>
                            <w:szCs w:val="16"/>
                            <w:lang w:val="nl-BE"/>
                          </w:rPr>
                        </w:pPr>
                      </w:p>
                    </w:txbxContent>
                  </v:textbox>
                </v:rect>
                <v:rect id="Rectangle 28" o:spid="_x0000_s1035" style="position:absolute;left:7897;top:5917;width:720;height: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Nf7wA&#10;AADbAAAADwAAAGRycy9kb3ducmV2LnhtbERPuwrCMBTdBf8hXMFNUx1EaqNURdDR+gC3S3Nti81N&#10;aaLWvzeD4Hg472TVmVq8qHWVZQWTcQSCOLe64kLB+bQbzUE4j6yxtkwKPuRgtez3Eoy1ffORXpkv&#10;RAhhF6OC0vsmltLlJRl0Y9sQB+5uW4M+wLaQusV3CDe1nEbRTBqsODSU2NCmpPyRPY2Cw82nud4j&#10;Zesqutwnabe116NSw0GXLkB46vxf/HPvtYJpGBu+hB8gl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7yM1/vAAAANsAAAAPAAAAAAAAAAAAAAAAAJgCAABkcnMvZG93bnJldi54&#10;bWxQSwUGAAAAAAQABAD1AAAAgQMAAAAA&#10;" fillcolor="#a5a5a5 [2092]">
                  <v:textbox>
                    <w:txbxContent>
                      <w:p w14:paraId="266EBCBD" w14:textId="77777777" w:rsidR="008F1DB1" w:rsidRDefault="008F1DB1" w:rsidP="00AF0EAB">
                        <w:pPr>
                          <w:tabs>
                            <w:tab w:val="left" w:pos="180"/>
                          </w:tabs>
                          <w:jc w:val="left"/>
                          <w:rPr>
                            <w:sz w:val="16"/>
                            <w:szCs w:val="16"/>
                            <w:lang w:val="nl-BE"/>
                          </w:rPr>
                        </w:pPr>
                        <w:r>
                          <w:rPr>
                            <w:sz w:val="16"/>
                            <w:szCs w:val="16"/>
                            <w:lang w:val="nl-BE"/>
                          </w:rPr>
                          <w:t>Reg. Saldo</w:t>
                        </w:r>
                      </w:p>
                      <w:p w14:paraId="014B7056" w14:textId="77777777" w:rsidR="008F1DB1" w:rsidRDefault="008F1DB1" w:rsidP="00AF0EAB">
                        <w:pPr>
                          <w:tabs>
                            <w:tab w:val="left" w:pos="180"/>
                          </w:tabs>
                          <w:jc w:val="left"/>
                          <w:rPr>
                            <w:sz w:val="16"/>
                            <w:szCs w:val="16"/>
                            <w:lang w:val="nl-BE"/>
                          </w:rPr>
                        </w:pPr>
                        <w:proofErr w:type="spellStart"/>
                        <w:r>
                          <w:rPr>
                            <w:sz w:val="16"/>
                            <w:szCs w:val="16"/>
                            <w:lang w:val="nl-BE"/>
                          </w:rPr>
                          <w:t>exog</w:t>
                        </w:r>
                        <w:proofErr w:type="spellEnd"/>
                        <w:r>
                          <w:rPr>
                            <w:sz w:val="16"/>
                            <w:szCs w:val="16"/>
                            <w:lang w:val="nl-BE"/>
                          </w:rPr>
                          <w:t>.</w:t>
                        </w:r>
                      </w:p>
                      <w:p w14:paraId="46214645" w14:textId="77777777" w:rsidR="008F1DB1" w:rsidRDefault="008F1DB1" w:rsidP="00AF0EAB">
                        <w:pPr>
                          <w:tabs>
                            <w:tab w:val="left" w:pos="0"/>
                          </w:tabs>
                          <w:jc w:val="left"/>
                          <w:rPr>
                            <w:sz w:val="16"/>
                            <w:szCs w:val="16"/>
                            <w:lang w:val="nl-BE"/>
                          </w:rPr>
                        </w:pPr>
                        <w:r>
                          <w:rPr>
                            <w:sz w:val="16"/>
                            <w:szCs w:val="16"/>
                            <w:lang w:val="nl-BE"/>
                          </w:rPr>
                          <w:t>&gt;0</w:t>
                        </w:r>
                      </w:p>
                      <w:p w14:paraId="0591934C" w14:textId="77777777" w:rsidR="008F1DB1" w:rsidRPr="003A634F" w:rsidRDefault="008F1DB1" w:rsidP="00AF0EAB">
                        <w:pPr>
                          <w:jc w:val="left"/>
                          <w:rPr>
                            <w:sz w:val="16"/>
                            <w:szCs w:val="16"/>
                            <w:lang w:val="nl-BE"/>
                          </w:rPr>
                        </w:pPr>
                      </w:p>
                    </w:txbxContent>
                  </v:textbox>
                </v:rect>
                <v:rect id="Rectangle 29" o:spid="_x0000_s1036" style="position:absolute;left:2857;top:5917;width:851;height: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Ro5MAA&#10;AADbAAAADwAAAGRycy9kb3ducmV2LnhtbESPQYvCMBSE74L/ITzBm031IFqNUhXBPVp3BW+P5tkW&#10;m5fSRK3/fiMIHoeZ+YZZrjtTiwe1rrKsYBzFIIhzqysuFPye9qMZCOeRNdaWScGLHKxX/d4SE22f&#10;fKRH5gsRIOwSVFB63yRSurwkgy6yDXHwrrY16INsC6lbfAa4qeUkjqfSYMVhocSGtiXlt+xuFPxc&#10;fJrrA1K2qeK/6zjtdvZ8VGo46NIFCE+d/4Y/7YNWMJnD+0v4AX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IRo5MAAAADbAAAADwAAAAAAAAAAAAAAAACYAgAAZHJzL2Rvd25y&#10;ZXYueG1sUEsFBgAAAAAEAAQA9QAAAIUDAAAAAA==&#10;" fillcolor="#a5a5a5 [2092]">
                  <v:textbox>
                    <w:txbxContent>
                      <w:p w14:paraId="0BA94832" w14:textId="77777777" w:rsidR="008F1DB1" w:rsidRDefault="008F1DB1" w:rsidP="00AF0EAB">
                        <w:pPr>
                          <w:tabs>
                            <w:tab w:val="left" w:pos="0"/>
                          </w:tabs>
                          <w:jc w:val="left"/>
                          <w:rPr>
                            <w:sz w:val="16"/>
                            <w:szCs w:val="16"/>
                            <w:lang w:val="nl-BE"/>
                          </w:rPr>
                        </w:pPr>
                        <w:r>
                          <w:rPr>
                            <w:sz w:val="16"/>
                            <w:szCs w:val="16"/>
                            <w:lang w:val="nl-BE"/>
                          </w:rPr>
                          <w:t>Reg. Saldo</w:t>
                        </w:r>
                      </w:p>
                      <w:p w14:paraId="78434FF9" w14:textId="77777777" w:rsidR="008F1DB1" w:rsidRDefault="008F1DB1" w:rsidP="00AF0EAB">
                        <w:pPr>
                          <w:tabs>
                            <w:tab w:val="left" w:pos="0"/>
                          </w:tabs>
                          <w:jc w:val="left"/>
                          <w:rPr>
                            <w:sz w:val="16"/>
                            <w:szCs w:val="16"/>
                            <w:lang w:val="nl-BE"/>
                          </w:rPr>
                        </w:pPr>
                        <w:r>
                          <w:rPr>
                            <w:sz w:val="16"/>
                            <w:szCs w:val="16"/>
                            <w:lang w:val="nl-BE"/>
                          </w:rPr>
                          <w:t>n-</w:t>
                        </w:r>
                        <w:proofErr w:type="spellStart"/>
                        <w:r>
                          <w:rPr>
                            <w:sz w:val="16"/>
                            <w:szCs w:val="16"/>
                            <w:lang w:val="nl-BE"/>
                          </w:rPr>
                          <w:t>exog</w:t>
                        </w:r>
                        <w:proofErr w:type="spellEnd"/>
                        <w:r>
                          <w:rPr>
                            <w:sz w:val="16"/>
                            <w:szCs w:val="16"/>
                            <w:lang w:val="nl-BE"/>
                          </w:rPr>
                          <w:t>.</w:t>
                        </w:r>
                      </w:p>
                      <w:p w14:paraId="495FEAEF" w14:textId="77777777" w:rsidR="008F1DB1" w:rsidRPr="003A634F" w:rsidRDefault="008F1DB1" w:rsidP="00AF0EAB">
                        <w:pPr>
                          <w:tabs>
                            <w:tab w:val="left" w:pos="0"/>
                          </w:tabs>
                          <w:jc w:val="left"/>
                          <w:rPr>
                            <w:sz w:val="16"/>
                            <w:szCs w:val="16"/>
                            <w:lang w:val="nl-BE"/>
                          </w:rPr>
                        </w:pPr>
                        <w:r>
                          <w:rPr>
                            <w:sz w:val="16"/>
                            <w:szCs w:val="16"/>
                            <w:lang w:val="nl-BE"/>
                          </w:rPr>
                          <w:t>&lt;0</w:t>
                        </w:r>
                      </w:p>
                    </w:txbxContent>
                  </v:textbox>
                </v:rect>
                <v:shape id="AutoShape 30" o:spid="_x0000_s1037" type="#_x0000_t32" style="position:absolute;left:2857;top:4554;width:0;height:18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rIC8IAAADbAAAADwAAAGRycy9kb3ducmV2LnhtbERPXWvCMBR9H/gfwhX2MjR1MpFqFBGE&#10;jTE2neDrpbk2pc1NaGLt/PXmYeDj4Xwv171tREdtqBwrmIwzEMSF0xWXCo6/u9EcRIjIGhvHpOCP&#10;AqxXg6cl5tpdeU/dIZYihXDIUYGJ0edShsKQxTB2njhxZ9dajAm2pdQtXlO4beRrls2kxYpTg0FP&#10;W0NFfbhYBXVXf+9/3oJ/udxo9unN18f0pJV6HvabBYhIfXyI/93vWsE0rU9f0g+Qq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qrIC8IAAADbAAAADwAAAAAAAAAAAAAA&#10;AAChAgAAZHJzL2Rvd25yZXYueG1sUEsFBgAAAAAEAAQA+QAAAJADAAAAAA==&#10;">
                  <v:stroke dashstyle="dash"/>
                </v:shape>
                <v:shape id="AutoShape 31" o:spid="_x0000_s1038" type="#_x0000_t32" style="position:absolute;left:2857;top:5737;width:85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aOPsQAAADbAAAADwAAAGRycy9kb3ducmV2LnhtbESPQWvCQBSE70L/w/KE3nQTi6VEV5Gi&#10;KIiWxub+yD6TYPZtyK4a/fVuQfA4zMw3zHTemVpcqHWVZQXxMAJBnFtdcaHg77AafIFwHlljbZkU&#10;3MjBfPbWm2Ki7ZV/6ZL6QgQIuwQVlN43iZQuL8mgG9qGOHhH2xr0QbaF1C1eA9zUchRFn9JgxWGh&#10;xIa+S8pP6dkouO/WdNjh8f6zTLP9dryOx/ssU+q93y0mIDx1/hV+tjdawUcM/1/CD5Cz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do4+xAAAANsAAAAPAAAAAAAAAAAA&#10;AAAAAKECAABkcnMvZG93bnJldi54bWxQSwUGAAAAAAQABAD5AAAAkgMAAAAA&#10;">
                  <v:stroke startarrow="block" endarrow="block"/>
                </v:shape>
                <v:shape id="AutoShape 32" o:spid="_x0000_s1039" type="#_x0000_t32" style="position:absolute;left:8617;top:4537;width:0;height:18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Tz58UAAADbAAAADwAAAGRycy9kb3ducmV2LnhtbESPQWsCMRSE70L/Q3iFXqRmq1TK1igi&#10;FCoiVlvo9bF53Sy7eQmbuK7+eiMUPA4z8w0zW/S2ER21oXKs4GWUgSAunK64VPDz/fH8BiJEZI2N&#10;Y1JwpgCL+cNghrl2J95Td4ilSBAOOSowMfpcylAYshhGzhMn78+1FmOSbSl1i6cEt40cZ9lUWqw4&#10;LRj0tDJU1IejVVB39W7/9Rr88Hih6cab7Xryq5V6euyX7yAi9fEe/m9/agWTMdy+pB8g5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TTz58UAAADbAAAADwAAAAAAAAAA&#10;AAAAAAChAgAAZHJzL2Rvd25yZXYueG1sUEsFBgAAAAAEAAQA+QAAAJMDAAAAAA==&#10;">
                  <v:stroke dashstyle="dash"/>
                </v:shape>
                <v:shape id="AutoShape 33" o:spid="_x0000_s1040" type="#_x0000_t32" style="position:absolute;left:7897;top:4657;width:0;height:18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hWfMUAAADbAAAADwAAAGRycy9kb3ducmV2LnhtbESPUUvDMBSF34X9h3CFvYhLXXFIbTqG&#10;ICgirlPw9dJcm9LmJjRZV/31RhD2eDjnfIdTbmc7iInG0DlWcLPKQBA3TnfcKvh4f7y+AxEissbB&#10;MSn4pgDbanFRYqHdiWuaDrEVCcKhQAUmRl9IGRpDFsPKeeLkfbnRYkxybKUe8ZTgdpDrLNtIix2n&#10;BYOeHgw1/eFoFfRT/1bvb4O/Ov7Q5sWb1+f8Uyu1vJx39yAizfEc/m8/aQV5Dn9f0g+Q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nhWfMUAAADbAAAADwAAAAAAAAAA&#10;AAAAAAChAgAAZHJzL2Rvd25yZXYueG1sUEsFBgAAAAAEAAQA+QAAAJMDAAAAAA==&#10;">
                  <v:stroke dashstyle="dash"/>
                </v:shape>
                <v:shape id="AutoShape 34" o:spid="_x0000_s1041" type="#_x0000_t32" style="position:absolute;left:7897;top:5737;width:72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EtpsQAAADbAAAADwAAAGRycy9kb3ducmV2LnhtbESPQWvCQBSE7wX/w/IEb3VjrSLRVaQo&#10;FkTFaO6P7DMJZt+G7FZTf31XEHocZuYbZrZoTSVu1LjSsoJBPwJBnFldcq7gfFq/T0A4j6yxskwK&#10;fsnBYt55m2Gs7Z2PdEt8LgKEXYwKCu/rWEqXFWTQ9W1NHLyLbQz6IJtc6gbvAW4q+RFFY2mw5LBQ&#10;YE1fBWXX5McoeOw2dNrh5XFYJel+O9oMRvs0VarXbZdTEJ5a/x9+tb+1guEnPL+EHyD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AS2mxAAAANsAAAAPAAAAAAAAAAAA&#10;AAAAAKECAABkcnMvZG93bnJldi54bWxQSwUGAAAAAAQABAD5AAAAkgMAAAAA&#10;">
                  <v:stroke startarrow="block" endarrow="block"/>
                </v:shape>
                <v:rect id="Rectangle 35" o:spid="_x0000_s1042" style="position:absolute;left:6097;top:3621;width:2520;height: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zn0MQA&#10;AADbAAAADwAAAGRycy9kb3ducmV2LnhtbESPQWsCMRSE74L/ITyhN83aosjWKFpoLVgPaqnX181z&#10;dzF5WTapxn9vCoLHYWa+YabzaI04U+trxwqGgwwEceF0zaWC7/17fwLCB2SNxjEpuJKH+azbmWKu&#10;3YW3dN6FUiQI+xwVVCE0uZS+qMiiH7iGOHlH11oMSbal1C1eEtwa+ZxlY2mx5rRQYUNvFRWn3Z9V&#10;8GvWP/vldfRxWsUa45dZHTbmoNRTLy5eQQSK4RG+tz+1gpcR/H9JP0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859DEAAAA2wAAAA8AAAAAAAAAAAAAAAAAmAIAAGRycy9k&#10;b3ducmV2LnhtbFBLBQYAAAAABAAEAPUAAACJAwAAAAA=&#10;" fillcolor="#d8d8d8 [2732]">
                  <v:textbox>
                    <w:txbxContent>
                      <w:p w14:paraId="36409185" w14:textId="77777777" w:rsidR="008F1DB1" w:rsidRDefault="008F1DB1" w:rsidP="00AF0EAB">
                        <w:pPr>
                          <w:tabs>
                            <w:tab w:val="left" w:pos="180"/>
                          </w:tabs>
                          <w:jc w:val="left"/>
                          <w:rPr>
                            <w:sz w:val="16"/>
                            <w:szCs w:val="16"/>
                            <w:lang w:val="nl-BE"/>
                          </w:rPr>
                        </w:pPr>
                        <w:r>
                          <w:rPr>
                            <w:sz w:val="16"/>
                            <w:szCs w:val="16"/>
                            <w:lang w:val="nl-BE"/>
                          </w:rPr>
                          <w:tab/>
                          <w:t>Werkelijke exogene</w:t>
                        </w:r>
                      </w:p>
                      <w:p w14:paraId="661B5CE0" w14:textId="77777777" w:rsidR="008F1DB1" w:rsidRDefault="008F1DB1" w:rsidP="00AF0EAB">
                        <w:pPr>
                          <w:tabs>
                            <w:tab w:val="left" w:pos="180"/>
                          </w:tabs>
                          <w:ind w:left="180"/>
                          <w:jc w:val="left"/>
                          <w:rPr>
                            <w:sz w:val="16"/>
                            <w:szCs w:val="16"/>
                            <w:lang w:val="nl-BE"/>
                          </w:rPr>
                        </w:pPr>
                        <w:r>
                          <w:rPr>
                            <w:sz w:val="16"/>
                            <w:szCs w:val="16"/>
                            <w:lang w:val="nl-BE"/>
                          </w:rPr>
                          <w:t>kosten</w:t>
                        </w:r>
                      </w:p>
                      <w:p w14:paraId="42C6FB1B" w14:textId="77777777" w:rsidR="008F1DB1" w:rsidRPr="003A634F" w:rsidRDefault="008F1DB1" w:rsidP="00AF0EAB">
                        <w:pPr>
                          <w:jc w:val="left"/>
                          <w:rPr>
                            <w:sz w:val="16"/>
                            <w:szCs w:val="16"/>
                            <w:lang w:val="nl-BE"/>
                          </w:rPr>
                        </w:pPr>
                      </w:p>
                    </w:txbxContent>
                  </v:textbox>
                </v:rect>
                <w10:anchorlock/>
              </v:group>
            </w:pict>
          </mc:Fallback>
        </mc:AlternateContent>
      </w:r>
    </w:p>
    <w:p w14:paraId="2132F9E9" w14:textId="77777777" w:rsidR="00AF0EAB" w:rsidRPr="000D284A" w:rsidRDefault="00AF0EAB" w:rsidP="00654C50">
      <w:pPr>
        <w:pStyle w:val="Bijschrift"/>
        <w:jc w:val="left"/>
        <w:rPr>
          <w:b w:val="0"/>
          <w:i/>
        </w:rPr>
      </w:pPr>
      <w:bookmarkStart w:id="349" w:name="_Ref388622306"/>
      <w:bookmarkStart w:id="350" w:name="_Ref389824667"/>
      <w:r w:rsidRPr="000D284A">
        <w:rPr>
          <w:b w:val="0"/>
          <w:i/>
        </w:rPr>
        <w:t xml:space="preserve">Figuur </w:t>
      </w:r>
      <w:r w:rsidRPr="000D284A">
        <w:rPr>
          <w:b w:val="0"/>
          <w:i/>
        </w:rPr>
        <w:fldChar w:fldCharType="begin"/>
      </w:r>
      <w:r w:rsidRPr="000D284A">
        <w:rPr>
          <w:b w:val="0"/>
          <w:i/>
        </w:rPr>
        <w:instrText xml:space="preserve"> SEQ Figuur \* ARABIC </w:instrText>
      </w:r>
      <w:r w:rsidRPr="000D284A">
        <w:rPr>
          <w:b w:val="0"/>
          <w:i/>
        </w:rPr>
        <w:fldChar w:fldCharType="separate"/>
      </w:r>
      <w:r w:rsidR="000D284A">
        <w:rPr>
          <w:b w:val="0"/>
          <w:i/>
          <w:noProof/>
        </w:rPr>
        <w:t>1</w:t>
      </w:r>
      <w:r w:rsidRPr="000D284A">
        <w:rPr>
          <w:b w:val="0"/>
          <w:i/>
        </w:rPr>
        <w:fldChar w:fldCharType="end"/>
      </w:r>
      <w:bookmarkEnd w:id="349"/>
      <w:bookmarkEnd w:id="350"/>
      <w:r w:rsidRPr="000D284A">
        <w:rPr>
          <w:b w:val="0"/>
          <w:i/>
        </w:rPr>
        <w:t xml:space="preserve"> Ontstaan van regulatoire saldi bij tariefmethodologie VREG (positief of negatief als voorbeeld)</w:t>
      </w:r>
    </w:p>
    <w:p w14:paraId="3BAA1EA9" w14:textId="77777777" w:rsidR="00DB3963" w:rsidRPr="00043B8D" w:rsidRDefault="00DB3963" w:rsidP="00D83F19">
      <w:pPr>
        <w:tabs>
          <w:tab w:val="left" w:pos="1418"/>
          <w:tab w:val="left" w:pos="2835"/>
        </w:tabs>
      </w:pPr>
    </w:p>
    <w:p w14:paraId="08670A05" w14:textId="77777777" w:rsidR="008379BA" w:rsidRPr="00043B8D" w:rsidRDefault="008379BA" w:rsidP="005251E2">
      <w:pPr>
        <w:pStyle w:val="Kop2"/>
        <w:numPr>
          <w:ilvl w:val="2"/>
          <w:numId w:val="24"/>
        </w:numPr>
        <w:ind w:left="993" w:hanging="993"/>
        <w:rPr>
          <w:i/>
          <w:sz w:val="22"/>
          <w:szCs w:val="22"/>
        </w:rPr>
      </w:pPr>
      <w:bookmarkStart w:id="351" w:name="_Ref391553260"/>
      <w:bookmarkStart w:id="352" w:name="_Toc454186674"/>
      <w:r w:rsidRPr="00043B8D">
        <w:rPr>
          <w:i/>
          <w:sz w:val="22"/>
          <w:szCs w:val="22"/>
        </w:rPr>
        <w:t>Regulatoir actief/passief</w:t>
      </w:r>
      <w:bookmarkEnd w:id="351"/>
      <w:bookmarkEnd w:id="352"/>
    </w:p>
    <w:p w14:paraId="73F8265F" w14:textId="77777777" w:rsidR="008379BA" w:rsidRPr="00043B8D" w:rsidRDefault="008379BA" w:rsidP="008379BA"/>
    <w:p w14:paraId="30803935" w14:textId="77777777" w:rsidR="00E3118E" w:rsidRPr="00043B8D" w:rsidRDefault="00987942" w:rsidP="008379BA">
      <w:r w:rsidRPr="00043B8D">
        <w:t>De balansen van de distributienetbeheerders bevatten heden een regulatoir actief</w:t>
      </w:r>
      <w:r w:rsidR="00F63258" w:rsidRPr="00043B8D">
        <w:t>/passief</w:t>
      </w:r>
      <w:r w:rsidRPr="00043B8D">
        <w:t xml:space="preserve"> dat naar oorsprong in de tijd </w:t>
      </w:r>
      <w:r w:rsidR="00CC33E0" w:rsidRPr="00043B8D">
        <w:t xml:space="preserve">kan </w:t>
      </w:r>
      <w:r w:rsidRPr="00043B8D">
        <w:t xml:space="preserve">teruggaan tot </w:t>
      </w:r>
      <w:r w:rsidR="00F46BD2" w:rsidRPr="00043B8D">
        <w:t xml:space="preserve">en met </w:t>
      </w:r>
      <w:r w:rsidRPr="00043B8D">
        <w:t xml:space="preserve">het </w:t>
      </w:r>
      <w:r w:rsidR="00CC33E0" w:rsidRPr="00043B8D">
        <w:t>boek</w:t>
      </w:r>
      <w:r w:rsidRPr="00043B8D">
        <w:t>jaar 2008.</w:t>
      </w:r>
      <w:r w:rsidR="00627917" w:rsidRPr="00043B8D">
        <w:t xml:space="preserve"> </w:t>
      </w:r>
      <w:r w:rsidRPr="00043B8D">
        <w:t xml:space="preserve">De CREG heeft </w:t>
      </w:r>
      <w:r w:rsidR="00EE4DE2" w:rsidRPr="00043B8D">
        <w:t xml:space="preserve">de bedragen </w:t>
      </w:r>
      <w:r w:rsidR="00BC7E07" w:rsidRPr="00043B8D">
        <w:t xml:space="preserve">van </w:t>
      </w:r>
      <w:r w:rsidR="00EE4DE2" w:rsidRPr="00043B8D">
        <w:t xml:space="preserve">de exploitatiesaldi </w:t>
      </w:r>
      <w:r w:rsidRPr="00043B8D">
        <w:t xml:space="preserve">van de distributienetbeheerders </w:t>
      </w:r>
      <w:r w:rsidR="008379BA" w:rsidRPr="00043B8D">
        <w:t xml:space="preserve">definitief vastgesteld voor </w:t>
      </w:r>
      <w:r w:rsidR="00627917" w:rsidRPr="00043B8D">
        <w:t xml:space="preserve">de </w:t>
      </w:r>
      <w:r w:rsidR="003C2799" w:rsidRPr="00043B8D">
        <w:t>boek</w:t>
      </w:r>
      <w:r w:rsidR="00627917" w:rsidRPr="00043B8D">
        <w:t xml:space="preserve">jaren </w:t>
      </w:r>
      <w:r w:rsidR="00EE4DE2" w:rsidRPr="00043B8D">
        <w:t xml:space="preserve">2008 en </w:t>
      </w:r>
      <w:r w:rsidR="008379BA" w:rsidRPr="00043B8D">
        <w:t xml:space="preserve">2009. </w:t>
      </w:r>
      <w:r w:rsidR="00BC7E07" w:rsidRPr="00043B8D">
        <w:t xml:space="preserve">Het regulatoir actief/passief van boekjaar 2008 en van boekjaar 2009 </w:t>
      </w:r>
      <w:r w:rsidR="008379BA" w:rsidRPr="00043B8D">
        <w:t xml:space="preserve">kunnen door de distributienetbeheerders worden afgebouwd overeenkomstig </w:t>
      </w:r>
      <w:r w:rsidR="00EE4DE2" w:rsidRPr="00043B8D">
        <w:t>de bedragen die door de CREG werden vastgesteld</w:t>
      </w:r>
      <w:r w:rsidR="000676D7" w:rsidRPr="00043B8D">
        <w:t xml:space="preserve">. De saldi worden toegewezen </w:t>
      </w:r>
      <w:r w:rsidR="00627917" w:rsidRPr="00043B8D">
        <w:t xml:space="preserve">volgens </w:t>
      </w:r>
      <w:r w:rsidR="008379BA" w:rsidRPr="00043B8D">
        <w:t xml:space="preserve">de </w:t>
      </w:r>
      <w:r w:rsidR="00F63258" w:rsidRPr="00043B8D">
        <w:t xml:space="preserve">tariefmethodologieën </w:t>
      </w:r>
      <w:r w:rsidR="008379BA" w:rsidRPr="00043B8D">
        <w:t xml:space="preserve">die </w:t>
      </w:r>
      <w:r w:rsidR="00627917" w:rsidRPr="00043B8D">
        <w:t>er o</w:t>
      </w:r>
      <w:r w:rsidR="008379BA" w:rsidRPr="00043B8D">
        <w:t>p van toepassing waren</w:t>
      </w:r>
      <w:r w:rsidR="000676D7" w:rsidRPr="00043B8D">
        <w:t xml:space="preserve"> tenzij, voor de saldi van 2008, met naleving van eventueel bestaande formele afspraken tussen de distributienetbeheerder en de CREG omtrent een afwijkende toewijzing</w:t>
      </w:r>
      <w:r w:rsidR="005516F5" w:rsidRPr="00043B8D">
        <w:t>.</w:t>
      </w:r>
      <w:r w:rsidR="003C2799" w:rsidRPr="00043B8D">
        <w:t xml:space="preserve"> </w:t>
      </w:r>
      <w:r w:rsidR="007C20C1" w:rsidRPr="00043B8D">
        <w:t xml:space="preserve">De toewijzing van de saldi van 2009 volgens de tarieven-KB’s 2008 is nieuw maar </w:t>
      </w:r>
      <w:r w:rsidR="00346250" w:rsidRPr="00043B8D">
        <w:t xml:space="preserve">is volgens de VREG gepast </w:t>
      </w:r>
      <w:r w:rsidR="00C76CFC" w:rsidRPr="00043B8D">
        <w:t>gegeven de specifieke omstandigheden voor wat de exploitatiesaldi van 2009 betreft</w:t>
      </w:r>
      <w:r w:rsidR="007C20C1" w:rsidRPr="00043B8D">
        <w:t>.</w:t>
      </w:r>
      <w:r w:rsidR="00D1247E" w:rsidRPr="00043B8D">
        <w:t xml:space="preserve"> De CREG </w:t>
      </w:r>
      <w:r w:rsidR="00C76CFC" w:rsidRPr="00043B8D">
        <w:t xml:space="preserve">heeft </w:t>
      </w:r>
      <w:r w:rsidR="00D1247E" w:rsidRPr="00043B8D">
        <w:t xml:space="preserve">de </w:t>
      </w:r>
      <w:r w:rsidR="00C76CFC" w:rsidRPr="00043B8D">
        <w:t xml:space="preserve">exploitatiesaldi van het boekjaar 2009 goedgekeurd, evenwel zonder een standpunt in </w:t>
      </w:r>
      <w:r w:rsidR="004F69AB" w:rsidRPr="00043B8D">
        <w:t xml:space="preserve">te </w:t>
      </w:r>
      <w:r w:rsidR="00C76CFC" w:rsidRPr="00043B8D">
        <w:t xml:space="preserve">nemen over de bestemming ervan. De distributienetbeheerders konden er evenwel redelijkerwijze van uitgaan dat de </w:t>
      </w:r>
      <w:r w:rsidR="00D1247E" w:rsidRPr="00043B8D">
        <w:t>bestemming</w:t>
      </w:r>
      <w:r w:rsidR="00C76CFC" w:rsidRPr="00043B8D">
        <w:t xml:space="preserve"> van de saldi conform de toen vigerende besluiten zou gebeuren.</w:t>
      </w:r>
      <w:r w:rsidR="007C20C1" w:rsidRPr="00043B8D">
        <w:t xml:space="preserve"> </w:t>
      </w:r>
      <w:r w:rsidR="005516F5" w:rsidRPr="00043B8D">
        <w:t xml:space="preserve">De </w:t>
      </w:r>
      <w:r w:rsidR="00627917" w:rsidRPr="00043B8D">
        <w:t xml:space="preserve">snelheid </w:t>
      </w:r>
      <w:r w:rsidR="005516F5" w:rsidRPr="00043B8D">
        <w:t xml:space="preserve">van verwerking in de distributienettarieven zal </w:t>
      </w:r>
      <w:r w:rsidR="00BC7E07" w:rsidRPr="00043B8D">
        <w:t xml:space="preserve">worden bepaald door </w:t>
      </w:r>
      <w:r w:rsidR="008379BA" w:rsidRPr="00043B8D">
        <w:t>de VREG</w:t>
      </w:r>
      <w:r w:rsidR="00CC33E0" w:rsidRPr="00043B8D">
        <w:t xml:space="preserve"> </w:t>
      </w:r>
      <w:r w:rsidR="00627917" w:rsidRPr="00043B8D">
        <w:t xml:space="preserve">door opname in het toegelaten inkomen voor exogene kosten, </w:t>
      </w:r>
      <w:r w:rsidR="00BC7E07" w:rsidRPr="00043B8D">
        <w:t>op voorstel van de distributienetbeheerders</w:t>
      </w:r>
      <w:r w:rsidR="00CC33E0" w:rsidRPr="00043B8D">
        <w:t xml:space="preserve"> in hun budgetrapportering voor exogene kosten</w:t>
      </w:r>
      <w:r w:rsidR="00BC7E07" w:rsidRPr="00043B8D">
        <w:t>,</w:t>
      </w:r>
      <w:r w:rsidR="008379BA" w:rsidRPr="00043B8D">
        <w:t xml:space="preserve"> </w:t>
      </w:r>
      <w:r w:rsidR="00627917" w:rsidRPr="00043B8D">
        <w:t>rekening houden</w:t>
      </w:r>
      <w:r w:rsidR="00F46BD2" w:rsidRPr="00043B8D">
        <w:t>de</w:t>
      </w:r>
      <w:r w:rsidR="00627917" w:rsidRPr="00043B8D">
        <w:t xml:space="preserve"> met de impact van de afbouw van de saldi op de hoogte van de distributienettarieven</w:t>
      </w:r>
      <w:r w:rsidR="008379BA" w:rsidRPr="00043B8D">
        <w:t xml:space="preserve">. </w:t>
      </w:r>
    </w:p>
    <w:p w14:paraId="7F295FDB" w14:textId="77777777" w:rsidR="00C35968" w:rsidRPr="00043B8D" w:rsidRDefault="00C35968" w:rsidP="008379BA"/>
    <w:p w14:paraId="089F2F2E" w14:textId="77777777" w:rsidR="00C35968" w:rsidRPr="00043B8D" w:rsidRDefault="00C35968" w:rsidP="00C35968">
      <w:r w:rsidRPr="00043B8D">
        <w:t xml:space="preserve">Uit de wijze van toewijzing van de exploitatiesaldi van het boekjaar 2009 zullen geenszins rechten kunnen worden geput voor wat de wijze van bestemming van de exploitatiesaldi van de latere boekjaren betreft. De beslissingen met betrekking tot de bestemming van de saldi van het boekjaar 2009 doen met andere woorden geen afbreuk aan de tarifaire bevoegdheid en verhinderen niet dat de VREG desgevallend een andere bestemming zal geven aan de saldi van de daaropvolgende boekjaren. </w:t>
      </w:r>
    </w:p>
    <w:p w14:paraId="4BF25C5E" w14:textId="77777777" w:rsidR="00E3118E" w:rsidRPr="00043B8D" w:rsidRDefault="00E3118E" w:rsidP="008379BA"/>
    <w:p w14:paraId="38DF735A" w14:textId="53152B43" w:rsidR="00C35968" w:rsidRPr="00043B8D" w:rsidRDefault="00CE7E2F" w:rsidP="008379BA">
      <w:r w:rsidRPr="00043B8D">
        <w:t>[</w:t>
      </w:r>
      <w:r w:rsidR="00E3118E" w:rsidRPr="00043B8D">
        <w:t>Voor de start van de verwerking van d</w:t>
      </w:r>
      <w:r w:rsidR="008379BA" w:rsidRPr="00043B8D">
        <w:t xml:space="preserve">e </w:t>
      </w:r>
      <w:r w:rsidR="00CC33E0" w:rsidRPr="00043B8D">
        <w:t xml:space="preserve">exploitatiesaldi </w:t>
      </w:r>
      <w:r w:rsidR="00F63258" w:rsidRPr="00043B8D">
        <w:t xml:space="preserve">uit </w:t>
      </w:r>
      <w:r w:rsidR="008379BA" w:rsidRPr="00043B8D">
        <w:t xml:space="preserve">de </w:t>
      </w:r>
      <w:r w:rsidR="004F6B18">
        <w:t>exploitatiejaren</w:t>
      </w:r>
      <w:r w:rsidR="00F63258" w:rsidRPr="00043B8D">
        <w:t xml:space="preserve"> </w:t>
      </w:r>
      <w:r w:rsidR="008379BA" w:rsidRPr="00043B8D">
        <w:t>2010</w:t>
      </w:r>
      <w:r w:rsidR="00F63258" w:rsidRPr="00043B8D">
        <w:t>-2014</w:t>
      </w:r>
      <w:r w:rsidR="008379BA" w:rsidRPr="00043B8D">
        <w:t xml:space="preserve"> </w:t>
      </w:r>
      <w:r w:rsidR="00E3118E" w:rsidRPr="00043B8D">
        <w:t xml:space="preserve">in de distributienettarieven in de reguleringsperiode 2015-2016 werd gewacht </w:t>
      </w:r>
      <w:r w:rsidR="00BB23BF" w:rsidRPr="00043B8D">
        <w:t>totdat</w:t>
      </w:r>
      <w:r w:rsidR="00E3118E" w:rsidRPr="00043B8D">
        <w:t xml:space="preserve"> </w:t>
      </w:r>
      <w:r w:rsidR="00BB23BF" w:rsidRPr="00043B8D">
        <w:t xml:space="preserve">er </w:t>
      </w:r>
      <w:r w:rsidR="00E3118E" w:rsidRPr="00043B8D">
        <w:t xml:space="preserve">een uitspraak </w:t>
      </w:r>
      <w:r w:rsidR="00BB23BF" w:rsidRPr="00043B8D">
        <w:t xml:space="preserve">was </w:t>
      </w:r>
      <w:r w:rsidR="00E3118E" w:rsidRPr="00043B8D">
        <w:t>in een rechtszaak over welke regulator bevoegd is om over de historische saldi (exploitatiejaren 2010-2013) te beslissen. Bij arrest van 30 juni 2015</w:t>
      </w:r>
      <w:r w:rsidR="00BB23BF" w:rsidRPr="00043B8D">
        <w:rPr>
          <w:rStyle w:val="Voetnootmarkering"/>
        </w:rPr>
        <w:footnoteReference w:id="34"/>
      </w:r>
      <w:r w:rsidR="00BB23BF" w:rsidRPr="00043B8D">
        <w:t xml:space="preserve"> </w:t>
      </w:r>
      <w:r w:rsidR="00E3118E" w:rsidRPr="00043B8D">
        <w:t>sprak het Hof van Beroep zich uit over deze bevoegdheid: de bevoegdheid om over de historische saldi te beslissen komt toe aan de VREG, evenals over de bestemming van die saldi.</w:t>
      </w:r>
      <w:r w:rsidR="00C35968" w:rsidRPr="00043B8D">
        <w:t xml:space="preserve"> Het Hof heeft zich ook uitgesproken over hoe de VREG over de saldi moet beslissen. Het Hof oordeelt dat de VREG de saldi moet vaststellen op basis van de achterliggende tariefmethodologie zoals die bestond bij het vaststellen van de tarieven.</w:t>
      </w:r>
    </w:p>
    <w:p w14:paraId="0547FD3E" w14:textId="712DD467" w:rsidR="00E3118E" w:rsidRPr="00043B8D" w:rsidRDefault="00E3118E" w:rsidP="008379BA"/>
    <w:p w14:paraId="560207A4" w14:textId="4B94369F" w:rsidR="005232D5" w:rsidRPr="00043B8D" w:rsidRDefault="00C35968" w:rsidP="008379BA">
      <w:r w:rsidRPr="00043B8D">
        <w:t>D</w:t>
      </w:r>
      <w:r w:rsidR="00851E1F" w:rsidRPr="00043B8D">
        <w:t>e VREG</w:t>
      </w:r>
      <w:r w:rsidRPr="00043B8D">
        <w:t xml:space="preserve"> zal</w:t>
      </w:r>
      <w:r w:rsidR="00BB23BF" w:rsidRPr="00043B8D">
        <w:t xml:space="preserve"> nu</w:t>
      </w:r>
      <w:r w:rsidR="00851E1F" w:rsidRPr="00043B8D">
        <w:t xml:space="preserve">, in afwachting van de definitieve vaststelling en toewijzing van de saldi, een jaarlijks </w:t>
      </w:r>
      <w:r w:rsidR="001B1C78" w:rsidRPr="00043B8D">
        <w:t>bedrag</w:t>
      </w:r>
      <w:r w:rsidR="00851E1F" w:rsidRPr="00043B8D">
        <w:t xml:space="preserve"> in </w:t>
      </w:r>
      <w:r w:rsidR="009A3128" w:rsidRPr="00043B8D">
        <w:t xml:space="preserve">het toegelaten inkomen </w:t>
      </w:r>
      <w:r w:rsidR="00D506B4" w:rsidRPr="00043B8D">
        <w:t xml:space="preserve">voor exogene kosten </w:t>
      </w:r>
      <w:r w:rsidR="009A3128" w:rsidRPr="00043B8D">
        <w:t xml:space="preserve">van de distributienetbeheerders </w:t>
      </w:r>
      <w:r w:rsidR="006C715B" w:rsidRPr="00043B8D">
        <w:t xml:space="preserve">opnemen, </w:t>
      </w:r>
      <w:r w:rsidR="009A3128" w:rsidRPr="00043B8D">
        <w:t xml:space="preserve">waarbij dit </w:t>
      </w:r>
      <w:r w:rsidR="001B1C78" w:rsidRPr="00043B8D">
        <w:t>bedrag</w:t>
      </w:r>
      <w:r w:rsidR="009A3128" w:rsidRPr="00043B8D">
        <w:t xml:space="preserve"> </w:t>
      </w:r>
      <w:r w:rsidR="00D506B4" w:rsidRPr="00043B8D">
        <w:t xml:space="preserve">per jaar </w:t>
      </w:r>
      <w:r w:rsidR="006C715B" w:rsidRPr="00043B8D">
        <w:t xml:space="preserve">gelijk </w:t>
      </w:r>
      <w:r w:rsidR="00727E38">
        <w:t xml:space="preserve">is </w:t>
      </w:r>
      <w:r w:rsidR="006C715B" w:rsidRPr="00043B8D">
        <w:t xml:space="preserve">aan </w:t>
      </w:r>
      <w:r w:rsidR="00ED2555" w:rsidRPr="00043B8D">
        <w:t>1/</w:t>
      </w:r>
      <w:r w:rsidR="00444E60" w:rsidRPr="00043B8D">
        <w:t>5</w:t>
      </w:r>
      <w:r w:rsidR="00ED2555" w:rsidRPr="00043B8D">
        <w:t xml:space="preserve"> van </w:t>
      </w:r>
      <w:r w:rsidR="006C715B" w:rsidRPr="00043B8D">
        <w:t xml:space="preserve">de </w:t>
      </w:r>
      <w:r w:rsidR="00ED2555" w:rsidRPr="00043B8D">
        <w:t xml:space="preserve">door de </w:t>
      </w:r>
      <w:r w:rsidR="00DE5BE0" w:rsidRPr="00043B8D">
        <w:t xml:space="preserve">VREG </w:t>
      </w:r>
      <w:r w:rsidR="00ED2555" w:rsidRPr="00043B8D">
        <w:t xml:space="preserve">geschatte </w:t>
      </w:r>
      <w:r w:rsidR="00D506B4" w:rsidRPr="00043B8D">
        <w:t xml:space="preserve">totale </w:t>
      </w:r>
      <w:r w:rsidR="00ED2555" w:rsidRPr="00043B8D">
        <w:t xml:space="preserve">waarde van </w:t>
      </w:r>
      <w:r w:rsidR="00DE5BE0" w:rsidRPr="00043B8D">
        <w:t xml:space="preserve">de </w:t>
      </w:r>
      <w:r w:rsidR="00ED2555" w:rsidRPr="00043B8D">
        <w:t>regulatoire acti</w:t>
      </w:r>
      <w:r w:rsidR="00DE5BE0" w:rsidRPr="00043B8D">
        <w:t>va</w:t>
      </w:r>
      <w:r w:rsidR="00ED2555" w:rsidRPr="00043B8D">
        <w:t xml:space="preserve"> en passi</w:t>
      </w:r>
      <w:r w:rsidR="00DE5BE0" w:rsidRPr="00043B8D">
        <w:t>va</w:t>
      </w:r>
      <w:r w:rsidR="00627B91" w:rsidRPr="00043B8D">
        <w:t xml:space="preserve">, </w:t>
      </w:r>
      <w:r w:rsidR="00727E38" w:rsidRPr="00727E38">
        <w:t>gelijk aan de boekhoudkundige waarden zoals ze door de distributienetbeheerders werden gerapporteerd aan de CREG, VREG en</w:t>
      </w:r>
      <w:r w:rsidR="005155A5">
        <w:t xml:space="preserve"> CWaPE</w:t>
      </w:r>
      <w:r w:rsidR="005155A5">
        <w:rPr>
          <w:rStyle w:val="Voetnootmarkering"/>
        </w:rPr>
        <w:footnoteReference w:id="35"/>
      </w:r>
      <w:r w:rsidR="00727E38" w:rsidRPr="00727E38">
        <w:t xml:space="preserve">, opgebouwd </w:t>
      </w:r>
      <w:r w:rsidR="004F6B18">
        <w:t>in de exploitatiejaren</w:t>
      </w:r>
      <w:r w:rsidR="00727E38" w:rsidRPr="00727E38">
        <w:t xml:space="preserve"> 2010 t.e.m. 2014</w:t>
      </w:r>
      <w:r w:rsidR="00ED2555" w:rsidRPr="00043B8D">
        <w:t>.</w:t>
      </w:r>
      <w:r w:rsidR="001B1C78" w:rsidRPr="00043B8D">
        <w:t xml:space="preserve"> Deze werkwijze laat toe om </w:t>
      </w:r>
      <w:r w:rsidR="00836DB9" w:rsidRPr="00043B8D">
        <w:t xml:space="preserve">reeds </w:t>
      </w:r>
      <w:r w:rsidR="001B1C78" w:rsidRPr="00043B8D">
        <w:t xml:space="preserve">aan te vangen met de afbouw van de historisch opgebouwde tekorten </w:t>
      </w:r>
      <w:r w:rsidR="00034641" w:rsidRPr="00043B8D">
        <w:t xml:space="preserve">(vnl. </w:t>
      </w:r>
      <w:r w:rsidR="001B1C78" w:rsidRPr="00043B8D">
        <w:t>bij elektriciteit</w:t>
      </w:r>
      <w:r w:rsidR="00034641" w:rsidRPr="00043B8D">
        <w:t>)</w:t>
      </w:r>
      <w:r w:rsidR="001B1C78" w:rsidRPr="00043B8D">
        <w:t xml:space="preserve"> en overschotten </w:t>
      </w:r>
      <w:r w:rsidR="00034641" w:rsidRPr="00043B8D">
        <w:t xml:space="preserve">(vnl. </w:t>
      </w:r>
      <w:r w:rsidR="001B1C78" w:rsidRPr="00043B8D">
        <w:t>bij aardgas</w:t>
      </w:r>
      <w:r w:rsidR="00034641" w:rsidRPr="00043B8D">
        <w:t>)</w:t>
      </w:r>
      <w:r w:rsidR="001B1C78" w:rsidRPr="00043B8D">
        <w:t>.</w:t>
      </w:r>
      <w:r w:rsidR="006C715B" w:rsidRPr="00043B8D">
        <w:t xml:space="preserve"> </w:t>
      </w:r>
      <w:r w:rsidR="00CE1694">
        <w:t>De VREG heeft aldus de intentie d</w:t>
      </w:r>
      <w:r w:rsidR="00E12037" w:rsidRPr="00043B8D">
        <w:t xml:space="preserve">e totale waarde </w:t>
      </w:r>
      <w:r w:rsidR="000D4E9F" w:rsidRPr="00043B8D">
        <w:t xml:space="preserve">ten snelste </w:t>
      </w:r>
      <w:r w:rsidR="00E12037" w:rsidRPr="00043B8D">
        <w:t xml:space="preserve">op </w:t>
      </w:r>
      <w:r w:rsidR="00444E60" w:rsidRPr="00043B8D">
        <w:t>vijf</w:t>
      </w:r>
      <w:r w:rsidR="00E12037" w:rsidRPr="00043B8D">
        <w:t xml:space="preserve"> jaar volledig </w:t>
      </w:r>
      <w:r w:rsidR="00CE1694">
        <w:t xml:space="preserve">door te rekenen </w:t>
      </w:r>
      <w:r w:rsidR="00E12037" w:rsidRPr="00043B8D">
        <w:t xml:space="preserve">in de </w:t>
      </w:r>
      <w:r w:rsidR="00537775" w:rsidRPr="00043B8D">
        <w:t xml:space="preserve">periodieke </w:t>
      </w:r>
      <w:r w:rsidR="00E12037" w:rsidRPr="00043B8D">
        <w:t>nettarieven.</w:t>
      </w:r>
      <w:r w:rsidR="0008204A" w:rsidRPr="00043B8D">
        <w:t xml:space="preserve"> </w:t>
      </w:r>
      <w:r w:rsidRPr="00043B8D">
        <w:t xml:space="preserve">De eerste doorrekening gebeurt via de </w:t>
      </w:r>
      <w:r w:rsidR="00EA38D8" w:rsidRPr="00043B8D">
        <w:t xml:space="preserve">transmissie- en </w:t>
      </w:r>
      <w:r w:rsidRPr="00043B8D">
        <w:t xml:space="preserve">distributienettarieven van 2016. </w:t>
      </w:r>
    </w:p>
    <w:p w14:paraId="5B534BC3" w14:textId="77777777" w:rsidR="00341C0A" w:rsidRPr="00043B8D" w:rsidRDefault="00341C0A" w:rsidP="008379BA"/>
    <w:p w14:paraId="258E6384" w14:textId="35D5D1E1" w:rsidR="00341C0A" w:rsidRPr="00043B8D" w:rsidRDefault="00341C0A" w:rsidP="008379BA">
      <w:r w:rsidRPr="00043B8D">
        <w:t xml:space="preserve">Door een start te nemen met de doorrekening van de </w:t>
      </w:r>
      <w:r w:rsidR="001E7194" w:rsidRPr="00043B8D">
        <w:t>regulatoire activa en passiva ontstaan uit de boekjaren 2010 t.e.m. 2014</w:t>
      </w:r>
      <w:r w:rsidRPr="00043B8D">
        <w:t xml:space="preserve">, op basis van </w:t>
      </w:r>
      <w:r w:rsidR="001E7194" w:rsidRPr="00043B8D">
        <w:t xml:space="preserve">door de VREG </w:t>
      </w:r>
      <w:r w:rsidRPr="00043B8D">
        <w:t>geschatte waarden, wordt een verder uitstel van de doorre</w:t>
      </w:r>
      <w:r w:rsidR="001E7194" w:rsidRPr="00043B8D">
        <w:t>kening in de tarieven van deze regulatoire activa en passiva</w:t>
      </w:r>
      <w:r w:rsidRPr="00043B8D">
        <w:t xml:space="preserve">, en daaraan gekoppelde ongewenste effecten zoals het oplopen van financieringskosten, vermeden. De VREG acht dit noodzakelijk in het kader van de beginselen van behoorlijk bestuur. Het zou getuigen van onbehoorlijk bestuur om </w:t>
      </w:r>
      <w:r w:rsidR="001E7194" w:rsidRPr="00043B8D">
        <w:t xml:space="preserve">deze regulatoire activa en passiva </w:t>
      </w:r>
      <w:r w:rsidRPr="00043B8D">
        <w:t>nog verder mee te dragen/door te schuiven naar komende jaren.</w:t>
      </w:r>
    </w:p>
    <w:p w14:paraId="15A0D32A" w14:textId="77777777" w:rsidR="005232D5" w:rsidRPr="00043B8D" w:rsidRDefault="005232D5" w:rsidP="008379BA"/>
    <w:p w14:paraId="64AD4AF2" w14:textId="3C494154" w:rsidR="005232D5" w:rsidRPr="00043B8D" w:rsidRDefault="005232D5" w:rsidP="005232D5">
      <w:r w:rsidRPr="00043B8D">
        <w:t>Uit de voorlopige doorrekening zullen geenszins rechten kunnen worden geput voor wat de definitieve hoogte en de toewijzing van de historische saldi betreft. De voorlopige doorrekening doet geen afbreuk aan de tarifaire bevoegdheid van de VREG, en houdt niet in dat hetgeen als voorschot al voorlopig doorgerekend is, verworven is door de distributienetbeheerder, en omgekeerd.</w:t>
      </w:r>
    </w:p>
    <w:p w14:paraId="17425419" w14:textId="77777777" w:rsidR="00C35968" w:rsidRPr="00043B8D" w:rsidRDefault="00C35968" w:rsidP="008379BA"/>
    <w:p w14:paraId="2ED3A86A" w14:textId="7ED746F0" w:rsidR="00AF6C74" w:rsidRPr="00043B8D" w:rsidRDefault="00EB2238" w:rsidP="008379BA">
      <w:r w:rsidRPr="00043B8D">
        <w:t>Wanneer</w:t>
      </w:r>
      <w:r w:rsidR="0008204A" w:rsidRPr="00043B8D">
        <w:t xml:space="preserve"> de VREG</w:t>
      </w:r>
      <w:r w:rsidR="00DE5BE0" w:rsidRPr="00043B8D">
        <w:t xml:space="preserve"> </w:t>
      </w:r>
      <w:r w:rsidR="0008204A" w:rsidRPr="00043B8D">
        <w:t xml:space="preserve">voor een distributienetbeheerder </w:t>
      </w:r>
      <w:r w:rsidRPr="00043B8D">
        <w:t>het</w:t>
      </w:r>
      <w:r w:rsidR="0008204A" w:rsidRPr="00043B8D">
        <w:t xml:space="preserve"> exploitatie</w:t>
      </w:r>
      <w:r w:rsidR="00DE5BE0" w:rsidRPr="00043B8D">
        <w:t>sald</w:t>
      </w:r>
      <w:r w:rsidR="0008204A" w:rsidRPr="00043B8D">
        <w:t>o</w:t>
      </w:r>
      <w:r w:rsidR="00DE5BE0" w:rsidRPr="00043B8D">
        <w:t xml:space="preserve"> 2010-2014 definitief </w:t>
      </w:r>
      <w:r w:rsidR="0008204A" w:rsidRPr="00043B8D">
        <w:t xml:space="preserve">heeft </w:t>
      </w:r>
      <w:r w:rsidR="00DE5BE0" w:rsidRPr="00043B8D">
        <w:t xml:space="preserve">vastgesteld, </w:t>
      </w:r>
      <w:r w:rsidR="0008204A" w:rsidRPr="00043B8D">
        <w:t xml:space="preserve">zal </w:t>
      </w:r>
      <w:r w:rsidRPr="00043B8D">
        <w:t xml:space="preserve">hij </w:t>
      </w:r>
      <w:r w:rsidR="0008204A" w:rsidRPr="00043B8D">
        <w:t xml:space="preserve">het verschil met </w:t>
      </w:r>
      <w:r w:rsidRPr="00043B8D">
        <w:t>de geactualiseerde</w:t>
      </w:r>
      <w:r w:rsidRPr="00043B8D">
        <w:rPr>
          <w:rStyle w:val="Voetnootmarkering"/>
        </w:rPr>
        <w:footnoteReference w:id="36"/>
      </w:r>
      <w:r w:rsidRPr="00043B8D">
        <w:t xml:space="preserve"> waarde van </w:t>
      </w:r>
      <w:r w:rsidR="0008204A" w:rsidRPr="00043B8D">
        <w:t>het</w:t>
      </w:r>
      <w:r w:rsidR="00405A2B" w:rsidRPr="00043B8D">
        <w:t xml:space="preserve"> door </w:t>
      </w:r>
      <w:r w:rsidRPr="00043B8D">
        <w:t xml:space="preserve">de distributienetbeheerder </w:t>
      </w:r>
      <w:r w:rsidR="005859F2" w:rsidRPr="00043B8D">
        <w:t xml:space="preserve">reeds </w:t>
      </w:r>
      <w:r w:rsidR="0008204A" w:rsidRPr="00043B8D">
        <w:t xml:space="preserve">ontvangen </w:t>
      </w:r>
      <w:r w:rsidR="005859F2" w:rsidRPr="00043B8D">
        <w:t xml:space="preserve">bedrag </w:t>
      </w:r>
      <w:r w:rsidR="00E929DA" w:rsidRPr="00043B8D">
        <w:t xml:space="preserve">uit zijn </w:t>
      </w:r>
      <w:r w:rsidR="00EA38D8" w:rsidRPr="00043B8D">
        <w:t>transmissie- en distributienettarieven</w:t>
      </w:r>
      <w:r w:rsidR="00E929DA" w:rsidRPr="00043B8D">
        <w:t xml:space="preserve"> </w:t>
      </w:r>
      <w:r w:rsidRPr="00043B8D">
        <w:t xml:space="preserve">voor dit saldo, </w:t>
      </w:r>
      <w:r w:rsidR="0008204A" w:rsidRPr="00043B8D">
        <w:t>verreken</w:t>
      </w:r>
      <w:r w:rsidRPr="00043B8D">
        <w:t xml:space="preserve">en in zijn toegelaten inkomen uit </w:t>
      </w:r>
      <w:r w:rsidR="00EA38D8" w:rsidRPr="00043B8D">
        <w:t>transmissie- en distributienettarieven</w:t>
      </w:r>
      <w:r w:rsidR="0008204A" w:rsidRPr="00043B8D">
        <w:t>.</w:t>
      </w:r>
    </w:p>
    <w:p w14:paraId="4A2C298F" w14:textId="77777777" w:rsidR="00E15256" w:rsidRPr="00043B8D" w:rsidRDefault="00E15256" w:rsidP="008379BA"/>
    <w:p w14:paraId="5F3EBB5A" w14:textId="4C5CAEE5" w:rsidR="004C2359" w:rsidRPr="00043B8D" w:rsidRDefault="004C2359" w:rsidP="008379BA">
      <w:r w:rsidRPr="00043B8D">
        <w:t>Wat de wijze van vaststelling van de saldi voor 2010-2014 betreft, zal de VREG</w:t>
      </w:r>
      <w:r w:rsidR="00341C0A" w:rsidRPr="00043B8D">
        <w:t xml:space="preserve"> </w:t>
      </w:r>
      <w:r w:rsidR="003E342B" w:rsidRPr="00043B8D">
        <w:t>de waarden van de saldi dienen</w:t>
      </w:r>
      <w:r w:rsidR="00341C0A" w:rsidRPr="00043B8D">
        <w:t xml:space="preserve"> </w:t>
      </w:r>
      <w:r w:rsidR="003E342B" w:rsidRPr="00043B8D">
        <w:t>te bepalen door</w:t>
      </w:r>
      <w:r w:rsidR="003E14D9" w:rsidRPr="00043B8D">
        <w:t xml:space="preserve"> volgende afwijkingen</w:t>
      </w:r>
      <w:r w:rsidR="003E342B" w:rsidRPr="00043B8D">
        <w:t xml:space="preserve"> te berekenen</w:t>
      </w:r>
      <w:r w:rsidR="00A430D8" w:rsidRPr="00043B8D">
        <w:t>, waarbij het onderscheid tussen de beheersbare- en niet-beheersbare kosten alsook de indexeringsformule bepaald zal worden conform de opgeheven</w:t>
      </w:r>
      <w:r w:rsidR="00341C0A" w:rsidRPr="00043B8D">
        <w:t xml:space="preserve"> </w:t>
      </w:r>
      <w:r w:rsidR="00A430D8" w:rsidRPr="00043B8D">
        <w:t>tarieven KB’s 2008</w:t>
      </w:r>
      <w:r w:rsidR="003E342B" w:rsidRPr="00043B8D">
        <w:t>:</w:t>
      </w:r>
      <w:r w:rsidR="00CE7E2F" w:rsidRPr="00043B8D">
        <w:t>]</w:t>
      </w:r>
      <w:r w:rsidR="00CE7E2F" w:rsidRPr="00043B8D">
        <w:rPr>
          <w:rStyle w:val="Voetnootmarkering"/>
        </w:rPr>
        <w:footnoteReference w:id="37"/>
      </w:r>
      <w:r w:rsidR="003E342B" w:rsidRPr="00043B8D">
        <w:t xml:space="preserve"> </w:t>
      </w:r>
    </w:p>
    <w:p w14:paraId="1BEEDC54" w14:textId="11B8E45F" w:rsidR="003E342B" w:rsidRPr="00043B8D" w:rsidRDefault="003E342B" w:rsidP="005251E2">
      <w:pPr>
        <w:pStyle w:val="Lijstalinea"/>
        <w:numPr>
          <w:ilvl w:val="0"/>
          <w:numId w:val="26"/>
        </w:numPr>
      </w:pPr>
      <w:r w:rsidRPr="00043B8D">
        <w:t>Het saldo door afwijking van de niet-beheersbare kostelementen: deze heeft betrekking op het verschil tussen de realiteit en het</w:t>
      </w:r>
      <w:r w:rsidR="00A430D8" w:rsidRPr="00043B8D">
        <w:t xml:space="preserve"> door de CREG</w:t>
      </w:r>
      <w:r w:rsidRPr="00043B8D">
        <w:t xml:space="preserve"> goedgekeurde budget van de</w:t>
      </w:r>
      <w:r w:rsidR="003E14D9" w:rsidRPr="00043B8D">
        <w:t xml:space="preserve"> niet-beheersbare kosten in de te beschouwen</w:t>
      </w:r>
      <w:r w:rsidRPr="00043B8D">
        <w:t xml:space="preserve"> periode;</w:t>
      </w:r>
    </w:p>
    <w:p w14:paraId="11272A71" w14:textId="1328330F" w:rsidR="003E342B" w:rsidRPr="00043B8D" w:rsidRDefault="003E342B" w:rsidP="005251E2">
      <w:pPr>
        <w:pStyle w:val="Lijstalinea"/>
        <w:numPr>
          <w:ilvl w:val="0"/>
          <w:numId w:val="26"/>
        </w:numPr>
      </w:pPr>
      <w:r w:rsidRPr="00043B8D">
        <w:t>Het saldo door afwijking tussen gebudgetteerde en werkelijke opbrengsten: deze heeft betrekking op de volumeverschillen</w:t>
      </w:r>
      <w:r w:rsidR="003E14D9" w:rsidRPr="00043B8D">
        <w:t xml:space="preserve"> in de te beschouwen periode</w:t>
      </w:r>
      <w:r w:rsidRPr="00043B8D">
        <w:t>;</w:t>
      </w:r>
    </w:p>
    <w:p w14:paraId="3FDE673E" w14:textId="7CC8F1FD" w:rsidR="00DA7B2C" w:rsidRPr="00043B8D" w:rsidRDefault="003E342B" w:rsidP="005251E2">
      <w:pPr>
        <w:pStyle w:val="Lijstalinea"/>
        <w:numPr>
          <w:ilvl w:val="0"/>
          <w:numId w:val="26"/>
        </w:numPr>
      </w:pPr>
      <w:r w:rsidRPr="00043B8D">
        <w:t>Het saldo door afwijking van de beheersbare kostelementen: deze heeft</w:t>
      </w:r>
      <w:r w:rsidR="00DA7B2C" w:rsidRPr="00043B8D">
        <w:t xml:space="preserve"> zowel</w:t>
      </w:r>
      <w:r w:rsidRPr="00043B8D">
        <w:t xml:space="preserve"> betrekking op het verschil tussen de realiteit en het </w:t>
      </w:r>
      <w:r w:rsidR="00A430D8" w:rsidRPr="00043B8D">
        <w:t xml:space="preserve">door de CREG </w:t>
      </w:r>
      <w:r w:rsidRPr="00043B8D">
        <w:t xml:space="preserve">goedgekeurde budget van de beheersbare kosten in de </w:t>
      </w:r>
      <w:r w:rsidR="003E14D9" w:rsidRPr="00043B8D">
        <w:t xml:space="preserve">te beschouwen </w:t>
      </w:r>
      <w:r w:rsidR="00DA7B2C" w:rsidRPr="00043B8D">
        <w:t>periode</w:t>
      </w:r>
      <w:r w:rsidR="003E14D9" w:rsidRPr="00043B8D">
        <w:t>,</w:t>
      </w:r>
      <w:r w:rsidR="00DA7B2C" w:rsidRPr="00043B8D">
        <w:t xml:space="preserve"> als het verschil door toepassing van de indexeringsformule op het</w:t>
      </w:r>
      <w:r w:rsidR="00A430D8" w:rsidRPr="00043B8D">
        <w:t xml:space="preserve"> door de CREG</w:t>
      </w:r>
      <w:r w:rsidR="00DA7B2C" w:rsidRPr="00043B8D">
        <w:t xml:space="preserve"> goedgekeurde budget van de beheersbare kosten in de </w:t>
      </w:r>
      <w:r w:rsidR="003E14D9" w:rsidRPr="00043B8D">
        <w:t>te beschouwen periode</w:t>
      </w:r>
      <w:r w:rsidR="00DA7B2C" w:rsidRPr="00043B8D">
        <w:t>.</w:t>
      </w:r>
    </w:p>
    <w:p w14:paraId="1C00F2FC" w14:textId="76106CF5" w:rsidR="008379BA" w:rsidRPr="00043B8D" w:rsidRDefault="00A430D8" w:rsidP="00DA7B2C">
      <w:pPr>
        <w:pStyle w:val="Lijstalinea"/>
        <w:ind w:left="0"/>
      </w:pPr>
      <w:r w:rsidRPr="00043B8D">
        <w:t>Verder behoudt de VREG zich hierbij</w:t>
      </w:r>
      <w:r w:rsidR="00DA7B2C" w:rsidRPr="00043B8D">
        <w:t xml:space="preserve"> het recht voor om alle posten aan een grondig onderzoek inzake hun rechtvaardiging en realiteit te onderwerpen.</w:t>
      </w:r>
    </w:p>
    <w:p w14:paraId="36F4BF0E" w14:textId="77777777" w:rsidR="00DA7B2C" w:rsidRPr="00043B8D" w:rsidRDefault="00DA7B2C" w:rsidP="00DA7B2C">
      <w:pPr>
        <w:pStyle w:val="Lijstalinea"/>
        <w:ind w:left="0"/>
      </w:pPr>
    </w:p>
    <w:p w14:paraId="6B766C09" w14:textId="77777777" w:rsidR="004C68A4" w:rsidRPr="00043B8D" w:rsidRDefault="004C68A4" w:rsidP="005251E2">
      <w:pPr>
        <w:pStyle w:val="Kop2"/>
        <w:numPr>
          <w:ilvl w:val="1"/>
          <w:numId w:val="24"/>
        </w:numPr>
        <w:ind w:hanging="644"/>
      </w:pPr>
      <w:bookmarkStart w:id="353" w:name="_Ref390156197"/>
      <w:bookmarkStart w:id="354" w:name="_Toc454186675"/>
      <w:r w:rsidRPr="00043B8D">
        <w:t>Bepaling van het toegelaten inkomen</w:t>
      </w:r>
      <w:bookmarkEnd w:id="353"/>
      <w:bookmarkEnd w:id="354"/>
    </w:p>
    <w:p w14:paraId="391B81D7" w14:textId="77777777" w:rsidR="00F63258" w:rsidRPr="00043B8D" w:rsidRDefault="00F63258" w:rsidP="00D83F19">
      <w:pPr>
        <w:tabs>
          <w:tab w:val="left" w:pos="1418"/>
          <w:tab w:val="left" w:pos="2835"/>
        </w:tabs>
      </w:pPr>
    </w:p>
    <w:p w14:paraId="6F50F696" w14:textId="1CD0730D" w:rsidR="004C68A4" w:rsidRPr="00043B8D" w:rsidRDefault="00F21FE6" w:rsidP="00D83F19">
      <w:pPr>
        <w:tabs>
          <w:tab w:val="left" w:pos="1418"/>
          <w:tab w:val="left" w:pos="2835"/>
        </w:tabs>
      </w:pPr>
      <w:r w:rsidRPr="00043B8D">
        <w:t xml:space="preserve">Zoals </w:t>
      </w:r>
      <w:r w:rsidR="00F656AE" w:rsidRPr="00043B8D">
        <w:t xml:space="preserve">reeds vermeld, </w:t>
      </w:r>
      <w:r w:rsidRPr="00043B8D">
        <w:t xml:space="preserve">wordt het </w:t>
      </w:r>
      <w:r w:rsidR="00FE63F0" w:rsidRPr="00043B8D">
        <w:t xml:space="preserve">totale </w:t>
      </w:r>
      <w:r w:rsidRPr="00043B8D">
        <w:t>toegelaten inkomen</w:t>
      </w:r>
      <w:r w:rsidR="0034546E" w:rsidRPr="00043B8D">
        <w:t xml:space="preserve"> uit periodieke distributienettarieven van een distributienetbeheerder </w:t>
      </w:r>
      <w:r w:rsidRPr="00043B8D">
        <w:t xml:space="preserve">opgebouwd </w:t>
      </w:r>
      <w:r w:rsidR="00F656AE" w:rsidRPr="00043B8D">
        <w:t xml:space="preserve">uit </w:t>
      </w:r>
      <w:r w:rsidRPr="00043B8D">
        <w:t xml:space="preserve">een </w:t>
      </w:r>
      <w:r w:rsidR="00FE63F0" w:rsidRPr="00043B8D">
        <w:t xml:space="preserve">gedeelte </w:t>
      </w:r>
      <w:r w:rsidR="00BB05DF" w:rsidRPr="00043B8D">
        <w:t>toegelaten inkom</w:t>
      </w:r>
      <w:r w:rsidR="0034546E" w:rsidRPr="00043B8D">
        <w:t xml:space="preserve">en </w:t>
      </w:r>
      <w:r w:rsidR="00FE63F0" w:rsidRPr="00043B8D">
        <w:t>voor</w:t>
      </w:r>
      <w:r w:rsidRPr="00043B8D">
        <w:t xml:space="preserve"> exogene kosten en </w:t>
      </w:r>
      <w:r w:rsidR="00F656AE" w:rsidRPr="00043B8D">
        <w:t xml:space="preserve">een </w:t>
      </w:r>
      <w:r w:rsidR="00FE63F0" w:rsidRPr="00043B8D">
        <w:t>gedeelte</w:t>
      </w:r>
      <w:r w:rsidRPr="00043B8D">
        <w:t xml:space="preserve"> </w:t>
      </w:r>
      <w:r w:rsidR="00BB05DF" w:rsidRPr="00043B8D">
        <w:t xml:space="preserve">toegelaten </w:t>
      </w:r>
      <w:r w:rsidR="0034546E" w:rsidRPr="00043B8D">
        <w:t xml:space="preserve">inkomen </w:t>
      </w:r>
      <w:r w:rsidRPr="00043B8D">
        <w:t xml:space="preserve">voor niet-exogene kosten. In het volgende </w:t>
      </w:r>
      <w:r w:rsidR="0034546E" w:rsidRPr="00043B8D">
        <w:t xml:space="preserve">wordt toegelicht </w:t>
      </w:r>
      <w:r w:rsidRPr="00043B8D">
        <w:t xml:space="preserve">op welke </w:t>
      </w:r>
      <w:r w:rsidR="00F656AE" w:rsidRPr="00043B8D">
        <w:t xml:space="preserve">wijze </w:t>
      </w:r>
      <w:r w:rsidR="0034546E" w:rsidRPr="00043B8D">
        <w:t xml:space="preserve">de </w:t>
      </w:r>
      <w:r w:rsidR="00F656AE" w:rsidRPr="00043B8D">
        <w:t>hoogte van de</w:t>
      </w:r>
      <w:r w:rsidR="00D2619A" w:rsidRPr="00043B8D">
        <w:t>ze</w:t>
      </w:r>
      <w:r w:rsidR="00F656AE" w:rsidRPr="00043B8D">
        <w:t xml:space="preserve"> </w:t>
      </w:r>
      <w:r w:rsidRPr="00043B8D">
        <w:t>inkomens worden bepaald.</w:t>
      </w:r>
    </w:p>
    <w:p w14:paraId="1010BE66" w14:textId="77777777" w:rsidR="0034546E" w:rsidRPr="00043B8D" w:rsidRDefault="0034546E" w:rsidP="00D83F19">
      <w:pPr>
        <w:tabs>
          <w:tab w:val="left" w:pos="1418"/>
          <w:tab w:val="left" w:pos="2835"/>
        </w:tabs>
      </w:pPr>
    </w:p>
    <w:p w14:paraId="6D6503BA" w14:textId="6DA6149F" w:rsidR="004C68A4" w:rsidRPr="00043B8D" w:rsidRDefault="00B24BD1" w:rsidP="005251E2">
      <w:pPr>
        <w:pStyle w:val="Kop2"/>
        <w:numPr>
          <w:ilvl w:val="2"/>
          <w:numId w:val="24"/>
        </w:numPr>
        <w:ind w:left="993" w:hanging="993"/>
        <w:rPr>
          <w:i/>
          <w:sz w:val="22"/>
          <w:szCs w:val="22"/>
        </w:rPr>
      </w:pPr>
      <w:bookmarkStart w:id="355" w:name="_Toc454186676"/>
      <w:r w:rsidRPr="00043B8D">
        <w:rPr>
          <w:i/>
          <w:sz w:val="22"/>
          <w:szCs w:val="22"/>
        </w:rPr>
        <w:t xml:space="preserve">Budget </w:t>
      </w:r>
      <w:r w:rsidR="00037EE9" w:rsidRPr="00043B8D">
        <w:rPr>
          <w:i/>
          <w:sz w:val="22"/>
          <w:szCs w:val="22"/>
        </w:rPr>
        <w:t>e</w:t>
      </w:r>
      <w:r w:rsidR="004C68A4" w:rsidRPr="00043B8D">
        <w:rPr>
          <w:i/>
          <w:sz w:val="22"/>
          <w:szCs w:val="22"/>
        </w:rPr>
        <w:t>xogene kosten</w:t>
      </w:r>
      <w:bookmarkEnd w:id="355"/>
    </w:p>
    <w:p w14:paraId="574CEB02" w14:textId="77777777" w:rsidR="004C68A4" w:rsidRPr="00043B8D" w:rsidRDefault="004C68A4" w:rsidP="00D83F19">
      <w:pPr>
        <w:tabs>
          <w:tab w:val="left" w:pos="1418"/>
          <w:tab w:val="left" w:pos="2835"/>
        </w:tabs>
      </w:pPr>
    </w:p>
    <w:p w14:paraId="3CE0900E" w14:textId="7FE33505" w:rsidR="009D70D4" w:rsidRPr="00043B8D" w:rsidRDefault="009D70D4" w:rsidP="004E5D72">
      <w:pPr>
        <w:tabs>
          <w:tab w:val="left" w:pos="1418"/>
          <w:tab w:val="left" w:pos="2835"/>
        </w:tabs>
      </w:pPr>
      <w:r w:rsidRPr="00043B8D">
        <w:t xml:space="preserve">Voor </w:t>
      </w:r>
      <w:r w:rsidR="00FE48A8" w:rsidRPr="00043B8D">
        <w:t xml:space="preserve">wat betreft </w:t>
      </w:r>
      <w:r w:rsidRPr="00043B8D">
        <w:t xml:space="preserve">de exogene kosten wordt jaarlijks een voorstel van budget ingediend </w:t>
      </w:r>
      <w:r w:rsidR="00FE48A8" w:rsidRPr="00043B8D">
        <w:t xml:space="preserve">door de distributienetbeheerder </w:t>
      </w:r>
      <w:r w:rsidR="00736654" w:rsidRPr="00043B8D">
        <w:t xml:space="preserve">bij de VREG </w:t>
      </w:r>
      <w:r w:rsidRPr="00043B8D">
        <w:t xml:space="preserve">op basis waarvan de VREG de toegelaten inkomsten voor exogene kosten voor het </w:t>
      </w:r>
      <w:r w:rsidR="004E5D72" w:rsidRPr="00043B8D">
        <w:t>volgende jaar zal bepalen.</w:t>
      </w:r>
    </w:p>
    <w:p w14:paraId="0E034B3F" w14:textId="77777777" w:rsidR="004E5D72" w:rsidRPr="00043B8D" w:rsidRDefault="004E5D72" w:rsidP="004E5D72">
      <w:pPr>
        <w:tabs>
          <w:tab w:val="left" w:pos="1418"/>
          <w:tab w:val="left" w:pos="2835"/>
        </w:tabs>
      </w:pPr>
    </w:p>
    <w:p w14:paraId="2F6A616A" w14:textId="40B68D86" w:rsidR="00F21FE6" w:rsidRPr="00043B8D" w:rsidRDefault="009D70D4" w:rsidP="009D70D4">
      <w:pPr>
        <w:pStyle w:val="Lijstalinea"/>
        <w:tabs>
          <w:tab w:val="left" w:pos="1418"/>
          <w:tab w:val="left" w:pos="2835"/>
        </w:tabs>
        <w:ind w:left="0"/>
      </w:pPr>
      <w:r w:rsidRPr="00043B8D">
        <w:t xml:space="preserve">De distributienetbeheerder voegt bij indiening </w:t>
      </w:r>
      <w:r w:rsidR="00736654" w:rsidRPr="00043B8D">
        <w:t xml:space="preserve">van het budget </w:t>
      </w:r>
      <w:r w:rsidRPr="00043B8D">
        <w:t>een verantwoording toe.</w:t>
      </w:r>
      <w:r w:rsidR="00F21FE6" w:rsidRPr="00043B8D">
        <w:t xml:space="preserve"> Voor meer </w:t>
      </w:r>
      <w:r w:rsidR="0061793A" w:rsidRPr="00043B8D">
        <w:t>informatie</w:t>
      </w:r>
      <w:r w:rsidR="00F6290F" w:rsidRPr="00043B8D">
        <w:t xml:space="preserve"> omtrent de te </w:t>
      </w:r>
      <w:r w:rsidR="00FE63F0" w:rsidRPr="00043B8D">
        <w:t>budgetteren</w:t>
      </w:r>
      <w:r w:rsidR="00F6290F" w:rsidRPr="00043B8D">
        <w:t xml:space="preserve"> kostensoorten</w:t>
      </w:r>
      <w:r w:rsidR="0061793A" w:rsidRPr="00043B8D">
        <w:t xml:space="preserve"> en hun detail</w:t>
      </w:r>
      <w:r w:rsidR="00F21FE6" w:rsidRPr="00043B8D">
        <w:t xml:space="preserve"> </w:t>
      </w:r>
      <w:r w:rsidR="00736654" w:rsidRPr="00043B8D">
        <w:t>wordt verwezen</w:t>
      </w:r>
      <w:r w:rsidR="00F21FE6" w:rsidRPr="00043B8D">
        <w:t xml:space="preserve"> naar de invulinstructie</w:t>
      </w:r>
      <w:r w:rsidR="005D25AE" w:rsidRPr="00043B8D">
        <w:t xml:space="preserve"> (</w:t>
      </w:r>
      <w:r w:rsidR="009E386D" w:rsidRPr="00043B8D">
        <w:t>p</w:t>
      </w:r>
      <w:r w:rsidR="005D25AE" w:rsidRPr="00043B8D">
        <w:t>ar</w:t>
      </w:r>
      <w:r w:rsidR="009E386D" w:rsidRPr="00043B8D">
        <w:t>.</w:t>
      </w:r>
      <w:r w:rsidR="0061793A" w:rsidRPr="00043B8D">
        <w:t xml:space="preserve"> </w:t>
      </w:r>
      <w:r w:rsidR="0061793A" w:rsidRPr="00043B8D">
        <w:fldChar w:fldCharType="begin"/>
      </w:r>
      <w:r w:rsidR="0061793A" w:rsidRPr="00043B8D">
        <w:instrText xml:space="preserve"> REF _Ref392484043 \r \h </w:instrText>
      </w:r>
      <w:r w:rsidR="00043B8D">
        <w:instrText xml:space="preserve"> \* MERGEFORMAT </w:instrText>
      </w:r>
      <w:r w:rsidR="0061793A" w:rsidRPr="00043B8D">
        <w:fldChar w:fldCharType="separate"/>
      </w:r>
      <w:r w:rsidR="00B30F9B">
        <w:t>10.1</w:t>
      </w:r>
      <w:r w:rsidR="0061793A" w:rsidRPr="00043B8D">
        <w:fldChar w:fldCharType="end"/>
      </w:r>
      <w:r w:rsidR="009E386D" w:rsidRPr="00043B8D">
        <w:t>)</w:t>
      </w:r>
      <w:r w:rsidR="00F21FE6" w:rsidRPr="00043B8D">
        <w:t xml:space="preserve"> en het </w:t>
      </w:r>
      <w:r w:rsidR="00094175" w:rsidRPr="00043B8D">
        <w:t xml:space="preserve">bij deze tariefmethodologie horend </w:t>
      </w:r>
      <w:r w:rsidR="00F21FE6" w:rsidRPr="00043B8D">
        <w:t>rapporteringsmodel m.b.t. de exogene kosten.</w:t>
      </w:r>
    </w:p>
    <w:p w14:paraId="1F27FBD2" w14:textId="77777777" w:rsidR="00736654" w:rsidRPr="00043B8D" w:rsidRDefault="00736654" w:rsidP="00D83F19">
      <w:pPr>
        <w:tabs>
          <w:tab w:val="left" w:pos="1418"/>
          <w:tab w:val="left" w:pos="2835"/>
        </w:tabs>
      </w:pPr>
    </w:p>
    <w:p w14:paraId="5BF478BC" w14:textId="4D7AA281" w:rsidR="004C68A4" w:rsidRPr="00043B8D" w:rsidRDefault="00B24BD1" w:rsidP="005251E2">
      <w:pPr>
        <w:pStyle w:val="Kop2"/>
        <w:numPr>
          <w:ilvl w:val="2"/>
          <w:numId w:val="24"/>
        </w:numPr>
        <w:ind w:left="993" w:hanging="993"/>
        <w:rPr>
          <w:i/>
          <w:sz w:val="22"/>
          <w:szCs w:val="22"/>
        </w:rPr>
      </w:pPr>
      <w:bookmarkStart w:id="356" w:name="_Ref389818716"/>
      <w:bookmarkStart w:id="357" w:name="_Toc454186677"/>
      <w:r w:rsidRPr="00043B8D">
        <w:rPr>
          <w:i/>
          <w:sz w:val="22"/>
          <w:szCs w:val="22"/>
        </w:rPr>
        <w:t>Methode voor n</w:t>
      </w:r>
      <w:r w:rsidR="004C68A4" w:rsidRPr="00043B8D">
        <w:rPr>
          <w:i/>
          <w:sz w:val="22"/>
          <w:szCs w:val="22"/>
        </w:rPr>
        <w:t>iet-exogene kosten</w:t>
      </w:r>
      <w:bookmarkEnd w:id="356"/>
      <w:bookmarkEnd w:id="357"/>
    </w:p>
    <w:p w14:paraId="4CC8AF25" w14:textId="77777777" w:rsidR="004C68A4" w:rsidRPr="00043B8D" w:rsidRDefault="004C68A4" w:rsidP="00D83F19">
      <w:pPr>
        <w:tabs>
          <w:tab w:val="left" w:pos="1418"/>
          <w:tab w:val="left" w:pos="2835"/>
        </w:tabs>
      </w:pPr>
    </w:p>
    <w:p w14:paraId="2D87C9E8" w14:textId="77777777" w:rsidR="000676D7" w:rsidRPr="00043B8D" w:rsidRDefault="00FC62DA" w:rsidP="003E2378">
      <w:pPr>
        <w:tabs>
          <w:tab w:val="left" w:pos="1418"/>
          <w:tab w:val="left" w:pos="2835"/>
        </w:tabs>
      </w:pPr>
      <w:r w:rsidRPr="00043B8D">
        <w:t>D</w:t>
      </w:r>
      <w:r w:rsidR="003E2378" w:rsidRPr="00043B8D">
        <w:t xml:space="preserve">e niet-exogene kosten </w:t>
      </w:r>
      <w:r w:rsidR="00F6290F" w:rsidRPr="00043B8D">
        <w:t>zijn</w:t>
      </w:r>
      <w:r w:rsidR="0061793A" w:rsidRPr="00043B8D">
        <w:t>,</w:t>
      </w:r>
      <w:r w:rsidR="00F6290F" w:rsidRPr="00043B8D">
        <w:t xml:space="preserve"> </w:t>
      </w:r>
      <w:r w:rsidR="0099093C" w:rsidRPr="00043B8D">
        <w:t>zoals vermeld</w:t>
      </w:r>
      <w:r w:rsidR="0061793A" w:rsidRPr="00043B8D">
        <w:t>,</w:t>
      </w:r>
      <w:r w:rsidR="0099093C" w:rsidRPr="00043B8D">
        <w:t xml:space="preserve"> </w:t>
      </w:r>
      <w:r w:rsidR="00F6290F" w:rsidRPr="00043B8D">
        <w:t xml:space="preserve">onderhevig aan </w:t>
      </w:r>
      <w:r w:rsidR="003E2378" w:rsidRPr="00043B8D">
        <w:t xml:space="preserve">een bevorderende </w:t>
      </w:r>
      <w:r w:rsidR="001D2390" w:rsidRPr="00043B8D">
        <w:t>inkomsten</w:t>
      </w:r>
      <w:r w:rsidR="003E2378" w:rsidRPr="00043B8D">
        <w:t xml:space="preserve">regulering. </w:t>
      </w:r>
      <w:r w:rsidR="004D24FC" w:rsidRPr="00043B8D">
        <w:t xml:space="preserve">Daarbij is het belangrijk om </w:t>
      </w:r>
      <w:r w:rsidR="001D2390" w:rsidRPr="00043B8D">
        <w:t xml:space="preserve">de </w:t>
      </w:r>
      <w:r w:rsidR="003E2378" w:rsidRPr="00043B8D">
        <w:t xml:space="preserve">hoogte van </w:t>
      </w:r>
      <w:r w:rsidR="0099093C" w:rsidRPr="00043B8D">
        <w:t xml:space="preserve">het </w:t>
      </w:r>
      <w:r w:rsidR="001D2390" w:rsidRPr="00043B8D">
        <w:t xml:space="preserve">toegelaten </w:t>
      </w:r>
      <w:r w:rsidR="003E2378" w:rsidRPr="00043B8D">
        <w:t xml:space="preserve">inkomen </w:t>
      </w:r>
      <w:r w:rsidR="001D2390" w:rsidRPr="00043B8D">
        <w:t xml:space="preserve">voor </w:t>
      </w:r>
      <w:r w:rsidR="004D24FC" w:rsidRPr="00043B8D">
        <w:t xml:space="preserve">de </w:t>
      </w:r>
      <w:r w:rsidR="001D2390" w:rsidRPr="00043B8D">
        <w:t xml:space="preserve">niet-exogene kosten </w:t>
      </w:r>
      <w:r w:rsidR="003E2378" w:rsidRPr="00043B8D">
        <w:t xml:space="preserve">en de evolutie </w:t>
      </w:r>
      <w:r w:rsidR="004D24FC" w:rsidRPr="00043B8D">
        <w:t xml:space="preserve">ervan </w:t>
      </w:r>
      <w:r w:rsidR="003E2378" w:rsidRPr="00043B8D">
        <w:t>in de tijd op een transparante, niet-discriminatoire</w:t>
      </w:r>
      <w:r w:rsidR="0099093C" w:rsidRPr="00043B8D">
        <w:t xml:space="preserve">, </w:t>
      </w:r>
      <w:r w:rsidR="003E2378" w:rsidRPr="00043B8D">
        <w:t xml:space="preserve">stabiele </w:t>
      </w:r>
      <w:r w:rsidR="0099093C" w:rsidRPr="00043B8D">
        <w:t xml:space="preserve">en voorspelbare </w:t>
      </w:r>
      <w:r w:rsidR="003E2378" w:rsidRPr="00043B8D">
        <w:t>wijze te bepalen.</w:t>
      </w:r>
      <w:r w:rsidR="00D50C91" w:rsidRPr="00043B8D">
        <w:t xml:space="preserve"> </w:t>
      </w:r>
    </w:p>
    <w:p w14:paraId="01863CF1" w14:textId="77777777" w:rsidR="000676D7" w:rsidRPr="00043B8D" w:rsidRDefault="000676D7" w:rsidP="003E2378">
      <w:pPr>
        <w:tabs>
          <w:tab w:val="left" w:pos="1418"/>
          <w:tab w:val="left" w:pos="2835"/>
        </w:tabs>
      </w:pPr>
    </w:p>
    <w:p w14:paraId="49F3F908" w14:textId="2120F344" w:rsidR="003E2378" w:rsidRPr="00043B8D" w:rsidRDefault="00D50C91" w:rsidP="003E2378">
      <w:pPr>
        <w:tabs>
          <w:tab w:val="left" w:pos="1418"/>
          <w:tab w:val="left" w:pos="2835"/>
        </w:tabs>
      </w:pPr>
      <w:r w:rsidRPr="00043B8D">
        <w:t xml:space="preserve">De hieronder in par. </w:t>
      </w:r>
      <w:r w:rsidRPr="00043B8D">
        <w:fldChar w:fldCharType="begin"/>
      </w:r>
      <w:r w:rsidRPr="00043B8D">
        <w:instrText xml:space="preserve"> REF _Ref391626689 \r \h </w:instrText>
      </w:r>
      <w:r w:rsidR="00043B8D">
        <w:instrText xml:space="preserve"> \* MERGEFORMAT </w:instrText>
      </w:r>
      <w:r w:rsidRPr="00043B8D">
        <w:fldChar w:fldCharType="separate"/>
      </w:r>
      <w:r w:rsidR="00B30F9B">
        <w:t>5.6.2.1</w:t>
      </w:r>
      <w:r w:rsidRPr="00043B8D">
        <w:fldChar w:fldCharType="end"/>
      </w:r>
      <w:r w:rsidRPr="00043B8D">
        <w:t xml:space="preserve"> tot en met </w:t>
      </w:r>
      <w:r w:rsidRPr="00043B8D">
        <w:fldChar w:fldCharType="begin"/>
      </w:r>
      <w:r w:rsidRPr="00043B8D">
        <w:instrText xml:space="preserve"> REF _Ref390159932 \r \h </w:instrText>
      </w:r>
      <w:r w:rsidR="00043B8D">
        <w:instrText xml:space="preserve"> \* MERGEFORMAT </w:instrText>
      </w:r>
      <w:r w:rsidRPr="00043B8D">
        <w:fldChar w:fldCharType="separate"/>
      </w:r>
      <w:r w:rsidR="00B30F9B">
        <w:t>5.6.2.7</w:t>
      </w:r>
      <w:r w:rsidRPr="00043B8D">
        <w:fldChar w:fldCharType="end"/>
      </w:r>
      <w:r w:rsidRPr="00043B8D">
        <w:t xml:space="preserve"> vermelde inkomsten en kosten hebben dus betrekking op </w:t>
      </w:r>
      <w:r w:rsidR="0061793A" w:rsidRPr="00043B8D">
        <w:t xml:space="preserve">de </w:t>
      </w:r>
      <w:r w:rsidRPr="00043B8D">
        <w:t>niet-exogene kosten.</w:t>
      </w:r>
    </w:p>
    <w:p w14:paraId="2FA57289" w14:textId="77777777" w:rsidR="00342F7B" w:rsidRPr="00043B8D" w:rsidRDefault="00342F7B" w:rsidP="00D83F19">
      <w:pPr>
        <w:tabs>
          <w:tab w:val="left" w:pos="1418"/>
          <w:tab w:val="left" w:pos="2835"/>
        </w:tabs>
      </w:pPr>
    </w:p>
    <w:p w14:paraId="7927C84F" w14:textId="77777777" w:rsidR="00B24BD1" w:rsidRPr="00043B8D" w:rsidRDefault="000D2517" w:rsidP="005251E2">
      <w:pPr>
        <w:pStyle w:val="Kop2"/>
        <w:numPr>
          <w:ilvl w:val="3"/>
          <w:numId w:val="24"/>
        </w:numPr>
        <w:rPr>
          <w:i/>
          <w:sz w:val="22"/>
          <w:szCs w:val="22"/>
        </w:rPr>
      </w:pPr>
      <w:bookmarkStart w:id="358" w:name="_Ref391626689"/>
      <w:bookmarkStart w:id="359" w:name="_Toc454186678"/>
      <w:r w:rsidRPr="00043B8D">
        <w:rPr>
          <w:i/>
          <w:sz w:val="22"/>
          <w:szCs w:val="22"/>
        </w:rPr>
        <w:t>Werkwijze</w:t>
      </w:r>
      <w:r w:rsidR="00B24BD1" w:rsidRPr="00043B8D">
        <w:rPr>
          <w:i/>
          <w:sz w:val="22"/>
          <w:szCs w:val="22"/>
        </w:rPr>
        <w:t xml:space="preserve">: </w:t>
      </w:r>
      <w:r w:rsidR="00E6469B" w:rsidRPr="00043B8D">
        <w:rPr>
          <w:i/>
          <w:sz w:val="22"/>
          <w:szCs w:val="22"/>
        </w:rPr>
        <w:t xml:space="preserve">toekomstige inkomsten uit </w:t>
      </w:r>
      <w:r w:rsidR="00B24BD1" w:rsidRPr="00043B8D">
        <w:rPr>
          <w:i/>
          <w:sz w:val="22"/>
          <w:szCs w:val="22"/>
        </w:rPr>
        <w:t>historische kosten</w:t>
      </w:r>
      <w:bookmarkEnd w:id="358"/>
      <w:bookmarkEnd w:id="359"/>
    </w:p>
    <w:p w14:paraId="063C770A" w14:textId="77777777" w:rsidR="00B24BD1" w:rsidRPr="00043B8D" w:rsidRDefault="00B24BD1" w:rsidP="00D83F19">
      <w:pPr>
        <w:tabs>
          <w:tab w:val="left" w:pos="1418"/>
          <w:tab w:val="left" w:pos="2835"/>
        </w:tabs>
      </w:pPr>
    </w:p>
    <w:p w14:paraId="58AF6351" w14:textId="08214C4D" w:rsidR="003E2378" w:rsidRPr="00043B8D" w:rsidRDefault="00484474" w:rsidP="003E2378">
      <w:pPr>
        <w:tabs>
          <w:tab w:val="left" w:pos="1418"/>
          <w:tab w:val="left" w:pos="2835"/>
        </w:tabs>
      </w:pPr>
      <w:r w:rsidRPr="00043B8D">
        <w:t>Ter bepaling van d</w:t>
      </w:r>
      <w:r w:rsidR="003E2378" w:rsidRPr="00043B8D">
        <w:t xml:space="preserve">e </w:t>
      </w:r>
      <w:r w:rsidR="0061793A" w:rsidRPr="00043B8D">
        <w:t>hoogte</w:t>
      </w:r>
      <w:r w:rsidR="003E2378" w:rsidRPr="00043B8D">
        <w:t xml:space="preserve"> van het toegelaten inkomen </w:t>
      </w:r>
      <w:r w:rsidR="00FC62DA" w:rsidRPr="00043B8D">
        <w:t>voor niet-exogene kosten</w:t>
      </w:r>
      <w:r w:rsidRPr="00043B8D">
        <w:t xml:space="preserve"> binnen een reguleringsperiode</w:t>
      </w:r>
      <w:r w:rsidR="00FC62DA" w:rsidRPr="00043B8D">
        <w:t xml:space="preserve"> </w:t>
      </w:r>
      <w:r w:rsidR="003E2378" w:rsidRPr="00043B8D">
        <w:t xml:space="preserve">neemt de VREG de evolutie van de niet-exogene </w:t>
      </w:r>
      <w:r w:rsidRPr="00043B8D">
        <w:t>sector</w:t>
      </w:r>
      <w:r w:rsidR="003E2378" w:rsidRPr="00043B8D">
        <w:t>kosten</w:t>
      </w:r>
      <w:r w:rsidR="00FC62DA" w:rsidRPr="00043B8D">
        <w:t xml:space="preserve"> in beschouwing </w:t>
      </w:r>
      <w:r w:rsidR="003E2378" w:rsidRPr="00043B8D">
        <w:t>in de jar</w:t>
      </w:r>
      <w:r w:rsidRPr="00043B8D">
        <w:t>en</w:t>
      </w:r>
      <w:r w:rsidR="003E2378" w:rsidRPr="00043B8D">
        <w:t xml:space="preserve"> voorafgaand aan de reguleringsperiode (</w:t>
      </w:r>
      <w:r w:rsidR="00FC62DA" w:rsidRPr="00043B8D">
        <w:t xml:space="preserve">boekjaren </w:t>
      </w:r>
      <w:r w:rsidR="003E2378" w:rsidRPr="00043B8D">
        <w:t>2010</w:t>
      </w:r>
      <w:r w:rsidR="00A14E72" w:rsidRPr="00043B8D">
        <w:t xml:space="preserve"> t.e.m. </w:t>
      </w:r>
      <w:r w:rsidR="003E2378" w:rsidRPr="00043B8D">
        <w:t>2013 voor de reguleringsperiode 2015-2016, zie verder</w:t>
      </w:r>
      <w:r w:rsidR="00FC62DA" w:rsidRPr="00043B8D">
        <w:t xml:space="preserve"> par</w:t>
      </w:r>
      <w:r w:rsidR="000B4252" w:rsidRPr="00043B8D">
        <w:t>.</w:t>
      </w:r>
      <w:r w:rsidR="003E2378" w:rsidRPr="00043B8D">
        <w:t xml:space="preserve"> </w:t>
      </w:r>
      <w:r w:rsidR="00FC62DA" w:rsidRPr="00043B8D">
        <w:fldChar w:fldCharType="begin"/>
      </w:r>
      <w:r w:rsidR="00FC62DA" w:rsidRPr="00043B8D">
        <w:instrText xml:space="preserve"> REF _Ref389750421 \r \h </w:instrText>
      </w:r>
      <w:r w:rsidR="00043B8D">
        <w:instrText xml:space="preserve"> \* MERGEFORMAT </w:instrText>
      </w:r>
      <w:r w:rsidR="00FC62DA" w:rsidRPr="00043B8D">
        <w:fldChar w:fldCharType="separate"/>
      </w:r>
      <w:r w:rsidR="00B30F9B">
        <w:t>5.6.2.3</w:t>
      </w:r>
      <w:r w:rsidR="00FC62DA" w:rsidRPr="00043B8D">
        <w:fldChar w:fldCharType="end"/>
      </w:r>
      <w:r w:rsidR="003E2378" w:rsidRPr="00043B8D">
        <w:t xml:space="preserve">). De </w:t>
      </w:r>
      <w:r w:rsidRPr="00043B8D">
        <w:t xml:space="preserve">historische </w:t>
      </w:r>
      <w:r w:rsidR="003E2378" w:rsidRPr="00043B8D">
        <w:t xml:space="preserve">evolutie van de </w:t>
      </w:r>
      <w:r w:rsidR="00220F31" w:rsidRPr="00043B8D">
        <w:t>sector</w:t>
      </w:r>
      <w:r w:rsidR="003E2378" w:rsidRPr="00043B8D">
        <w:t xml:space="preserve">kosten weerspiegelt de </w:t>
      </w:r>
      <w:r w:rsidRPr="00043B8D">
        <w:t xml:space="preserve">financiële </w:t>
      </w:r>
      <w:r w:rsidR="003E2378" w:rsidRPr="00043B8D">
        <w:t xml:space="preserve">invloed van de verschillende </w:t>
      </w:r>
      <w:r w:rsidRPr="00043B8D">
        <w:t xml:space="preserve">relevante, </w:t>
      </w:r>
      <w:r w:rsidR="003E2378" w:rsidRPr="00043B8D">
        <w:t xml:space="preserve">recente externe en interne </w:t>
      </w:r>
      <w:r w:rsidRPr="00043B8D">
        <w:t xml:space="preserve">en </w:t>
      </w:r>
      <w:r w:rsidR="003E2378" w:rsidRPr="00043B8D">
        <w:t xml:space="preserve">elkaar soms tegenwerkende factoren </w:t>
      </w:r>
      <w:r w:rsidRPr="00043B8D">
        <w:t xml:space="preserve">op de kosten in </w:t>
      </w:r>
      <w:r w:rsidR="003E2378" w:rsidRPr="00043B8D">
        <w:t xml:space="preserve">het </w:t>
      </w:r>
      <w:r w:rsidRPr="00043B8D">
        <w:t>distributienetbeheer</w:t>
      </w:r>
      <w:r w:rsidR="003E2378" w:rsidRPr="00043B8D">
        <w:t xml:space="preserve">. De historische evolutie vormt een objectieve en transparante basis voor de evolutie van de kosten in de eerstvolgende reguleringsperiode. </w:t>
      </w:r>
    </w:p>
    <w:p w14:paraId="5B820C77" w14:textId="77777777" w:rsidR="001D73E6" w:rsidRPr="00043B8D" w:rsidRDefault="001D73E6" w:rsidP="00D83F19">
      <w:pPr>
        <w:tabs>
          <w:tab w:val="left" w:pos="1418"/>
          <w:tab w:val="left" w:pos="2835"/>
        </w:tabs>
      </w:pPr>
    </w:p>
    <w:p w14:paraId="27251C9B" w14:textId="45D0CC71" w:rsidR="00A14E72" w:rsidRPr="00043B8D" w:rsidRDefault="00064CA5" w:rsidP="00064CA5">
      <w:pPr>
        <w:tabs>
          <w:tab w:val="left" w:pos="1418"/>
          <w:tab w:val="left" w:pos="2835"/>
        </w:tabs>
      </w:pPr>
      <w:r w:rsidRPr="00043B8D">
        <w:t xml:space="preserve">Deze </w:t>
      </w:r>
      <w:r w:rsidR="00DA3D17" w:rsidRPr="00043B8D">
        <w:t>werkwijze</w:t>
      </w:r>
      <w:r w:rsidRPr="00043B8D">
        <w:t xml:space="preserve"> kan beschouwd worden als een vorm van nacalculatie</w:t>
      </w:r>
      <w:r w:rsidR="00723307" w:rsidRPr="00043B8D">
        <w:t xml:space="preserve"> </w:t>
      </w:r>
      <w:r w:rsidRPr="00043B8D">
        <w:t xml:space="preserve">en anticipatie op sectorniveau, waarbij het niveau van de volgende inkomsten wordt bepaald op basis van de evolutie en hoogte van de recente kosten. De VREG meent dat deze nacalculatie naar distributienetgebruikers toe verantwoord is </w:t>
      </w:r>
      <w:r w:rsidR="00FC62DA" w:rsidRPr="00043B8D">
        <w:t xml:space="preserve">aangezien </w:t>
      </w:r>
      <w:r w:rsidRPr="00043B8D">
        <w:t xml:space="preserve">de werkelijke kosten per distributienetbeheerder zullen gemaakt worden </w:t>
      </w:r>
      <w:r w:rsidR="00FC62DA" w:rsidRPr="00043B8D">
        <w:t xml:space="preserve">onder toepassing van </w:t>
      </w:r>
      <w:r w:rsidRPr="00043B8D">
        <w:t xml:space="preserve">een inkomstenregulering die de distributienetbeheerders aanzet tot kostenefficiëntie. Voor wat betreft de </w:t>
      </w:r>
      <w:r w:rsidR="00DA3D17" w:rsidRPr="00043B8D">
        <w:t xml:space="preserve">volgende </w:t>
      </w:r>
      <w:r w:rsidRPr="00043B8D">
        <w:t xml:space="preserve">reguleringsperiode 2015-2016 </w:t>
      </w:r>
      <w:r w:rsidR="00FC62DA" w:rsidRPr="00043B8D">
        <w:t xml:space="preserve">waren de distributienetbeheerders </w:t>
      </w:r>
      <w:r w:rsidRPr="00043B8D">
        <w:t xml:space="preserve">in </w:t>
      </w:r>
      <w:r w:rsidR="00DA3D17" w:rsidRPr="00043B8D">
        <w:t xml:space="preserve">de jaren ervoor </w:t>
      </w:r>
      <w:r w:rsidR="00FC62DA" w:rsidRPr="00043B8D">
        <w:t xml:space="preserve">niet </w:t>
      </w:r>
      <w:r w:rsidR="00DA3D17" w:rsidRPr="00043B8D">
        <w:t xml:space="preserve">geheel </w:t>
      </w:r>
      <w:r w:rsidR="00FC62DA" w:rsidRPr="00043B8D">
        <w:t>onderhevig aan een inkomstenregulering</w:t>
      </w:r>
      <w:r w:rsidRPr="00043B8D">
        <w:t xml:space="preserve">. Nochtans </w:t>
      </w:r>
      <w:r w:rsidR="00FC62DA" w:rsidRPr="00043B8D">
        <w:t>kan verondersteld worden dat</w:t>
      </w:r>
      <w:r w:rsidR="00045DDE" w:rsidRPr="00043B8D">
        <w:t xml:space="preserve"> de distributienetbeheerders</w:t>
      </w:r>
      <w:r w:rsidR="00FC62DA" w:rsidRPr="00043B8D">
        <w:t xml:space="preserve"> </w:t>
      </w:r>
      <w:r w:rsidRPr="00043B8D">
        <w:t xml:space="preserve">ook de nodige voorzichtigheid aan de dag </w:t>
      </w:r>
      <w:r w:rsidR="0061793A" w:rsidRPr="00043B8D">
        <w:t>dienden te legge</w:t>
      </w:r>
      <w:r w:rsidRPr="00043B8D">
        <w:t xml:space="preserve">n wat betreft hun kostenontwikkeling. </w:t>
      </w:r>
      <w:r w:rsidR="00DA3D17" w:rsidRPr="00043B8D">
        <w:t xml:space="preserve">Er was nl. het toezicht op de kosten door de regulator en </w:t>
      </w:r>
      <w:r w:rsidRPr="00043B8D">
        <w:t xml:space="preserve">de onzekerheid betreffende het </w:t>
      </w:r>
      <w:r w:rsidR="00DA3D17" w:rsidRPr="00043B8D">
        <w:t>gehanteerde winst</w:t>
      </w:r>
      <w:r w:rsidRPr="00043B8D">
        <w:t xml:space="preserve">mechanisme in de jaarrekening ten gevolge van de onduidelijkheid over de hoogte en de doorrekening van de exploitatiesaldi. </w:t>
      </w:r>
      <w:r w:rsidR="0051001A" w:rsidRPr="00043B8D">
        <w:t xml:space="preserve">Bovendien werden de </w:t>
      </w:r>
      <w:r w:rsidRPr="00043B8D">
        <w:t>distributienetbeheerders</w:t>
      </w:r>
      <w:r w:rsidR="0051001A" w:rsidRPr="00043B8D">
        <w:t xml:space="preserve"> in deze periode</w:t>
      </w:r>
      <w:r w:rsidRPr="00043B8D">
        <w:t xml:space="preserve"> geconfronteerd met distributienettarieven die onvoldoende inkomsten voorzagen ten opzichte van </w:t>
      </w:r>
      <w:r w:rsidR="00EF7648" w:rsidRPr="00043B8D">
        <w:t>hun</w:t>
      </w:r>
      <w:r w:rsidRPr="00043B8D">
        <w:t xml:space="preserve"> kosten.</w:t>
      </w:r>
    </w:p>
    <w:p w14:paraId="55C724F3" w14:textId="77777777" w:rsidR="0051001A" w:rsidRPr="00043B8D" w:rsidRDefault="00064CA5" w:rsidP="00064CA5">
      <w:pPr>
        <w:tabs>
          <w:tab w:val="left" w:pos="1418"/>
          <w:tab w:val="left" w:pos="2835"/>
        </w:tabs>
      </w:pPr>
      <w:r w:rsidRPr="00043B8D">
        <w:t xml:space="preserve"> </w:t>
      </w:r>
    </w:p>
    <w:p w14:paraId="53E1526C" w14:textId="487C0063" w:rsidR="00064CA5" w:rsidRPr="00043B8D" w:rsidRDefault="0051001A" w:rsidP="00064CA5">
      <w:pPr>
        <w:tabs>
          <w:tab w:val="left" w:pos="1418"/>
          <w:tab w:val="left" w:pos="2835"/>
        </w:tabs>
      </w:pPr>
      <w:r w:rsidRPr="00043B8D">
        <w:t xml:space="preserve">Figuur 2 geeft een schematische weergave van de werking van het mechanisme van nacalculatie waarbij de toekomstige inkomsten steeds bepaald worden door de evolutie van de historische kosten. Een </w:t>
      </w:r>
      <w:r w:rsidR="009F5142" w:rsidRPr="00043B8D">
        <w:t xml:space="preserve">plots </w:t>
      </w:r>
      <w:r w:rsidRPr="00043B8D">
        <w:t xml:space="preserve">stijgende </w:t>
      </w:r>
      <w:r w:rsidR="005234C5" w:rsidRPr="00043B8D">
        <w:t>sector</w:t>
      </w:r>
      <w:r w:rsidRPr="00043B8D">
        <w:t xml:space="preserve">kostenevolutie </w:t>
      </w:r>
      <w:r w:rsidR="005234C5" w:rsidRPr="00043B8D">
        <w:t xml:space="preserve">kan </w:t>
      </w:r>
      <w:r w:rsidR="00A14E72" w:rsidRPr="00043B8D">
        <w:t xml:space="preserve">tot </w:t>
      </w:r>
      <w:r w:rsidRPr="00043B8D">
        <w:t xml:space="preserve">gevolg </w:t>
      </w:r>
      <w:r w:rsidR="005234C5" w:rsidRPr="00043B8D">
        <w:t xml:space="preserve">hebben </w:t>
      </w:r>
      <w:r w:rsidRPr="00043B8D">
        <w:t xml:space="preserve">dat </w:t>
      </w:r>
      <w:r w:rsidR="00A14E72" w:rsidRPr="00043B8D">
        <w:t xml:space="preserve">een </w:t>
      </w:r>
      <w:r w:rsidRPr="00043B8D">
        <w:t xml:space="preserve">distributienetbeheerder in deze periode </w:t>
      </w:r>
      <w:r w:rsidR="00A14E72" w:rsidRPr="00043B8D">
        <w:t xml:space="preserve">tijdelijk </w:t>
      </w:r>
      <w:r w:rsidRPr="00043B8D">
        <w:t xml:space="preserve">over onvoldoende inkomsten beschikt, maar de kostenevolutie wordt dan weer in rekening genomen voor de bepaling van de inkomsten </w:t>
      </w:r>
      <w:r w:rsidR="00A14E72" w:rsidRPr="00043B8D">
        <w:t xml:space="preserve">in </w:t>
      </w:r>
      <w:r w:rsidRPr="00043B8D">
        <w:t xml:space="preserve">de </w:t>
      </w:r>
      <w:r w:rsidR="00A14E72" w:rsidRPr="00043B8D">
        <w:t>daarop</w:t>
      </w:r>
      <w:r w:rsidRPr="00043B8D">
        <w:t xml:space="preserve">volgende </w:t>
      </w:r>
      <w:r w:rsidR="00A00ABE" w:rsidRPr="00043B8D">
        <w:t>regulerings</w:t>
      </w:r>
      <w:r w:rsidRPr="00043B8D">
        <w:t xml:space="preserve">periode, waar </w:t>
      </w:r>
      <w:r w:rsidR="00A14E72" w:rsidRPr="00043B8D">
        <w:t xml:space="preserve">dan </w:t>
      </w:r>
      <w:r w:rsidRPr="00043B8D">
        <w:t xml:space="preserve">een </w:t>
      </w:r>
      <w:r w:rsidR="005234C5" w:rsidRPr="00043B8D">
        <w:t xml:space="preserve">overwinst kan </w:t>
      </w:r>
      <w:r w:rsidRPr="00043B8D">
        <w:t>ontstaa</w:t>
      </w:r>
      <w:r w:rsidR="005234C5" w:rsidRPr="00043B8D">
        <w:t>n</w:t>
      </w:r>
      <w:r w:rsidRPr="00043B8D">
        <w:t xml:space="preserve"> op het moment dat de kosten minder </w:t>
      </w:r>
      <w:r w:rsidR="00A14E72" w:rsidRPr="00043B8D">
        <w:t xml:space="preserve">snel </w:t>
      </w:r>
      <w:r w:rsidRPr="00043B8D">
        <w:t>stijgen.</w:t>
      </w:r>
      <w:r w:rsidR="00064CA5" w:rsidRPr="00043B8D">
        <w:t xml:space="preserve"> </w:t>
      </w:r>
    </w:p>
    <w:p w14:paraId="7EAED458" w14:textId="77777777" w:rsidR="00AB197C" w:rsidRPr="00043B8D" w:rsidRDefault="00AB197C" w:rsidP="00064CA5">
      <w:pPr>
        <w:tabs>
          <w:tab w:val="left" w:pos="1418"/>
          <w:tab w:val="left" w:pos="2835"/>
        </w:tabs>
      </w:pPr>
    </w:p>
    <w:p w14:paraId="147D94C7" w14:textId="011225AB" w:rsidR="00622B83" w:rsidRPr="00043B8D" w:rsidRDefault="008805FF" w:rsidP="00064CA5">
      <w:pPr>
        <w:tabs>
          <w:tab w:val="left" w:pos="1418"/>
          <w:tab w:val="left" w:pos="2835"/>
        </w:tabs>
      </w:pPr>
      <w:r w:rsidRPr="00043B8D">
        <w:rPr>
          <w:noProof/>
          <w:lang w:val="nl-BE" w:eastAsia="nl-BE"/>
        </w:rPr>
        <mc:AlternateContent>
          <mc:Choice Requires="wpg">
            <w:drawing>
              <wp:inline distT="0" distB="0" distL="0" distR="0" wp14:anchorId="7B160BC6" wp14:editId="17CEB421">
                <wp:extent cx="3492500" cy="2124075"/>
                <wp:effectExtent l="76200" t="38100" r="0" b="85725"/>
                <wp:docPr id="58" name="Groep 58"/>
                <wp:cNvGraphicFramePr/>
                <a:graphic xmlns:a="http://schemas.openxmlformats.org/drawingml/2006/main">
                  <a:graphicData uri="http://schemas.microsoft.com/office/word/2010/wordprocessingGroup">
                    <wpg:wgp>
                      <wpg:cNvGrpSpPr/>
                      <wpg:grpSpPr>
                        <a:xfrm>
                          <a:off x="0" y="0"/>
                          <a:ext cx="3492500" cy="2124075"/>
                          <a:chOff x="0" y="0"/>
                          <a:chExt cx="3492500" cy="2124075"/>
                        </a:xfrm>
                      </wpg:grpSpPr>
                      <wpg:grpSp>
                        <wpg:cNvPr id="57" name="Groep 57"/>
                        <wpg:cNvGrpSpPr/>
                        <wpg:grpSpPr>
                          <a:xfrm>
                            <a:off x="0" y="0"/>
                            <a:ext cx="3492500" cy="2124075"/>
                            <a:chOff x="0" y="0"/>
                            <a:chExt cx="3492500" cy="2124075"/>
                          </a:xfrm>
                        </wpg:grpSpPr>
                        <wpg:grpSp>
                          <wpg:cNvPr id="55" name="Groep 55"/>
                          <wpg:cNvGrpSpPr/>
                          <wpg:grpSpPr>
                            <a:xfrm>
                              <a:off x="146050" y="215900"/>
                              <a:ext cx="1600200" cy="571500"/>
                              <a:chOff x="0" y="0"/>
                              <a:chExt cx="1600200" cy="571500"/>
                            </a:xfrm>
                          </wpg:grpSpPr>
                          <wps:wsp>
                            <wps:cNvPr id="47" name="Text Box 18"/>
                            <wps:cNvSpPr txBox="1">
                              <a:spLocks noChangeArrowheads="1"/>
                            </wps:cNvSpPr>
                            <wps:spPr bwMode="auto">
                              <a:xfrm>
                                <a:off x="0" y="0"/>
                                <a:ext cx="16002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A043B0" w14:textId="77777777" w:rsidR="008F1DB1" w:rsidRPr="00882036" w:rsidRDefault="008F1DB1" w:rsidP="00523CE3">
                                  <w:pPr>
                                    <w:rPr>
                                      <w:sz w:val="18"/>
                                      <w:szCs w:val="18"/>
                                      <w:lang w:val="nl-BE"/>
                                    </w:rPr>
                                  </w:pPr>
                                  <w:r w:rsidRPr="00882036">
                                    <w:rPr>
                                      <w:sz w:val="18"/>
                                      <w:szCs w:val="18"/>
                                      <w:lang w:val="nl-BE"/>
                                    </w:rPr>
                                    <w:t>Kosten</w:t>
                                  </w:r>
                                </w:p>
                                <w:p w14:paraId="1E5178CD" w14:textId="77777777" w:rsidR="008F1DB1" w:rsidRPr="00882036" w:rsidRDefault="008F1DB1" w:rsidP="00523CE3">
                                  <w:pPr>
                                    <w:rPr>
                                      <w:sz w:val="18"/>
                                      <w:szCs w:val="18"/>
                                      <w:lang w:val="nl-BE"/>
                                    </w:rPr>
                                  </w:pPr>
                                  <w:r w:rsidRPr="00882036">
                                    <w:rPr>
                                      <w:sz w:val="18"/>
                                      <w:szCs w:val="18"/>
                                      <w:lang w:val="nl-BE"/>
                                    </w:rPr>
                                    <w:t>Inkomsten</w:t>
                                  </w:r>
                                </w:p>
                                <w:p w14:paraId="36941D5A" w14:textId="77777777" w:rsidR="008F1DB1" w:rsidRPr="00882036" w:rsidRDefault="008F1DB1" w:rsidP="00523CE3">
                                  <w:pPr>
                                    <w:rPr>
                                      <w:sz w:val="18"/>
                                      <w:szCs w:val="18"/>
                                      <w:lang w:val="nl-BE"/>
                                    </w:rPr>
                                  </w:pPr>
                                  <w:r w:rsidRPr="00882036">
                                    <w:rPr>
                                      <w:sz w:val="18"/>
                                      <w:szCs w:val="18"/>
                                      <w:lang w:val="nl-BE"/>
                                    </w:rPr>
                                    <w:t>Kosten = inkomsten</w:t>
                                  </w:r>
                                </w:p>
                              </w:txbxContent>
                            </wps:txbx>
                            <wps:bodyPr rot="0" vert="horz" wrap="square" lIns="91440" tIns="45720" rIns="91440" bIns="45720" anchor="t" anchorCtr="0" upright="1">
                              <a:noAutofit/>
                            </wps:bodyPr>
                          </wps:wsp>
                          <wps:wsp>
                            <wps:cNvPr id="48" name="AutoShape 19"/>
                            <wps:cNvCnPr>
                              <a:cxnSpLocks noChangeShapeType="1"/>
                            </wps:cNvCnPr>
                            <wps:spPr bwMode="auto">
                              <a:xfrm flipH="1">
                                <a:off x="476250" y="114300"/>
                                <a:ext cx="228600" cy="635"/>
                              </a:xfrm>
                              <a:prstGeom prst="straightConnector1">
                                <a:avLst/>
                              </a:prstGeom>
                              <a:noFill/>
                              <a:ln w="3810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9" name="AutoShape 20"/>
                            <wps:cNvCnPr>
                              <a:cxnSpLocks noChangeShapeType="1"/>
                            </wps:cNvCnPr>
                            <wps:spPr bwMode="auto">
                              <a:xfrm flipH="1">
                                <a:off x="685800" y="266700"/>
                                <a:ext cx="228600" cy="635"/>
                              </a:xfrm>
                              <a:prstGeom prst="straightConnector1">
                                <a:avLst/>
                              </a:prstGeom>
                              <a:noFill/>
                              <a:ln w="38100">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50" name="AutoShape 21"/>
                            <wps:cNvCnPr>
                              <a:cxnSpLocks noChangeShapeType="1"/>
                            </wps:cNvCnPr>
                            <wps:spPr bwMode="auto">
                              <a:xfrm flipH="1">
                                <a:off x="1143000" y="419100"/>
                                <a:ext cx="22860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grpSp>
                        <wpg:grpSp>
                          <wpg:cNvPr id="56" name="Groep 56"/>
                          <wpg:cNvGrpSpPr/>
                          <wpg:grpSpPr>
                            <a:xfrm>
                              <a:off x="0" y="0"/>
                              <a:ext cx="3492500" cy="2124075"/>
                              <a:chOff x="0" y="0"/>
                              <a:chExt cx="3492500" cy="2124075"/>
                            </a:xfrm>
                          </wpg:grpSpPr>
                          <wps:wsp>
                            <wps:cNvPr id="51" name="Tekstvak 51"/>
                            <wps:cNvSpPr txBox="1">
                              <a:spLocks noChangeArrowheads="1"/>
                            </wps:cNvSpPr>
                            <wps:spPr bwMode="auto">
                              <a:xfrm>
                                <a:off x="2679700" y="622300"/>
                                <a:ext cx="355600" cy="265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81469A" w14:textId="77777777" w:rsidR="008F1DB1" w:rsidRPr="00387466" w:rsidRDefault="008F1DB1">
                                  <w:pPr>
                                    <w:rPr>
                                      <w:lang w:val="nl-BE"/>
                                    </w:rPr>
                                  </w:pPr>
                                  <w:r>
                                    <w:rPr>
                                      <w:lang w:val="nl-BE"/>
                                    </w:rPr>
                                    <w:t>+</w:t>
                                  </w:r>
                                </w:p>
                              </w:txbxContent>
                            </wps:txbx>
                            <wps:bodyPr rot="0" vert="horz" wrap="square" lIns="91440" tIns="45720" rIns="91440" bIns="45720" anchor="t" anchorCtr="0" upright="1">
                              <a:noAutofit/>
                            </wps:bodyPr>
                          </wps:wsp>
                          <wps:wsp>
                            <wps:cNvPr id="17" name="AutoShape 5"/>
                            <wps:cNvCnPr>
                              <a:cxnSpLocks noChangeShapeType="1"/>
                            </wps:cNvCnPr>
                            <wps:spPr bwMode="auto">
                              <a:xfrm flipV="1">
                                <a:off x="0" y="0"/>
                                <a:ext cx="0" cy="2124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6"/>
                            <wps:cNvCnPr>
                              <a:cxnSpLocks noChangeShapeType="1"/>
                            </wps:cNvCnPr>
                            <wps:spPr bwMode="auto">
                              <a:xfrm>
                                <a:off x="0" y="2120900"/>
                                <a:ext cx="33909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AutoShape 8"/>
                            <wps:cNvCnPr>
                              <a:cxnSpLocks noChangeShapeType="1"/>
                            </wps:cNvCnPr>
                            <wps:spPr bwMode="auto">
                              <a:xfrm flipH="1">
                                <a:off x="1403350" y="901700"/>
                                <a:ext cx="897255" cy="57150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9" descr="Smal verticaal"/>
                            <wps:cNvSpPr>
                              <a:spLocks noChangeArrowheads="1"/>
                            </wps:cNvSpPr>
                            <wps:spPr bwMode="auto">
                              <a:xfrm rot="16200000">
                                <a:off x="2368550" y="603250"/>
                                <a:ext cx="228600" cy="360045"/>
                              </a:xfrm>
                              <a:prstGeom prst="rtTriangle">
                                <a:avLst/>
                              </a:prstGeom>
                              <a:pattFill prst="narVert">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39" name="AutoShape 10"/>
                            <wps:cNvCnPr>
                              <a:cxnSpLocks noChangeShapeType="1"/>
                            </wps:cNvCnPr>
                            <wps:spPr bwMode="auto">
                              <a:xfrm flipH="1" flipV="1">
                                <a:off x="2660650" y="901700"/>
                                <a:ext cx="45720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7" descr="Smal verticaal"/>
                            <wps:cNvSpPr>
                              <a:spLocks noChangeArrowheads="1"/>
                            </wps:cNvSpPr>
                            <wps:spPr bwMode="auto">
                              <a:xfrm rot="16200000">
                                <a:off x="1111250" y="1403350"/>
                                <a:ext cx="228600" cy="360045"/>
                              </a:xfrm>
                              <a:prstGeom prst="rtTriangle">
                                <a:avLst/>
                              </a:prstGeom>
                              <a:pattFill prst="narVert">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40" name="AutoShape 11"/>
                            <wps:cNvCnPr>
                              <a:cxnSpLocks noChangeShapeType="1"/>
                            </wps:cNvCnPr>
                            <wps:spPr bwMode="auto">
                              <a:xfrm flipH="1">
                                <a:off x="260350" y="1701800"/>
                                <a:ext cx="782955"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3" name="AutoShape 14"/>
                            <wps:cNvCnPr>
                              <a:cxnSpLocks noChangeShapeType="1"/>
                            </wps:cNvCnPr>
                            <wps:spPr bwMode="auto">
                              <a:xfrm flipH="1">
                                <a:off x="2305050" y="673100"/>
                                <a:ext cx="360045" cy="227330"/>
                              </a:xfrm>
                              <a:prstGeom prst="straightConnector1">
                                <a:avLst/>
                              </a:prstGeom>
                              <a:noFill/>
                              <a:ln w="38100">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44" name="AutoShape 15"/>
                            <wps:cNvCnPr>
                              <a:cxnSpLocks noChangeShapeType="1"/>
                            </wps:cNvCnPr>
                            <wps:spPr bwMode="auto">
                              <a:xfrm flipH="1">
                                <a:off x="2305050" y="901700"/>
                                <a:ext cx="360680" cy="0"/>
                              </a:xfrm>
                              <a:prstGeom prst="straightConnector1">
                                <a:avLst/>
                              </a:prstGeom>
                              <a:noFill/>
                              <a:ln w="3810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1" name="Text Box 12"/>
                            <wps:cNvSpPr txBox="1">
                              <a:spLocks noChangeArrowheads="1"/>
                            </wps:cNvSpPr>
                            <wps:spPr bwMode="auto">
                              <a:xfrm>
                                <a:off x="3035300" y="176530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9F7F2D" w14:textId="77777777" w:rsidR="008F1DB1" w:rsidRPr="008805FF" w:rsidRDefault="008F1DB1" w:rsidP="00523CE3">
                                  <w:pPr>
                                    <w:rPr>
                                      <w:lang w:val="nl-BE"/>
                                    </w:rPr>
                                  </w:pPr>
                                  <w:r w:rsidRPr="008805FF">
                                    <w:rPr>
                                      <w:lang w:val="nl-BE"/>
                                    </w:rPr>
                                    <w:t>Tijd</w:t>
                                  </w:r>
                                </w:p>
                              </w:txbxContent>
                            </wps:txbx>
                            <wps:bodyPr rot="0" vert="horz" wrap="square" lIns="91440" tIns="45720" rIns="91440" bIns="45720" anchor="t" anchorCtr="0" upright="1">
                              <a:noAutofit/>
                            </wps:bodyPr>
                          </wps:wsp>
                          <wps:wsp>
                            <wps:cNvPr id="42" name="AutoShape 13"/>
                            <wps:cNvCnPr>
                              <a:cxnSpLocks noChangeShapeType="1"/>
                            </wps:cNvCnPr>
                            <wps:spPr bwMode="auto">
                              <a:xfrm flipH="1">
                                <a:off x="1079500" y="1701800"/>
                                <a:ext cx="325755" cy="635"/>
                              </a:xfrm>
                              <a:prstGeom prst="straightConnector1">
                                <a:avLst/>
                              </a:prstGeom>
                              <a:noFill/>
                              <a:ln w="38100">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52" name="Tekstvak 52"/>
                            <wps:cNvSpPr txBox="1">
                              <a:spLocks noChangeArrowheads="1"/>
                            </wps:cNvSpPr>
                            <wps:spPr bwMode="auto">
                              <a:xfrm>
                                <a:off x="1416050" y="1447800"/>
                                <a:ext cx="355600" cy="265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364F56" w14:textId="77777777" w:rsidR="008F1DB1" w:rsidRPr="00387466" w:rsidRDefault="008F1DB1" w:rsidP="00264A68">
                                  <w:pPr>
                                    <w:rPr>
                                      <w:lang w:val="nl-BE"/>
                                    </w:rPr>
                                  </w:pPr>
                                  <w:r>
                                    <w:rPr>
                                      <w:rFonts w:cs="Tahoma"/>
                                      <w:lang w:val="nl-BE"/>
                                    </w:rPr>
                                    <w:t>-</w:t>
                                  </w:r>
                                </w:p>
                              </w:txbxContent>
                            </wps:txbx>
                            <wps:bodyPr rot="0" vert="horz" wrap="square" lIns="91440" tIns="45720" rIns="91440" bIns="45720" anchor="t" anchorCtr="0" upright="1">
                              <a:noAutofit/>
                            </wps:bodyPr>
                          </wps:wsp>
                        </wpg:grpSp>
                      </wpg:grpSp>
                      <wps:wsp>
                        <wps:cNvPr id="45" name="AutoShape 16"/>
                        <wps:cNvCnPr>
                          <a:cxnSpLocks noChangeShapeType="1"/>
                        </wps:cNvCnPr>
                        <wps:spPr bwMode="auto">
                          <a:xfrm flipH="1">
                            <a:off x="1047750" y="1473200"/>
                            <a:ext cx="360045" cy="227965"/>
                          </a:xfrm>
                          <a:prstGeom prst="straightConnector1">
                            <a:avLst/>
                          </a:prstGeom>
                          <a:noFill/>
                          <a:ln w="38100" cap="rnd">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ep 58" o:spid="_x0000_s1043" style="width:275pt;height:167.25pt;mso-position-horizontal-relative:char;mso-position-vertical-relative:line" coordsize="34925,2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">
                <v:group id="Groep 57" o:spid="_x0000_s1044" style="position:absolute;width:34925;height:21240" coordsize="34925,21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group id="Groep 55" o:spid="_x0000_s1045" style="position:absolute;left:1460;top:2159;width:16002;height:5715" coordsize="16002,5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type id="_x0000_t202" coordsize="21600,21600" o:spt="202" path="m,l,21600r21600,l21600,xe">
                      <v:stroke joinstyle="miter"/>
                      <v:path gradientshapeok="t" o:connecttype="rect"/>
                    </v:shapetype>
                    <v:shape id="Text Box 18" o:spid="_x0000_s1046" type="#_x0000_t202" style="position:absolute;width:16002;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MFMMA&#10;AADbAAAADwAAAGRycy9kb3ducmV2LnhtbESP3WrCQBSE74W+w3IKvRHdWFKj0U2wQktu/XmAY/aY&#10;BLNnQ3Zr4tu7hUIvh5n5htnmo2nFnXrXWFawmEcgiEurG64UnE9fsxUI55E1tpZJwYMc5NnLZIup&#10;tgMf6H70lQgQdikqqL3vUildWZNBN7cdcfCutjfog+wrqXscAty08j2KltJgw2Ghxo72NZW3449R&#10;cC2G6cd6uHz7c3KIl5/YJBf7UOrtddxtQHga/X/4r11oBXECv1/CD5D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tMFMMAAADbAAAADwAAAAAAAAAAAAAAAACYAgAAZHJzL2Rv&#10;d25yZXYueG1sUEsFBgAAAAAEAAQA9QAAAIgDAAAAAA==&#10;" stroked="f">
                      <v:textbox>
                        <w:txbxContent>
                          <w:p w14:paraId="0BA043B0" w14:textId="77777777" w:rsidR="008F1DB1" w:rsidRPr="00882036" w:rsidRDefault="008F1DB1" w:rsidP="00523CE3">
                            <w:pPr>
                              <w:rPr>
                                <w:sz w:val="18"/>
                                <w:szCs w:val="18"/>
                                <w:lang w:val="nl-BE"/>
                              </w:rPr>
                            </w:pPr>
                            <w:r w:rsidRPr="00882036">
                              <w:rPr>
                                <w:sz w:val="18"/>
                                <w:szCs w:val="18"/>
                                <w:lang w:val="nl-BE"/>
                              </w:rPr>
                              <w:t>Kosten</w:t>
                            </w:r>
                          </w:p>
                          <w:p w14:paraId="1E5178CD" w14:textId="77777777" w:rsidR="008F1DB1" w:rsidRPr="00882036" w:rsidRDefault="008F1DB1" w:rsidP="00523CE3">
                            <w:pPr>
                              <w:rPr>
                                <w:sz w:val="18"/>
                                <w:szCs w:val="18"/>
                                <w:lang w:val="nl-BE"/>
                              </w:rPr>
                            </w:pPr>
                            <w:r w:rsidRPr="00882036">
                              <w:rPr>
                                <w:sz w:val="18"/>
                                <w:szCs w:val="18"/>
                                <w:lang w:val="nl-BE"/>
                              </w:rPr>
                              <w:t>Inkomsten</w:t>
                            </w:r>
                          </w:p>
                          <w:p w14:paraId="36941D5A" w14:textId="77777777" w:rsidR="008F1DB1" w:rsidRPr="00882036" w:rsidRDefault="008F1DB1" w:rsidP="00523CE3">
                            <w:pPr>
                              <w:rPr>
                                <w:sz w:val="18"/>
                                <w:szCs w:val="18"/>
                                <w:lang w:val="nl-BE"/>
                              </w:rPr>
                            </w:pPr>
                            <w:r w:rsidRPr="00882036">
                              <w:rPr>
                                <w:sz w:val="18"/>
                                <w:szCs w:val="18"/>
                                <w:lang w:val="nl-BE"/>
                              </w:rPr>
                              <w:t>Kosten = inkomsten</w:t>
                            </w:r>
                          </w:p>
                        </w:txbxContent>
                      </v:textbox>
                    </v:shape>
                    <v:shape id="AutoShape 19" o:spid="_x0000_s1047" type="#_x0000_t32" style="position:absolute;left:4762;top:1143;width:2286;height: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XVIbwAAADbAAAADwAAAGRycy9kb3ducmV2LnhtbERPSwrCMBDdC94hjOBOU0VEq1FEEHQj&#10;+DnA2IxNsZmUJtbq6c1CcPl4/+W6taVoqPaFYwWjYQKCOHO64FzB9bIbzED4gKyxdEwK3uRhvep2&#10;lphq9+ITNeeQixjCPkUFJoQqldJnhiz6oauII3d3tcUQYZ1LXeMrhttSjpNkKi0WHBsMVrQ1lD3O&#10;T6tgfz3etnOm1hyzzXzauM/owBel+r12swARqA1/8c+91womcWz8En+AXH0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GUXVIbwAAADbAAAADwAAAAAAAAAAAAAAAAChAgAA&#10;ZHJzL2Rvd25yZXYueG1sUEsFBgAAAAAEAAQA+QAAAIoDAAAAAA==&#10;" strokeweight="3pt">
                      <v:stroke dashstyle="1 1" endcap="round"/>
                    </v:shape>
                    <v:shape id="AutoShape 20" o:spid="_x0000_s1048" type="#_x0000_t32" style="position:absolute;left:6858;top:2667;width:2286;height: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zMNsQAAADbAAAADwAAAGRycy9kb3ducmV2LnhtbESPT4vCMBTE7wt+h/AEb5oosmg1in8Q&#10;9qC7rHrw+GiebbF5KU1qu99+IyzscZiZ3zDLdWdL8aTaF441jEcKBHHqTMGZhuvlMJyB8AHZYOmY&#10;NPyQh/Wq97bExLiWv+l5DpmIEPYJashDqBIpfZqTRT9yFXH07q62GKKsM2lqbCPclnKi1Lu0WHBc&#10;yLGiXU7p49xYDdtNo3anZltWafZ527fHa/t1VFoP+t1mASJQF/7Df+0Po2E6h9eX+APk6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zMw2xAAAANsAAAAPAAAAAAAAAAAA&#10;AAAAAKECAABkcnMvZG93bnJldi54bWxQSwUGAAAAAAQABAD5AAAAkgMAAAAA&#10;" strokeweight="3pt">
                      <v:stroke dashstyle="3 1"/>
                    </v:shape>
                    <v:shape id="AutoShape 21" o:spid="_x0000_s1049" type="#_x0000_t32" style="position:absolute;left:11430;top:4191;width:2286;height: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cndcYAAADbAAAADwAAAGRycy9kb3ducmV2LnhtbESPwWrCQBCG74W+wzKCN9210Faiq0hL&#10;QbQgmkLxNmTHJG12NmRXTfv0nYPQ4/DP/81882XvG3WhLtaBLUzGBhRxEVzNpYWP/G00BRUTssMm&#10;MFn4oQjLxf3dHDMXrrynyyGVSiAcM7RQpdRmWseiIo9xHFpiyU6h85hk7ErtOrwK3Df6wZgn7bFm&#10;uVBhSy8VFd+HsxeK2axykx/P693nZvf7fnp93hZf1g4H/WoGKlGf/pdv7bWz8Cjfi4t4gF7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mnJ3XGAAAA2wAAAA8AAAAAAAAA&#10;AAAAAAAAoQIAAGRycy9kb3ducmV2LnhtbFBLBQYAAAAABAAEAPkAAACUAwAAAAA=&#10;" strokeweight="3pt"/>
                  </v:group>
                  <v:group id="Groep 56" o:spid="_x0000_s1050" style="position:absolute;width:34925;height:21240" coordsize="34925,21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Tekstvak 51" o:spid="_x0000_s1051" type="#_x0000_t202" style="position:absolute;left:26797;top:6223;width:3556;height:2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fnJsIA&#10;AADbAAAADwAAAGRycy9kb3ducmV2LnhtbESP3YrCMBSE7xd8h3AEbxabKutfNYorrHjrzwOcNse2&#10;2JyUJmvr2xtB8HKYmW+Y1aYzlbhT40rLCkZRDII4s7rkXMHl/Decg3AeWWNlmRQ8yMFm3ftaYaJt&#10;y0e6n3wuAoRdggoK7+tESpcVZNBFtiYO3tU2Bn2QTS51g22Am0qO43gqDZYcFgqsaVdQdjv9GwXX&#10;Q/s9WbTp3l9mx5/pL5az1D6UGvS77RKEp85/wu/2QSuYjOD1JfwAuX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R+cmwgAAANsAAAAPAAAAAAAAAAAAAAAAAJgCAABkcnMvZG93&#10;bnJldi54bWxQSwUGAAAAAAQABAD1AAAAhwMAAAAA&#10;" stroked="f">
                      <v:textbox>
                        <w:txbxContent>
                          <w:p w14:paraId="2F81469A" w14:textId="77777777" w:rsidR="008F1DB1" w:rsidRPr="00387466" w:rsidRDefault="008F1DB1">
                            <w:pPr>
                              <w:rPr>
                                <w:lang w:val="nl-BE"/>
                              </w:rPr>
                            </w:pPr>
                            <w:r>
                              <w:rPr>
                                <w:lang w:val="nl-BE"/>
                              </w:rPr>
                              <w:t>+</w:t>
                            </w:r>
                          </w:p>
                        </w:txbxContent>
                      </v:textbox>
                    </v:shape>
                    <v:shape id="AutoShape 5" o:spid="_x0000_s1052" type="#_x0000_t32" style="position:absolute;width:0;height:2124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OIL8AAAADbAAAADwAAAGRycy9kb3ducmV2LnhtbERPS2vCQBC+C/0Pywi96UahVqJraAMF&#10;6aX4gPY4ZMdkaXY2ZNds/PddQehtPr7nbIvRtmKg3hvHChbzDARx5bThWsH59DFbg/ABWWPrmBTc&#10;yEOxe5psMdcu8oGGY6hFCmGfo4ImhC6X0lcNWfRz1xEn7uJ6iyHBvpa6x5jCbSuXWbaSFg2nhgY7&#10;Khuqfo9Xq8DELzN0+zK+f37/eB3J3F6cUep5Or5tQAQaw7/44d7rNP8V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iTiC/AAAAA2wAAAA8AAAAAAAAAAAAAAAAA&#10;oQIAAGRycy9kb3ducmV2LnhtbFBLBQYAAAAABAAEAPkAAACOAwAAAAA=&#10;">
                      <v:stroke endarrow="block"/>
                    </v:shape>
                    <v:shape id="AutoShape 6" o:spid="_x0000_s1053" type="#_x0000_t32" style="position:absolute;top:21209;width:3390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fkf8UAAADbAAAADwAAAGRycy9kb3ducmV2LnhtbESPQWvCQBCF74L/YRmhN93YQ9HUVUqh&#10;pSgeNCW0tyE7TUKzs2F31eivdw6F3mZ4b977ZrUZXKfOFGLr2cB8loEirrxtuTbwWbxNF6BiQrbY&#10;eSYDV4qwWY9HK8ytv/CBzsdUKwnhmKOBJqU+1zpWDTmMM98Ti/bjg8Mka6i1DXiRcNfpxyx70g5b&#10;loYGe3ptqPo9npyBr93yVF7LPW3L+XL7jcHFW/FuzMNkeHkGlWhI/+a/6w8r+AIr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Xfkf8UAAADbAAAADwAAAAAAAAAA&#10;AAAAAAChAgAAZHJzL2Rvd25yZXYueG1sUEsFBgAAAAAEAAQA+QAAAJMDAAAAAA==&#10;">
                      <v:stroke endarrow="block"/>
                    </v:shape>
                    <v:shape id="AutoShape 8" o:spid="_x0000_s1054" type="#_x0000_t32" style="position:absolute;left:14033;top:9017;width:8973;height:571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5FaocUAAADbAAAADwAAAGRycy9kb3ducmV2LnhtbESPQWsCMRSE74L/ITzBmyYqVNkaRRRB&#10;rCB1hdLbY/Pc3bp5WTZRt/31jVDocZiZb5j5srWVuFPjS8caRkMFgjhzpuRcwzndDmYgfEA2WDkm&#10;Dd/kYbnoduaYGPfgd7qfQi4ihH2CGooQ6kRKnxVk0Q9dTRy9i2sshiibXJoGHxFuKzlW6kVaLDku&#10;FFjTuqDserrZSFH7VarSz9vu+LE//hwum+lb9qV1v9euXkEEasN/+K+9MxomU3h+iT9A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5FaocUAAADbAAAADwAAAAAAAAAA&#10;AAAAAAChAgAAZHJzL2Rvd25yZXYueG1sUEsFBgAAAAAEAAQA+QAAAJMDAAAAAA==&#10;" strokeweight="3pt"/>
                    <v:shapetype id="_x0000_t6" coordsize="21600,21600" o:spt="6" path="m,l,21600r21600,xe">
                      <v:stroke joinstyle="miter"/>
                      <v:path gradientshapeok="t" o:connecttype="custom" o:connectlocs="0,0;0,10800;0,21600;10800,21600;21600,21600;10800,10800" textboxrect="1800,12600,12600,19800"/>
                    </v:shapetype>
                    <v:shape id="AutoShape 9" o:spid="_x0000_s1055" type="#_x0000_t6" alt="Smal verticaal" style="position:absolute;left:23685;top:6032;width:2286;height:360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kZZcIA&#10;AADbAAAADwAAAGRycy9kb3ducmV2LnhtbERPy2rCQBTdF/yH4Qrd1YlVS0kdRVIEd22TFFxeMrdJ&#10;aOZOzExef+8sCl0eznt/nEwjBupcbVnBehWBIC6srrlUkGfnp1cQziNrbCyTgpkcHA+Lhz3G2o78&#10;RUPqSxFC2MWooPK+jaV0RUUG3cq2xIH7sZ1BH2BXSt3hGMJNI5+j6EUarDk0VNhSUlHxm/ZGwWX8&#10;7D/yRN7medhlu/fsev0+bZV6XE6nNxCeJv8v/nNftIJNGBu+hB8gD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GRllwgAAANsAAAAPAAAAAAAAAAAAAAAAAJgCAABkcnMvZG93&#10;bnJldi54bWxQSwUGAAAAAAQABAD1AAAAhwMAAAAA&#10;" fillcolor="black">
                      <v:fill r:id="rId22" o:title="" type="pattern"/>
                    </v:shape>
                    <v:shape id="AutoShape 10" o:spid="_x0000_s1056" type="#_x0000_t32" style="position:absolute;left:26606;top:9017;width:4572;height: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gy0MQAAADbAAAADwAAAGRycy9kb3ducmV2LnhtbESPQWvCQBSE7wX/w/IEL1I3Wqg1dRUp&#10;FfSm0Yu3R/aZDc2+jdlVY359Vyj0OMzMN8x82dpK3KjxpWMF41ECgjh3uuRCwfGwfv0A4QOyxsox&#10;KXiQh+Wi9zLHVLs77+mWhUJECPsUFZgQ6lRKnxuy6EeuJo7e2TUWQ5RNIXWD9wi3lZwkybu0WHJc&#10;MFjTl6H8J7taBafDha6nzXRrqm74vVtlHQ93nVKDfrv6BBGoDf/hv/ZGK3ibwfNL/AFy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KDLQxAAAANsAAAAPAAAAAAAAAAAA&#10;AAAAAKECAABkcnMvZG93bnJldi54bWxQSwUGAAAAAAQABAD5AAAAkgMAAAAA&#10;" strokeweight="3pt"/>
                    <v:shape id="AutoShape 7" o:spid="_x0000_s1057" type="#_x0000_t6" alt="Smal verticaal" style="position:absolute;left:11112;top:14033;width:2286;height:360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oojMQA&#10;AADbAAAADwAAAGRycy9kb3ducmV2LnhtbESPT2vCQBTE7wW/w/KE3urGWkWiq4hF8FZrFDw+ss8k&#10;mH0bs2v+fPuuUPA4zMxvmOW6M6VoqHaFZQXjUQSCOLW64EzBKdl9zEE4j6yxtEwKenKwXg3elhhr&#10;2/IvNUefiQBhF6OC3PsqltKlORl0I1sRB+9qa4M+yDqTusY2wE0pP6NoJg0WHBZyrGibU3o7PoyC&#10;fXt4/Jy28t73zTSZfieXy3nzpdT7sNssQHjq/Cv8395rBZMZPL+EH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7KKIzEAAAA2wAAAA8AAAAAAAAAAAAAAAAAmAIAAGRycy9k&#10;b3ducmV2LnhtbFBLBQYAAAAABAAEAPUAAACJAwAAAAA=&#10;" fillcolor="black">
                      <v:fill r:id="rId22" o:title="" type="pattern"/>
                    </v:shape>
                    <v:shape id="AutoShape 11" o:spid="_x0000_s1058" type="#_x0000_t32" style="position:absolute;left:2603;top:17018;width:7830;height: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6xqMYAAADbAAAADwAAAGRycy9kb3ducmV2LnhtbESPwWrCQBCG74W+wzKCN921lFaiq0hL&#10;QbQgmkLxNmTHJG12NmRXTfv0nYPQ4/DP/81882XvG3WhLtaBLUzGBhRxEVzNpYWP/G00BRUTssMm&#10;MFn4oQjLxf3dHDMXrrynyyGVSiAcM7RQpdRmWseiIo9xHFpiyU6h85hk7ErtOrwK3Df6wZgn7bFm&#10;uVBhSy8VFd+HsxeK2axykx/P693nZvf7fnp93hZf1g4H/WoGKlGf/pdv7bWz8Cjfi4t4gF7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x+sajGAAAA2wAAAA8AAAAAAAAA&#10;AAAAAAAAoQIAAGRycy9kb3ducmV2LnhtbFBLBQYAAAAABAAEAPkAAACUAwAAAAA=&#10;" strokeweight="3pt"/>
                    <v:shape id="AutoShape 14" o:spid="_x0000_s1059" type="#_x0000_t32" style="position:absolute;left:23050;top:6731;width:3600;height:227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yT73MQAAADbAAAADwAAAGRycy9kb3ducmV2LnhtbESPT4vCMBTE7wt+h/AEb5qoi0g1in8Q&#10;9qC7rHrw+GiebbF5KU1qu99+IyzscZiZ3zDLdWdL8aTaF441jEcKBHHqTMGZhuvlMJyD8AHZYOmY&#10;NPyQh/Wq97bExLiWv+l5DpmIEPYJashDqBIpfZqTRT9yFXH07q62GKKsM2lqbCPclnKi1ExaLDgu&#10;5FjRLqf0cW6shu2mUbtTsy2rNPu87dvjtf06Kq0H/W6zABGoC//hv/aH0fA+hdeX+APk6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JPvcxAAAANsAAAAPAAAAAAAAAAAA&#10;AAAAAKECAABkcnMvZG93bnJldi54bWxQSwUGAAAAAAQABAD5AAAAkgMAAAAA&#10;" strokeweight="3pt">
                      <v:stroke dashstyle="3 1"/>
                    </v:shape>
                    <v:shape id="AutoShape 15" o:spid="_x0000_s1060" type="#_x0000_t32" style="position:absolute;left:23050;top:9017;width:360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jfJMIAAADbAAAADwAAAGRycy9kb3ducmV2LnhtbESP0YrCMBRE34X9h3AF3zRVRNausRRB&#10;cF8EtR9wbe42xeamNNna9euNIOzjMDNnmE022Eb01PnasYL5LAFBXDpdc6WguOynnyB8QNbYOCYF&#10;f+Qh236MNphqd+cT9edQiQhhn6ICE0KbSulLQxb9zLXE0ftxncUQZVdJ3eE9wm0jF0mykhZrjgsG&#10;W9oZKm/nX6vgUByvuzXTYI5lvl717jH/5otSk/GQf4EINIT/8Lt90AqWS3h9iT9Ab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AjfJMIAAADbAAAADwAAAAAAAAAAAAAA&#10;AAChAgAAZHJzL2Rvd25yZXYueG1sUEsFBgAAAAAEAAQA+QAAAJADAAAAAA==&#10;" strokeweight="3pt">
                      <v:stroke dashstyle="1 1" endcap="round"/>
                    </v:shape>
                    <v:shape id="Text Box 12" o:spid="_x0000_s1061" type="#_x0000_t202" style="position:absolute;left:30353;top:17653;width:457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5x+8QA&#10;AADbAAAADwAAAGRycy9kb3ducmV2LnhtbESPzWrDMBCE74W8g9hALyWWU9z8OJFNWmjJNT8PsLY2&#10;tom1MpYa229fFQo9DjPzDbPPR9OKB/WusaxgGcUgiEurG64UXC+fiw0I55E1tpZJwUQO8mz2tMdU&#10;24FP9Dj7SgQIuxQV1N53qZSurMmgi2xHHLyb7Q36IPtK6h6HADetfI3jlTTYcFiosaOPmsr7+dso&#10;uB2Hl7ftUHz56/qUrN6xWRd2Uup5Ph52IDyN/j/81z5qBckSfr+EHyC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ecfvEAAAA2wAAAA8AAAAAAAAAAAAAAAAAmAIAAGRycy9k&#10;b3ducmV2LnhtbFBLBQYAAAAABAAEAPUAAACJAwAAAAA=&#10;" stroked="f">
                      <v:textbox>
                        <w:txbxContent>
                          <w:p w14:paraId="439F7F2D" w14:textId="77777777" w:rsidR="008F1DB1" w:rsidRPr="008805FF" w:rsidRDefault="008F1DB1" w:rsidP="00523CE3">
                            <w:pPr>
                              <w:rPr>
                                <w:lang w:val="nl-BE"/>
                              </w:rPr>
                            </w:pPr>
                            <w:r w:rsidRPr="008805FF">
                              <w:rPr>
                                <w:lang w:val="nl-BE"/>
                              </w:rPr>
                              <w:t>Tijd</w:t>
                            </w:r>
                          </w:p>
                        </w:txbxContent>
                      </v:textbox>
                    </v:shape>
                    <v:shape id="AutoShape 13" o:spid="_x0000_s1062" type="#_x0000_t32" style="position:absolute;left:10795;top:17018;width:3257;height: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heR8QAAADbAAAADwAAAGRycy9kb3ducmV2LnhtbESPT4vCMBTE78J+h/AWvGmyIiJdo6iL&#10;4ME/rOthj4/m2Rabl9Kktn57Iwgeh5n5DTNbdLYUN6p94VjD11CBIE6dKTjTcP7bDKYgfEA2WDom&#10;DXfysJh/9GaYGNfyL91OIRMRwj5BDXkIVSKlT3Oy6IeuIo7exdUWQ5R1Jk2NbYTbUo6UmkiLBceF&#10;HCta55ReT43VsFo2ar1vVmWVZof/n3Z3bo87pXX/s1t+gwjUhXf41d4aDeMRPL/EHyD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aF5HxAAAANsAAAAPAAAAAAAAAAAA&#10;AAAAAKECAABkcnMvZG93bnJldi54bWxQSwUGAAAAAAQABAD5AAAAkgMAAAAA&#10;" strokeweight="3pt">
                      <v:stroke dashstyle="3 1"/>
                    </v:shape>
                    <v:shape id="Tekstvak 52" o:spid="_x0000_s1063" type="#_x0000_t202" style="position:absolute;left:14160;top:14478;width:3556;height:2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V5UcMA&#10;AADbAAAADwAAAGRycy9kb3ducmV2LnhtbESP3WrCQBSE7wu+w3KE3hTdKPUvugm20JLbqA9wzB6T&#10;YPZsyK4meftuodDLYWa+YQ7pYBrxpM7VlhUs5hEI4sLqmksFl/PXbAvCeWSNjWVSMJKDNJm8HDDW&#10;tuecnidfigBhF6OCyvs2ltIVFRl0c9sSB+9mO4M+yK6UusM+wE0jl1G0lgZrDgsVtvRZUXE/PYyC&#10;W9a/rXb99dtfNvn7+gPrzdWOSr1Oh+MehKfB/4f/2plWsFrC75fwA2T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JV5UcMAAADbAAAADwAAAAAAAAAAAAAAAACYAgAAZHJzL2Rv&#10;d25yZXYueG1sUEsFBgAAAAAEAAQA9QAAAIgDAAAAAA==&#10;" stroked="f">
                      <v:textbox>
                        <w:txbxContent>
                          <w:p w14:paraId="71364F56" w14:textId="77777777" w:rsidR="008F1DB1" w:rsidRPr="00387466" w:rsidRDefault="008F1DB1" w:rsidP="00264A68">
                            <w:pPr>
                              <w:rPr>
                                <w:lang w:val="nl-BE"/>
                              </w:rPr>
                            </w:pPr>
                            <w:r>
                              <w:rPr>
                                <w:rFonts w:cs="Tahoma"/>
                                <w:lang w:val="nl-BE"/>
                              </w:rPr>
                              <w:t>-</w:t>
                            </w:r>
                          </w:p>
                        </w:txbxContent>
                      </v:textbox>
                    </v:shape>
                  </v:group>
                </v:group>
                <v:shape id="AutoShape 16" o:spid="_x0000_s1064" type="#_x0000_t32" style="position:absolute;left:10477;top:14732;width:3600;height:227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R6v8MAAADbAAAADwAAAGRycy9kb3ducmV2LnhtbESPzWrDMBCE74W+g9hCb42c0oTEsRyM&#10;oeBeAvl5gK21tUyslbFU2+3TR4VCjsPMfMNk+9l2YqTBt44VLBcJCOLa6ZYbBZfz+8sGhA/IGjvH&#10;pOCHPOzzx4cMU+0mPtJ4Co2IEPYpKjAh9KmUvjZk0S9cTxy9LzdYDFEOjdQDThFuO/maJGtpseW4&#10;YLCn0lB9PX1bBdXl8FlumWZzqIvtenS/yw8+K/X8NBc7EIHmcA//tyut4G0Ff1/iD5D5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dEer/DAAAA2wAAAA8AAAAAAAAAAAAA&#10;AAAAoQIAAGRycy9kb3ducmV2LnhtbFBLBQYAAAAABAAEAPkAAACRAwAAAAA=&#10;" strokeweight="3pt">
                  <v:stroke dashstyle="1 1" endcap="round"/>
                </v:shape>
                <w10:anchorlock/>
              </v:group>
            </w:pict>
          </mc:Fallback>
        </mc:AlternateContent>
      </w:r>
      <w:r w:rsidR="00A14E72" w:rsidRPr="00043B8D">
        <w:rPr>
          <w:noProof/>
          <w:lang w:val="nl-BE" w:eastAsia="nl-BE"/>
        </w:rPr>
        <mc:AlternateContent>
          <mc:Choice Requires="wps">
            <w:drawing>
              <wp:anchor distT="0" distB="0" distL="114300" distR="114300" simplePos="0" relativeHeight="251660288" behindDoc="0" locked="0" layoutInCell="1" allowOverlap="1" wp14:anchorId="5FD39D47" wp14:editId="5445A520">
                <wp:simplePos x="0" y="0"/>
                <wp:positionH relativeFrom="column">
                  <wp:posOffset>242570</wp:posOffset>
                </wp:positionH>
                <wp:positionV relativeFrom="paragraph">
                  <wp:posOffset>2435225</wp:posOffset>
                </wp:positionV>
                <wp:extent cx="4876800" cy="635"/>
                <wp:effectExtent l="0" t="0" r="0" b="0"/>
                <wp:wrapNone/>
                <wp:docPr id="54" name="Tekstvak 54"/>
                <wp:cNvGraphicFramePr/>
                <a:graphic xmlns:a="http://schemas.openxmlformats.org/drawingml/2006/main">
                  <a:graphicData uri="http://schemas.microsoft.com/office/word/2010/wordprocessingShape">
                    <wps:wsp>
                      <wps:cNvSpPr txBox="1"/>
                      <wps:spPr>
                        <a:xfrm>
                          <a:off x="0" y="0"/>
                          <a:ext cx="4876800" cy="635"/>
                        </a:xfrm>
                        <a:prstGeom prst="rect">
                          <a:avLst/>
                        </a:prstGeom>
                        <a:solidFill>
                          <a:prstClr val="white"/>
                        </a:solidFill>
                        <a:ln>
                          <a:noFill/>
                        </a:ln>
                        <a:effectLst/>
                      </wps:spPr>
                      <wps:txbx>
                        <w:txbxContent>
                          <w:p w14:paraId="33F595CA" w14:textId="42C33252" w:rsidR="008F1DB1" w:rsidRPr="00654C50" w:rsidRDefault="008F1DB1" w:rsidP="00622B83">
                            <w:pPr>
                              <w:pStyle w:val="Bijschrift"/>
                              <w:rPr>
                                <w:b w:val="0"/>
                                <w:noProof/>
                              </w:rPr>
                            </w:pPr>
                            <w:bookmarkStart w:id="360" w:name="_Ref390330115"/>
                            <w:r w:rsidRPr="00654C50">
                              <w:rPr>
                                <w:b w:val="0"/>
                              </w:rPr>
                              <w:t xml:space="preserve">Figuur </w:t>
                            </w:r>
                            <w:r w:rsidRPr="00654C50">
                              <w:rPr>
                                <w:b w:val="0"/>
                              </w:rPr>
                              <w:fldChar w:fldCharType="begin"/>
                            </w:r>
                            <w:r w:rsidRPr="00654C50">
                              <w:rPr>
                                <w:b w:val="0"/>
                              </w:rPr>
                              <w:instrText xml:space="preserve"> SEQ Figuur \* ARABIC </w:instrText>
                            </w:r>
                            <w:r w:rsidRPr="00654C50">
                              <w:rPr>
                                <w:b w:val="0"/>
                              </w:rPr>
                              <w:fldChar w:fldCharType="separate"/>
                            </w:r>
                            <w:r w:rsidRPr="00654C50">
                              <w:rPr>
                                <w:b w:val="0"/>
                                <w:noProof/>
                              </w:rPr>
                              <w:t>2</w:t>
                            </w:r>
                            <w:r w:rsidRPr="00654C50">
                              <w:rPr>
                                <w:b w:val="0"/>
                              </w:rPr>
                              <w:fldChar w:fldCharType="end"/>
                            </w:r>
                            <w:bookmarkEnd w:id="360"/>
                            <w:r w:rsidRPr="00654C50">
                              <w:rPr>
                                <w:b w:val="0"/>
                              </w:rPr>
                              <w:t xml:space="preserve"> Schematische weergave van het mechanisme van nacalculatie, sectorinkomsten volgen op sectorkosten, geactualiseerde waarden (voorbeeld van stijging in kosten)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kstvak 54" o:spid="_x0000_s1065" type="#_x0000_t202" style="position:absolute;left:0;text-align:left;margin-left:19.1pt;margin-top:191.75pt;width:384pt;height:.0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" stroked="f">
                <v:textbox style="mso-fit-shape-to-text:t" inset="0,0,0,0">
                  <w:txbxContent>
                    <w:p w14:paraId="33F595CA" w14:textId="42C33252" w:rsidR="008F1DB1" w:rsidRPr="00654C50" w:rsidRDefault="008F1DB1" w:rsidP="00622B83">
                      <w:pPr>
                        <w:pStyle w:val="Bijschrift"/>
                        <w:rPr>
                          <w:b w:val="0"/>
                          <w:noProof/>
                        </w:rPr>
                      </w:pPr>
                      <w:bookmarkStart w:id="360" w:name="_Ref390330115"/>
                      <w:r w:rsidRPr="00654C50">
                        <w:rPr>
                          <w:b w:val="0"/>
                        </w:rPr>
                        <w:t xml:space="preserve">Figuur </w:t>
                      </w:r>
                      <w:r w:rsidRPr="00654C50">
                        <w:rPr>
                          <w:b w:val="0"/>
                        </w:rPr>
                        <w:fldChar w:fldCharType="begin"/>
                      </w:r>
                      <w:r w:rsidRPr="00654C50">
                        <w:rPr>
                          <w:b w:val="0"/>
                        </w:rPr>
                        <w:instrText xml:space="preserve"> SEQ Figuur \* ARABIC </w:instrText>
                      </w:r>
                      <w:r w:rsidRPr="00654C50">
                        <w:rPr>
                          <w:b w:val="0"/>
                        </w:rPr>
                        <w:fldChar w:fldCharType="separate"/>
                      </w:r>
                      <w:r w:rsidRPr="00654C50">
                        <w:rPr>
                          <w:b w:val="0"/>
                          <w:noProof/>
                        </w:rPr>
                        <w:t>2</w:t>
                      </w:r>
                      <w:r w:rsidRPr="00654C50">
                        <w:rPr>
                          <w:b w:val="0"/>
                        </w:rPr>
                        <w:fldChar w:fldCharType="end"/>
                      </w:r>
                      <w:bookmarkEnd w:id="360"/>
                      <w:r w:rsidRPr="00654C50">
                        <w:rPr>
                          <w:b w:val="0"/>
                        </w:rPr>
                        <w:t xml:space="preserve"> Schematische weergave van het mechanisme van nacalculatie, sectorinkomsten volgen op sectorkosten, geactualiseerde waarden (voorbeeld van stijging in kosten)</w:t>
                      </w:r>
                    </w:p>
                  </w:txbxContent>
                </v:textbox>
              </v:shape>
            </w:pict>
          </mc:Fallback>
        </mc:AlternateContent>
      </w:r>
    </w:p>
    <w:p w14:paraId="30C16126" w14:textId="77777777" w:rsidR="00BE7018" w:rsidRPr="00043B8D" w:rsidRDefault="00BE7018" w:rsidP="00064CA5">
      <w:pPr>
        <w:tabs>
          <w:tab w:val="left" w:pos="1418"/>
          <w:tab w:val="left" w:pos="2835"/>
        </w:tabs>
      </w:pPr>
    </w:p>
    <w:p w14:paraId="05B8B3E4" w14:textId="77777777" w:rsidR="00A14E72" w:rsidRPr="00043B8D" w:rsidRDefault="00A14E72" w:rsidP="00064CA5">
      <w:pPr>
        <w:tabs>
          <w:tab w:val="left" w:pos="1418"/>
          <w:tab w:val="left" w:pos="2835"/>
        </w:tabs>
      </w:pPr>
    </w:p>
    <w:p w14:paraId="19D9F770" w14:textId="77777777" w:rsidR="00A14E72" w:rsidRPr="00043B8D" w:rsidRDefault="00A14E72" w:rsidP="00064CA5">
      <w:pPr>
        <w:tabs>
          <w:tab w:val="left" w:pos="1418"/>
          <w:tab w:val="left" w:pos="2835"/>
        </w:tabs>
      </w:pPr>
    </w:p>
    <w:p w14:paraId="59F653B6" w14:textId="77777777" w:rsidR="00A14E72" w:rsidRPr="00043B8D" w:rsidRDefault="00A14E72" w:rsidP="00064CA5">
      <w:pPr>
        <w:tabs>
          <w:tab w:val="left" w:pos="1418"/>
          <w:tab w:val="left" w:pos="2835"/>
        </w:tabs>
      </w:pPr>
    </w:p>
    <w:p w14:paraId="6FE1051E" w14:textId="77777777" w:rsidR="00E44479" w:rsidRPr="00043B8D" w:rsidRDefault="00E44479" w:rsidP="00064CA5">
      <w:pPr>
        <w:tabs>
          <w:tab w:val="left" w:pos="1418"/>
          <w:tab w:val="left" w:pos="2835"/>
        </w:tabs>
      </w:pPr>
    </w:p>
    <w:p w14:paraId="268E3368" w14:textId="77777777" w:rsidR="00E44479" w:rsidRPr="00043B8D" w:rsidRDefault="00E44479" w:rsidP="00064CA5">
      <w:pPr>
        <w:tabs>
          <w:tab w:val="left" w:pos="1418"/>
          <w:tab w:val="left" w:pos="2835"/>
        </w:tabs>
      </w:pPr>
    </w:p>
    <w:p w14:paraId="492ADBC7" w14:textId="6C4169DD" w:rsidR="00BF6440" w:rsidRPr="00043B8D" w:rsidRDefault="001A1D00" w:rsidP="00064CA5">
      <w:pPr>
        <w:tabs>
          <w:tab w:val="left" w:pos="1418"/>
          <w:tab w:val="left" w:pos="2835"/>
        </w:tabs>
      </w:pPr>
      <w:r w:rsidRPr="00043B8D">
        <w:t xml:space="preserve">De </w:t>
      </w:r>
      <w:r w:rsidR="00B810E3" w:rsidRPr="00043B8D">
        <w:t>toegelaten sectorinkomsten worden vervolgens op transparante</w:t>
      </w:r>
      <w:r w:rsidR="00C84FB9" w:rsidRPr="00043B8D">
        <w:t xml:space="preserve"> en</w:t>
      </w:r>
      <w:r w:rsidR="00B810E3" w:rsidRPr="00043B8D">
        <w:t xml:space="preserve"> objectieve wijze verdeeld onder de distributienetbeheerders overeenkomstig </w:t>
      </w:r>
      <w:r w:rsidR="00F5267B" w:rsidRPr="00043B8D">
        <w:t xml:space="preserve">het </w:t>
      </w:r>
      <w:r w:rsidR="00B810E3" w:rsidRPr="00043B8D">
        <w:t>aande</w:t>
      </w:r>
      <w:r w:rsidR="00F5267B" w:rsidRPr="00043B8D">
        <w:t>e</w:t>
      </w:r>
      <w:r w:rsidR="00B810E3" w:rsidRPr="00043B8D">
        <w:t xml:space="preserve">l van </w:t>
      </w:r>
      <w:r w:rsidR="00F5267B" w:rsidRPr="00043B8D">
        <w:t xml:space="preserve">elke </w:t>
      </w:r>
      <w:r w:rsidR="00B810E3" w:rsidRPr="00043B8D">
        <w:t>distributienetbeheerder in de beschouwde historische sectorkosten</w:t>
      </w:r>
      <w:r w:rsidR="00BF6440" w:rsidRPr="00043B8D">
        <w:t xml:space="preserve"> die aan de basis liggen van de sectorinkomsten</w:t>
      </w:r>
      <w:r w:rsidR="00B810E3" w:rsidRPr="00043B8D">
        <w:t xml:space="preserve">. </w:t>
      </w:r>
    </w:p>
    <w:p w14:paraId="4AE533B8" w14:textId="77777777" w:rsidR="00BF6440" w:rsidRPr="00043B8D" w:rsidRDefault="00BF6440" w:rsidP="00064CA5">
      <w:pPr>
        <w:tabs>
          <w:tab w:val="left" w:pos="1418"/>
          <w:tab w:val="left" w:pos="2835"/>
        </w:tabs>
      </w:pPr>
    </w:p>
    <w:p w14:paraId="59F646A8" w14:textId="1FBB72DA" w:rsidR="00064CA5" w:rsidRPr="00043B8D" w:rsidRDefault="00B810E3" w:rsidP="00064CA5">
      <w:pPr>
        <w:tabs>
          <w:tab w:val="left" w:pos="1418"/>
          <w:tab w:val="left" w:pos="2835"/>
        </w:tabs>
      </w:pPr>
      <w:r w:rsidRPr="00043B8D">
        <w:t xml:space="preserve">Dit proces </w:t>
      </w:r>
      <w:r w:rsidR="00BF6440" w:rsidRPr="00043B8D">
        <w:t xml:space="preserve">zal </w:t>
      </w:r>
      <w:r w:rsidR="006F0C25" w:rsidRPr="00043B8D">
        <w:t>periodiek</w:t>
      </w:r>
      <w:r w:rsidR="00BF6440" w:rsidRPr="00043B8D">
        <w:t xml:space="preserve"> gebeuren</w:t>
      </w:r>
      <w:r w:rsidR="006F0C25" w:rsidRPr="00043B8D">
        <w:t xml:space="preserve">, telkens </w:t>
      </w:r>
      <w:r w:rsidR="001A1D00" w:rsidRPr="00043B8D">
        <w:t xml:space="preserve">ter voorbereiding </w:t>
      </w:r>
      <w:r w:rsidR="00064CA5" w:rsidRPr="00043B8D">
        <w:t>van een nieuwe reguleringsperiode</w:t>
      </w:r>
      <w:r w:rsidRPr="00043B8D">
        <w:t xml:space="preserve">. </w:t>
      </w:r>
      <w:r w:rsidR="00FF2B61" w:rsidRPr="00043B8D">
        <w:t xml:space="preserve">Een gevolg van </w:t>
      </w:r>
      <w:r w:rsidRPr="00043B8D">
        <w:t xml:space="preserve">de toewijzing </w:t>
      </w:r>
      <w:r w:rsidR="00FF2B61" w:rsidRPr="00043B8D">
        <w:t xml:space="preserve">van de sectorinkomsten is </w:t>
      </w:r>
      <w:r w:rsidRPr="00043B8D">
        <w:t xml:space="preserve">dat </w:t>
      </w:r>
      <w:r w:rsidR="00064CA5" w:rsidRPr="00043B8D">
        <w:t>de kostenontwikkeling van een distributienetbeheerder over de laatste jaren</w:t>
      </w:r>
      <w:r w:rsidR="001A1D00" w:rsidRPr="00043B8D">
        <w:t xml:space="preserve"> </w:t>
      </w:r>
      <w:r w:rsidRPr="00043B8D">
        <w:t xml:space="preserve">wordt </w:t>
      </w:r>
      <w:r w:rsidR="00064CA5" w:rsidRPr="00043B8D">
        <w:t>vergel</w:t>
      </w:r>
      <w:r w:rsidRPr="00043B8D">
        <w:t>e</w:t>
      </w:r>
      <w:r w:rsidR="00064CA5" w:rsidRPr="00043B8D">
        <w:t xml:space="preserve">ken met de globale kostenontwikkeling in </w:t>
      </w:r>
      <w:r w:rsidR="001A1D00" w:rsidRPr="00043B8D">
        <w:t>zijn</w:t>
      </w:r>
      <w:r w:rsidR="00064CA5" w:rsidRPr="00043B8D">
        <w:t xml:space="preserve"> sector. Hoe groter </w:t>
      </w:r>
      <w:r w:rsidR="00991714" w:rsidRPr="00043B8D">
        <w:t xml:space="preserve">het verschil </w:t>
      </w:r>
      <w:r w:rsidR="00064CA5" w:rsidRPr="00043B8D">
        <w:t xml:space="preserve">tussen </w:t>
      </w:r>
      <w:r w:rsidR="00991714" w:rsidRPr="00043B8D">
        <w:t xml:space="preserve">de </w:t>
      </w:r>
      <w:r w:rsidR="00064CA5" w:rsidRPr="00043B8D">
        <w:t>beide</w:t>
      </w:r>
      <w:r w:rsidR="001A1D00" w:rsidRPr="00043B8D">
        <w:t xml:space="preserve"> kostenontwikkelingen</w:t>
      </w:r>
      <w:r w:rsidR="00064CA5" w:rsidRPr="00043B8D">
        <w:t xml:space="preserve">, des te </w:t>
      </w:r>
      <w:r w:rsidR="001A1D00" w:rsidRPr="00043B8D">
        <w:t xml:space="preserve">minder </w:t>
      </w:r>
      <w:r w:rsidR="00064CA5" w:rsidRPr="00043B8D">
        <w:t xml:space="preserve">zullen </w:t>
      </w:r>
      <w:r w:rsidR="00991714" w:rsidRPr="00043B8D">
        <w:t>de</w:t>
      </w:r>
      <w:r w:rsidR="00064CA5" w:rsidRPr="00043B8D">
        <w:t xml:space="preserve"> nieuwe inkomsten </w:t>
      </w:r>
      <w:r w:rsidR="00991714" w:rsidRPr="00043B8D">
        <w:t xml:space="preserve">van de distributienetbeheerder </w:t>
      </w:r>
      <w:r w:rsidR="00064CA5" w:rsidRPr="00043B8D">
        <w:t xml:space="preserve">aansluiten bij </w:t>
      </w:r>
      <w:r w:rsidR="0071227B" w:rsidRPr="00043B8D">
        <w:t xml:space="preserve">zijn </w:t>
      </w:r>
      <w:r w:rsidR="005234C5" w:rsidRPr="00043B8D">
        <w:t xml:space="preserve">laatst </w:t>
      </w:r>
      <w:r w:rsidR="00991714" w:rsidRPr="00043B8D">
        <w:t xml:space="preserve">gekende </w:t>
      </w:r>
      <w:r w:rsidR="0071227B" w:rsidRPr="00043B8D">
        <w:t>kosten</w:t>
      </w:r>
      <w:r w:rsidR="00064CA5" w:rsidRPr="00043B8D">
        <w:t xml:space="preserve">niveau </w:t>
      </w:r>
      <w:r w:rsidR="005234C5" w:rsidRPr="00043B8D">
        <w:t>(</w:t>
      </w:r>
      <w:r w:rsidR="0071227B" w:rsidRPr="00043B8D">
        <w:t xml:space="preserve">deze van </w:t>
      </w:r>
      <w:r w:rsidR="005234C5" w:rsidRPr="00043B8D">
        <w:t>het laatste jaar)</w:t>
      </w:r>
      <w:r w:rsidR="00064CA5" w:rsidRPr="00043B8D">
        <w:t xml:space="preserve">. </w:t>
      </w:r>
      <w:r w:rsidR="001A1D00" w:rsidRPr="00043B8D">
        <w:t xml:space="preserve">Indien bijvoorbeeld zijn kosten sneller zijn gestegen in de afgelopen jaren dan de evolutie van de </w:t>
      </w:r>
      <w:r w:rsidR="00220F31" w:rsidRPr="00043B8D">
        <w:t>sector</w:t>
      </w:r>
      <w:r w:rsidR="001A1D00" w:rsidRPr="00043B8D">
        <w:t xml:space="preserve">kosten, dan zal zijn nieuw inkomen in de volgende reguleringsperiode minder goed aansluiten bij zijn eigen </w:t>
      </w:r>
      <w:r w:rsidR="007C60FE" w:rsidRPr="00043B8D">
        <w:t>laatste en</w:t>
      </w:r>
      <w:r w:rsidR="001A1D00" w:rsidRPr="00043B8D">
        <w:t xml:space="preserve"> hoog</w:t>
      </w:r>
      <w:r w:rsidR="007C60FE" w:rsidRPr="00043B8D">
        <w:t>ste</w:t>
      </w:r>
      <w:r w:rsidR="001A1D00" w:rsidRPr="00043B8D">
        <w:t xml:space="preserve"> kostenniveau. Omgekeerd werkt het </w:t>
      </w:r>
      <w:r w:rsidR="00064CA5" w:rsidRPr="00043B8D">
        <w:t xml:space="preserve">mechanisme </w:t>
      </w:r>
      <w:r w:rsidR="001A1D00" w:rsidRPr="00043B8D">
        <w:t>op dezelfde wijze</w:t>
      </w:r>
      <w:r w:rsidR="007C60FE" w:rsidRPr="00043B8D">
        <w:t>,</w:t>
      </w:r>
      <w:r w:rsidR="00064CA5" w:rsidRPr="00043B8D">
        <w:t xml:space="preserve"> wa</w:t>
      </w:r>
      <w:r w:rsidR="007C60FE" w:rsidRPr="00043B8D">
        <w:t xml:space="preserve">nneer dus </w:t>
      </w:r>
      <w:r w:rsidR="001A1D00" w:rsidRPr="00043B8D">
        <w:t xml:space="preserve">zijn </w:t>
      </w:r>
      <w:r w:rsidR="00064CA5" w:rsidRPr="00043B8D">
        <w:t xml:space="preserve">kosten </w:t>
      </w:r>
      <w:r w:rsidR="001A1D00" w:rsidRPr="00043B8D">
        <w:t xml:space="preserve">relatief </w:t>
      </w:r>
      <w:r w:rsidR="007C60FE" w:rsidRPr="00043B8D">
        <w:t xml:space="preserve">sterker </w:t>
      </w:r>
      <w:r w:rsidR="00064CA5" w:rsidRPr="00043B8D">
        <w:t>da</w:t>
      </w:r>
      <w:r w:rsidR="001A1D00" w:rsidRPr="00043B8D">
        <w:t>a</w:t>
      </w:r>
      <w:r w:rsidR="00064CA5" w:rsidRPr="00043B8D">
        <w:t>l</w:t>
      </w:r>
      <w:r w:rsidR="001A1D00" w:rsidRPr="00043B8D">
        <w:t>d</w:t>
      </w:r>
      <w:r w:rsidR="00064CA5" w:rsidRPr="00043B8D">
        <w:t xml:space="preserve">en </w:t>
      </w:r>
      <w:r w:rsidR="001A1D00" w:rsidRPr="00043B8D">
        <w:t xml:space="preserve">in de afgelopen jaren </w:t>
      </w:r>
      <w:r w:rsidR="00064CA5" w:rsidRPr="00043B8D">
        <w:t>dan</w:t>
      </w:r>
      <w:r w:rsidR="001A1D00" w:rsidRPr="00043B8D">
        <w:t xml:space="preserve"> de </w:t>
      </w:r>
      <w:r w:rsidR="00220F31" w:rsidRPr="00043B8D">
        <w:t>sector</w:t>
      </w:r>
      <w:r w:rsidR="001A1D00" w:rsidRPr="00043B8D">
        <w:t>kosten</w:t>
      </w:r>
      <w:r w:rsidR="005234C5" w:rsidRPr="00043B8D">
        <w:t xml:space="preserve">, zullen de nieuwe inkomsten niet even laag liggen als </w:t>
      </w:r>
      <w:r w:rsidR="0071227B" w:rsidRPr="00043B8D">
        <w:t xml:space="preserve">zijn kosten </w:t>
      </w:r>
      <w:r w:rsidR="005234C5" w:rsidRPr="00043B8D">
        <w:t>in het laatste jaar</w:t>
      </w:r>
      <w:r w:rsidR="00064CA5" w:rsidRPr="00043B8D">
        <w:t>.</w:t>
      </w:r>
      <w:r w:rsidR="001A1D00" w:rsidRPr="00043B8D">
        <w:t xml:space="preserve"> </w:t>
      </w:r>
      <w:r w:rsidR="006F0C25" w:rsidRPr="00043B8D">
        <w:t xml:space="preserve">Het hier beschreven </w:t>
      </w:r>
      <w:r w:rsidR="00064CA5" w:rsidRPr="00043B8D">
        <w:t xml:space="preserve">mechanisme introduceert aldus een vorm van competitie tussen de distributienetbeheerders die elk in hun werkingsgebied optreden als monopolies. De nabootsing van </w:t>
      </w:r>
      <w:r w:rsidR="00FF2B61" w:rsidRPr="00043B8D">
        <w:t xml:space="preserve">een </w:t>
      </w:r>
      <w:r w:rsidR="00064CA5" w:rsidRPr="00043B8D">
        <w:t>concurrenti</w:t>
      </w:r>
      <w:r w:rsidR="00FF2B61" w:rsidRPr="00043B8D">
        <w:t xml:space="preserve">ële omgeving </w:t>
      </w:r>
      <w:r w:rsidR="00064CA5" w:rsidRPr="00043B8D">
        <w:t xml:space="preserve">is </w:t>
      </w:r>
      <w:r w:rsidR="00FF2B61" w:rsidRPr="00043B8D">
        <w:t xml:space="preserve">verantwoord, aangezien het wordt beschouwd als </w:t>
      </w:r>
      <w:r w:rsidR="00F5267B" w:rsidRPr="00043B8D">
        <w:t xml:space="preserve">een </w:t>
      </w:r>
      <w:r w:rsidR="005234C5" w:rsidRPr="00043B8D">
        <w:t>essentieel</w:t>
      </w:r>
      <w:r w:rsidR="00064CA5" w:rsidRPr="00043B8D">
        <w:t xml:space="preserve"> element in </w:t>
      </w:r>
      <w:r w:rsidR="00F5267B" w:rsidRPr="00043B8D">
        <w:t>de</w:t>
      </w:r>
      <w:r w:rsidR="00064CA5" w:rsidRPr="00043B8D">
        <w:t xml:space="preserve"> economische regulering van monopolies ter stimulering van kostenefficiënties. </w:t>
      </w:r>
      <w:r w:rsidR="00F5267B" w:rsidRPr="00043B8D">
        <w:t xml:space="preserve">De </w:t>
      </w:r>
      <w:r w:rsidR="007C60FE" w:rsidRPr="00043B8D">
        <w:t xml:space="preserve">door de VREG gehanteerde </w:t>
      </w:r>
      <w:r w:rsidR="00064CA5" w:rsidRPr="00043B8D">
        <w:t xml:space="preserve">berekeningswijze van het toegelaten inkomen </w:t>
      </w:r>
      <w:r w:rsidR="00F5267B" w:rsidRPr="00043B8D">
        <w:t xml:space="preserve">per distributienetbeheerder </w:t>
      </w:r>
      <w:r w:rsidR="00064CA5" w:rsidRPr="00043B8D">
        <w:t>ontmoedigt tegelijk mogelijke afspraken tussen de distributienetbeheerders over hun toekomstige kostenontwikkeling.</w:t>
      </w:r>
    </w:p>
    <w:p w14:paraId="58017731" w14:textId="77777777" w:rsidR="00832CC0" w:rsidRPr="00043B8D" w:rsidRDefault="00832CC0" w:rsidP="00D83F19">
      <w:pPr>
        <w:tabs>
          <w:tab w:val="left" w:pos="1418"/>
          <w:tab w:val="left" w:pos="2835"/>
        </w:tabs>
      </w:pPr>
    </w:p>
    <w:p w14:paraId="4B467CAD" w14:textId="014DECAF" w:rsidR="006F0C25" w:rsidRPr="00043B8D" w:rsidRDefault="007F4F10" w:rsidP="007F4F10">
      <w:pPr>
        <w:tabs>
          <w:tab w:val="left" w:pos="1418"/>
          <w:tab w:val="left" w:pos="2835"/>
        </w:tabs>
      </w:pPr>
      <w:r w:rsidRPr="00043B8D">
        <w:t>Het resultaat van deze werkwijze, de</w:t>
      </w:r>
      <w:r w:rsidR="00D20660" w:rsidRPr="00043B8D">
        <w:t xml:space="preserve"> vastgestelde</w:t>
      </w:r>
      <w:r w:rsidRPr="00043B8D">
        <w:t xml:space="preserve"> inkomsten </w:t>
      </w:r>
      <w:r w:rsidR="00D20660" w:rsidRPr="00043B8D">
        <w:t xml:space="preserve">per distributienetbeheerder </w:t>
      </w:r>
      <w:r w:rsidRPr="00043B8D">
        <w:t xml:space="preserve">voor de volgende reguleringsperiode, wordt dus door de prestaties van de distributienetbeheerders zelf bepaald. Willekeurig, discriminatoir en </w:t>
      </w:r>
      <w:r w:rsidR="00EB1671" w:rsidRPr="00043B8D">
        <w:t>niet-transparant</w:t>
      </w:r>
      <w:r w:rsidRPr="00043B8D">
        <w:t xml:space="preserve"> ingrijpen door de VREG wordt</w:t>
      </w:r>
      <w:r w:rsidR="00B8699A" w:rsidRPr="00043B8D">
        <w:t xml:space="preserve"> </w:t>
      </w:r>
      <w:r w:rsidRPr="00043B8D">
        <w:t xml:space="preserve">uitgesloten. </w:t>
      </w:r>
      <w:r w:rsidR="006F0C25" w:rsidRPr="00043B8D">
        <w:t xml:space="preserve">Het mechanisme is voorspelbaar en geeft een distributienetbeheerder de mogelijkheid het effect van zijn individuele kostenontwikkeling op zijn toekomstige inkomsten te begrijpen. </w:t>
      </w:r>
      <w:r w:rsidR="00B821CC" w:rsidRPr="00043B8D">
        <w:t xml:space="preserve">De tariefmethodologie stimuleert duurzame kostenbesparingen bij een distributienetbeheerder. Het </w:t>
      </w:r>
      <w:r w:rsidR="00D20660" w:rsidRPr="00043B8D">
        <w:t xml:space="preserve">wordt </w:t>
      </w:r>
      <w:r w:rsidR="00184F22" w:rsidRPr="00043B8D">
        <w:t xml:space="preserve">door de wijze van de berekening </w:t>
      </w:r>
      <w:r w:rsidR="00D20660" w:rsidRPr="00043B8D">
        <w:t xml:space="preserve">van het inkomen </w:t>
      </w:r>
      <w:r w:rsidR="00184F22" w:rsidRPr="00043B8D">
        <w:t>en het repetitief karakter ervan (per nieuwe reguleringsperiode</w:t>
      </w:r>
      <w:r w:rsidR="00D20660" w:rsidRPr="00043B8D">
        <w:t xml:space="preserve"> op basis van kosten uit een nieuwe historische periode</w:t>
      </w:r>
      <w:r w:rsidR="00184F22" w:rsidRPr="00043B8D">
        <w:t xml:space="preserve">) </w:t>
      </w:r>
      <w:r w:rsidR="00B821CC" w:rsidRPr="00043B8D">
        <w:t xml:space="preserve">niet </w:t>
      </w:r>
      <w:r w:rsidR="00D20660" w:rsidRPr="00043B8D">
        <w:t>financieel interessant</w:t>
      </w:r>
      <w:r w:rsidR="008763DD" w:rsidRPr="00043B8D">
        <w:t xml:space="preserve"> voor </w:t>
      </w:r>
      <w:r w:rsidR="00B821CC" w:rsidRPr="00043B8D">
        <w:t xml:space="preserve">een distributienetbeheerder </w:t>
      </w:r>
      <w:r w:rsidR="008763DD" w:rsidRPr="00043B8D">
        <w:t xml:space="preserve">om te besparen </w:t>
      </w:r>
      <w:r w:rsidR="00B821CC" w:rsidRPr="00043B8D">
        <w:t xml:space="preserve">door </w:t>
      </w:r>
      <w:r w:rsidR="00E4511D" w:rsidRPr="00043B8D">
        <w:t xml:space="preserve">louter </w:t>
      </w:r>
      <w:r w:rsidR="00B821CC" w:rsidRPr="00043B8D">
        <w:t xml:space="preserve">kosten </w:t>
      </w:r>
      <w:r w:rsidR="00D20660" w:rsidRPr="00043B8D">
        <w:t xml:space="preserve">even </w:t>
      </w:r>
      <w:r w:rsidR="008763DD" w:rsidRPr="00043B8D">
        <w:t>uit te stellen</w:t>
      </w:r>
      <w:r w:rsidR="00184F22" w:rsidRPr="00043B8D">
        <w:t xml:space="preserve"> zonder te trachten ze werkelijk</w:t>
      </w:r>
      <w:r w:rsidR="00D20660" w:rsidRPr="00043B8D">
        <w:t>, structureel</w:t>
      </w:r>
      <w:r w:rsidR="00184F22" w:rsidRPr="00043B8D">
        <w:t xml:space="preserve"> te verlagen</w:t>
      </w:r>
      <w:r w:rsidR="008763DD" w:rsidRPr="00043B8D">
        <w:t xml:space="preserve">. </w:t>
      </w:r>
    </w:p>
    <w:p w14:paraId="6A29C592" w14:textId="77777777" w:rsidR="006F0C25" w:rsidRPr="00043B8D" w:rsidRDefault="006F0C25" w:rsidP="007F4F10">
      <w:pPr>
        <w:tabs>
          <w:tab w:val="left" w:pos="1418"/>
          <w:tab w:val="left" w:pos="2835"/>
        </w:tabs>
      </w:pPr>
    </w:p>
    <w:p w14:paraId="5F8D723D" w14:textId="42A82E69" w:rsidR="007F4F10" w:rsidRPr="00043B8D" w:rsidRDefault="00B8699A" w:rsidP="007F4F10">
      <w:pPr>
        <w:tabs>
          <w:tab w:val="left" w:pos="1418"/>
          <w:tab w:val="left" w:pos="2835"/>
        </w:tabs>
      </w:pPr>
      <w:r w:rsidRPr="00043B8D">
        <w:t xml:space="preserve">In tegenstelling tot het </w:t>
      </w:r>
      <w:r w:rsidR="00CD026F" w:rsidRPr="00043B8D">
        <w:t xml:space="preserve">huidige </w:t>
      </w:r>
      <w:r w:rsidRPr="00043B8D">
        <w:t>Nederlands</w:t>
      </w:r>
      <w:r w:rsidR="00CD026F" w:rsidRPr="00043B8D">
        <w:t>e regulerings</w:t>
      </w:r>
      <w:r w:rsidRPr="00043B8D">
        <w:t xml:space="preserve">model </w:t>
      </w:r>
      <w:r w:rsidR="00CD026F" w:rsidRPr="00043B8D">
        <w:t>voor de regionale netbeheerders</w:t>
      </w:r>
      <w:r w:rsidRPr="00043B8D">
        <w:t xml:space="preserve">, bepaalt </w:t>
      </w:r>
      <w:r w:rsidR="00CD026F" w:rsidRPr="00043B8D">
        <w:t>de</w:t>
      </w:r>
      <w:r w:rsidR="007F4F10" w:rsidRPr="00043B8D">
        <w:t xml:space="preserve"> VREG </w:t>
      </w:r>
      <w:r w:rsidRPr="00043B8D">
        <w:t>dus</w:t>
      </w:r>
      <w:r w:rsidR="007F4F10" w:rsidRPr="00043B8D">
        <w:t xml:space="preserve"> niet voor elke distributienetbeheerder met welk theoretisch kostenniveau zijn efficiënte werking, gegeven de output die hij vandaag produceert,</w:t>
      </w:r>
      <w:r w:rsidR="00070535" w:rsidRPr="00043B8D">
        <w:t xml:space="preserve"> met objectiveerbare </w:t>
      </w:r>
      <w:r w:rsidR="00A72E9D" w:rsidRPr="00043B8D">
        <w:t xml:space="preserve">geïdentificeerde </w:t>
      </w:r>
      <w:r w:rsidR="00070535" w:rsidRPr="00043B8D">
        <w:t>regionale verschillen geldelijk kwantitatief afgezonderd,</w:t>
      </w:r>
      <w:r w:rsidR="007F4F10" w:rsidRPr="00043B8D">
        <w:t xml:space="preserve"> zou kunnen overeenstemmen. De VREG beschouwt </w:t>
      </w:r>
      <w:r w:rsidR="000676D7" w:rsidRPr="00043B8D">
        <w:t>een</w:t>
      </w:r>
      <w:r w:rsidR="007F4F10" w:rsidRPr="00043B8D">
        <w:t xml:space="preserve"> efficiëntie-studie op dit ogenblik niet haalbaar gezien de tijd voor overleg, voorbereiding en onderzoek die hiervoor nodig zou zijn. Tegelijk is de werkwijze </w:t>
      </w:r>
      <w:r w:rsidR="00070535" w:rsidRPr="00043B8D">
        <w:t xml:space="preserve">ook </w:t>
      </w:r>
      <w:r w:rsidR="007F4F10" w:rsidRPr="00043B8D">
        <w:t>niet geheel wenselijk</w:t>
      </w:r>
      <w:r w:rsidR="00070535" w:rsidRPr="00043B8D">
        <w:t xml:space="preserve"> omdat o</w:t>
      </w:r>
      <w:r w:rsidR="007F4F10" w:rsidRPr="00043B8D">
        <w:t xml:space="preserve">genblikkelijke efficiëntierangschikkingen van ondernemingen de flexibiliteit </w:t>
      </w:r>
      <w:r w:rsidR="000676D7" w:rsidRPr="00043B8D">
        <w:t xml:space="preserve">zouden </w:t>
      </w:r>
      <w:r w:rsidR="00070535" w:rsidRPr="00043B8D">
        <w:t xml:space="preserve">kunnen missen </w:t>
      </w:r>
      <w:r w:rsidR="007F4F10" w:rsidRPr="00043B8D">
        <w:t>om rekening te houden</w:t>
      </w:r>
      <w:r w:rsidR="00056918" w:rsidRPr="00043B8D">
        <w:t xml:space="preserve"> met</w:t>
      </w:r>
      <w:r w:rsidR="007F4F10" w:rsidRPr="00043B8D">
        <w:t xml:space="preserve"> de invloed van </w:t>
      </w:r>
      <w:r w:rsidR="00056918" w:rsidRPr="00043B8D">
        <w:t xml:space="preserve">zowel </w:t>
      </w:r>
      <w:r w:rsidR="007F4F10" w:rsidRPr="00043B8D">
        <w:t>huidige en nieuwe</w:t>
      </w:r>
      <w:r w:rsidR="00056918" w:rsidRPr="00043B8D">
        <w:t>, als</w:t>
      </w:r>
      <w:r w:rsidR="007F4F10" w:rsidRPr="00043B8D">
        <w:t xml:space="preserve"> externe en interne ontwikkelingen op de kosten. De VREG verkiest om de efficiëntie bij de distributienetbeheerders te stimuleren via de top-down aanpak van een inkomstenregulering </w:t>
      </w:r>
      <w:r w:rsidR="00070535" w:rsidRPr="00043B8D">
        <w:t xml:space="preserve">uitgaande van hun huidige werking, </w:t>
      </w:r>
      <w:r w:rsidR="003F5C7E" w:rsidRPr="00043B8D">
        <w:t xml:space="preserve">het </w:t>
      </w:r>
      <w:r w:rsidR="00070535" w:rsidRPr="00043B8D">
        <w:t>resultaat van</w:t>
      </w:r>
      <w:r w:rsidR="00A9651C" w:rsidRPr="00043B8D">
        <w:t xml:space="preserve"> rendements</w:t>
      </w:r>
      <w:r w:rsidR="00070535" w:rsidRPr="00043B8D">
        <w:t>regulering</w:t>
      </w:r>
      <w:r w:rsidR="00A9651C" w:rsidRPr="00043B8D">
        <w:t>en</w:t>
      </w:r>
      <w:r w:rsidR="00070535" w:rsidRPr="00043B8D">
        <w:t xml:space="preserve"> waarop </w:t>
      </w:r>
      <w:r w:rsidR="00A9651C" w:rsidRPr="00043B8D">
        <w:t xml:space="preserve">de </w:t>
      </w:r>
      <w:r w:rsidR="003F5C7E" w:rsidRPr="00043B8D">
        <w:t xml:space="preserve">CREG </w:t>
      </w:r>
      <w:r w:rsidR="00A9651C" w:rsidRPr="00043B8D">
        <w:t>als regulator sinds 2003 het toezicht op de kosten uitoefende.</w:t>
      </w:r>
    </w:p>
    <w:p w14:paraId="50648632" w14:textId="77777777" w:rsidR="007243EF" w:rsidRPr="00043B8D" w:rsidRDefault="007243EF" w:rsidP="00D83F19">
      <w:pPr>
        <w:tabs>
          <w:tab w:val="left" w:pos="1418"/>
          <w:tab w:val="left" w:pos="2835"/>
        </w:tabs>
      </w:pPr>
    </w:p>
    <w:p w14:paraId="3B7D058E" w14:textId="77777777" w:rsidR="00296B54" w:rsidRPr="00043B8D" w:rsidRDefault="00296B54" w:rsidP="005251E2">
      <w:pPr>
        <w:pStyle w:val="Kop2"/>
        <w:numPr>
          <w:ilvl w:val="3"/>
          <w:numId w:val="24"/>
        </w:numPr>
        <w:rPr>
          <w:i/>
          <w:sz w:val="22"/>
          <w:szCs w:val="22"/>
        </w:rPr>
      </w:pPr>
      <w:bookmarkStart w:id="361" w:name="_Toc454186679"/>
      <w:r w:rsidRPr="00043B8D">
        <w:rPr>
          <w:i/>
          <w:sz w:val="22"/>
          <w:szCs w:val="22"/>
        </w:rPr>
        <w:t>Benadering: lineaire extrapolatie</w:t>
      </w:r>
      <w:bookmarkEnd w:id="361"/>
    </w:p>
    <w:p w14:paraId="464AE6D0" w14:textId="77777777" w:rsidR="00296B54" w:rsidRPr="00043B8D" w:rsidRDefault="00296B54" w:rsidP="00D83F19">
      <w:pPr>
        <w:tabs>
          <w:tab w:val="left" w:pos="1418"/>
          <w:tab w:val="left" w:pos="2835"/>
        </w:tabs>
      </w:pPr>
    </w:p>
    <w:p w14:paraId="42858551" w14:textId="78CE9A4F" w:rsidR="005D44BD" w:rsidRPr="00043B8D" w:rsidRDefault="005D44BD" w:rsidP="005D44BD">
      <w:r w:rsidRPr="00043B8D">
        <w:t>De VREG zal de toekomstige inkomsten afleiden uit de evolutie van de historische</w:t>
      </w:r>
      <w:r w:rsidR="00220F31" w:rsidRPr="00043B8D">
        <w:t>, geactualiseerde</w:t>
      </w:r>
      <w:r w:rsidRPr="00043B8D">
        <w:t xml:space="preserve"> niet-exogene </w:t>
      </w:r>
      <w:r w:rsidR="00220F31" w:rsidRPr="00043B8D">
        <w:t>sector</w:t>
      </w:r>
      <w:r w:rsidRPr="00043B8D">
        <w:t>kosten met behulp van een lineaire regressietechniek</w:t>
      </w:r>
      <w:r w:rsidR="006A58AE" w:rsidRPr="00043B8D">
        <w:t xml:space="preserve"> (</w:t>
      </w:r>
      <w:r w:rsidR="007B09BB" w:rsidRPr="00043B8D">
        <w:t xml:space="preserve">volgens </w:t>
      </w:r>
      <w:r w:rsidR="006A58AE" w:rsidRPr="00043B8D">
        <w:t>kosten per jaar)</w:t>
      </w:r>
      <w:r w:rsidRPr="00043B8D">
        <w:t xml:space="preserve">. De VREG meent dat de </w:t>
      </w:r>
      <w:r w:rsidR="007B09BB" w:rsidRPr="00043B8D">
        <w:t xml:space="preserve">lineaire benadering een goede </w:t>
      </w:r>
      <w:r w:rsidRPr="00043B8D">
        <w:t xml:space="preserve">objectieve en transparante </w:t>
      </w:r>
      <w:r w:rsidR="007B09BB" w:rsidRPr="00043B8D">
        <w:t xml:space="preserve">methode </w:t>
      </w:r>
      <w:r w:rsidR="006A58AE" w:rsidRPr="00043B8D">
        <w:t>is</w:t>
      </w:r>
      <w:r w:rsidRPr="00043B8D">
        <w:t>, waarbij de extrapolatie naar inkomsten in de toekomst het best past bij de hoogte en de evolutie van de kosten in het verleden. De lineaire benadering heeft</w:t>
      </w:r>
      <w:r w:rsidR="004F708E" w:rsidRPr="00043B8D">
        <w:t xml:space="preserve"> </w:t>
      </w:r>
      <w:r w:rsidRPr="00043B8D">
        <w:t>t.o.v. het werken met de gemiddelde jaarlijkse procentuele kostenevolutie</w:t>
      </w:r>
      <w:r w:rsidR="00056918" w:rsidRPr="00043B8D">
        <w:t xml:space="preserve"> het voordeel </w:t>
      </w:r>
      <w:r w:rsidRPr="00043B8D">
        <w:t xml:space="preserve">dat elk jaar uit </w:t>
      </w:r>
      <w:r w:rsidR="007B09BB" w:rsidRPr="00043B8D">
        <w:t xml:space="preserve">een </w:t>
      </w:r>
      <w:r w:rsidRPr="00043B8D">
        <w:t xml:space="preserve">in het verleden beschouwde periode </w:t>
      </w:r>
      <w:r w:rsidR="00B71845" w:rsidRPr="00043B8D">
        <w:t>invloed heeft</w:t>
      </w:r>
      <w:r w:rsidRPr="00043B8D">
        <w:t xml:space="preserve">. Bij </w:t>
      </w:r>
      <w:r w:rsidR="004F708E" w:rsidRPr="00043B8D">
        <w:t xml:space="preserve">de </w:t>
      </w:r>
      <w:r w:rsidRPr="00043B8D">
        <w:t xml:space="preserve">procentuele benadering ligt de focus vooral op de kosten in het </w:t>
      </w:r>
      <w:r w:rsidR="006A58AE" w:rsidRPr="00043B8D">
        <w:t xml:space="preserve">eerste </w:t>
      </w:r>
      <w:r w:rsidRPr="00043B8D">
        <w:t xml:space="preserve">en </w:t>
      </w:r>
      <w:r w:rsidR="006A58AE" w:rsidRPr="00043B8D">
        <w:t xml:space="preserve">in het laatste </w:t>
      </w:r>
      <w:r w:rsidRPr="00043B8D">
        <w:t xml:space="preserve">jaar van de beschouwde </w:t>
      </w:r>
      <w:r w:rsidR="006A58AE" w:rsidRPr="00043B8D">
        <w:t xml:space="preserve">historische </w:t>
      </w:r>
      <w:r w:rsidRPr="00043B8D">
        <w:t xml:space="preserve">periode en </w:t>
      </w:r>
      <w:r w:rsidR="006A58AE" w:rsidRPr="00043B8D">
        <w:t xml:space="preserve">is </w:t>
      </w:r>
      <w:r w:rsidRPr="00043B8D">
        <w:t xml:space="preserve">het minder relevant wat tussenin gebeurde. </w:t>
      </w:r>
      <w:r w:rsidR="007B09BB" w:rsidRPr="00043B8D">
        <w:t xml:space="preserve">De </w:t>
      </w:r>
      <w:r w:rsidRPr="00043B8D">
        <w:t xml:space="preserve">VREG </w:t>
      </w:r>
      <w:r w:rsidR="007B09BB" w:rsidRPr="00043B8D">
        <w:t xml:space="preserve">wenst </w:t>
      </w:r>
      <w:r w:rsidRPr="00043B8D">
        <w:t>voldoende</w:t>
      </w:r>
      <w:r w:rsidR="007B09BB" w:rsidRPr="00043B8D">
        <w:t xml:space="preserve"> </w:t>
      </w:r>
      <w:r w:rsidRPr="00043B8D">
        <w:t xml:space="preserve">rekening te houden met alle gebeurtenissen </w:t>
      </w:r>
      <w:r w:rsidR="00E80C67" w:rsidRPr="00043B8D">
        <w:t>die een invloed hadden op</w:t>
      </w:r>
      <w:r w:rsidR="00A72E9D" w:rsidRPr="00043B8D">
        <w:t xml:space="preserve"> de beschouwde</w:t>
      </w:r>
      <w:r w:rsidR="00E80C67" w:rsidRPr="00043B8D">
        <w:t xml:space="preserve"> kosten </w:t>
      </w:r>
      <w:r w:rsidRPr="00043B8D">
        <w:t xml:space="preserve">in </w:t>
      </w:r>
      <w:r w:rsidR="00A72E9D" w:rsidRPr="00043B8D">
        <w:t>de</w:t>
      </w:r>
      <w:r w:rsidRPr="00043B8D">
        <w:t xml:space="preserve"> beschouwde </w:t>
      </w:r>
      <w:r w:rsidR="00EA5193" w:rsidRPr="00043B8D">
        <w:t xml:space="preserve">historische </w:t>
      </w:r>
      <w:r w:rsidRPr="00043B8D">
        <w:t>periode.</w:t>
      </w:r>
    </w:p>
    <w:p w14:paraId="17584068" w14:textId="77777777" w:rsidR="00BC2C99" w:rsidRPr="00043B8D" w:rsidRDefault="00BC2C99" w:rsidP="00F664D0"/>
    <w:p w14:paraId="2FAB904D" w14:textId="158C742E" w:rsidR="009462EF" w:rsidRPr="00043B8D" w:rsidRDefault="00A72E9D" w:rsidP="005251E2">
      <w:pPr>
        <w:pStyle w:val="Kop2"/>
        <w:numPr>
          <w:ilvl w:val="3"/>
          <w:numId w:val="24"/>
        </w:numPr>
        <w:rPr>
          <w:i/>
          <w:sz w:val="22"/>
          <w:szCs w:val="22"/>
        </w:rPr>
      </w:pPr>
      <w:bookmarkStart w:id="362" w:name="_Ref389750421"/>
      <w:bookmarkStart w:id="363" w:name="_Toc454186680"/>
      <w:r w:rsidRPr="00043B8D">
        <w:rPr>
          <w:i/>
          <w:sz w:val="22"/>
          <w:szCs w:val="22"/>
        </w:rPr>
        <w:t>B</w:t>
      </w:r>
      <w:r w:rsidR="009462EF" w:rsidRPr="00043B8D">
        <w:rPr>
          <w:i/>
          <w:sz w:val="22"/>
          <w:szCs w:val="22"/>
        </w:rPr>
        <w:t xml:space="preserve">eschouwde </w:t>
      </w:r>
      <w:r w:rsidR="00E80C67" w:rsidRPr="00043B8D">
        <w:rPr>
          <w:i/>
          <w:sz w:val="22"/>
          <w:szCs w:val="22"/>
        </w:rPr>
        <w:t xml:space="preserve">historische </w:t>
      </w:r>
      <w:r w:rsidR="009462EF" w:rsidRPr="00043B8D">
        <w:rPr>
          <w:i/>
          <w:sz w:val="22"/>
          <w:szCs w:val="22"/>
        </w:rPr>
        <w:t>periode</w:t>
      </w:r>
      <w:r w:rsidRPr="00043B8D">
        <w:rPr>
          <w:i/>
          <w:sz w:val="22"/>
          <w:szCs w:val="22"/>
        </w:rPr>
        <w:t xml:space="preserve"> voor reguleringsperiode 2015-2016</w:t>
      </w:r>
      <w:r w:rsidR="008C5723" w:rsidRPr="00043B8D">
        <w:rPr>
          <w:i/>
          <w:sz w:val="22"/>
          <w:szCs w:val="22"/>
        </w:rPr>
        <w:t>: 2010 t.e.m. 2013</w:t>
      </w:r>
      <w:bookmarkEnd w:id="362"/>
      <w:bookmarkEnd w:id="363"/>
    </w:p>
    <w:p w14:paraId="63CBAE7D" w14:textId="77777777" w:rsidR="009462EF" w:rsidRPr="00043B8D" w:rsidRDefault="009462EF" w:rsidP="00F664D0"/>
    <w:p w14:paraId="17F1ED6B" w14:textId="3244F554" w:rsidR="005D44BD" w:rsidRPr="00043B8D" w:rsidRDefault="005D44BD" w:rsidP="005D44BD">
      <w:r w:rsidRPr="00043B8D">
        <w:t xml:space="preserve">De VREG dient een keuze te maken </w:t>
      </w:r>
      <w:r w:rsidR="00056918" w:rsidRPr="00043B8D">
        <w:t xml:space="preserve">over </w:t>
      </w:r>
      <w:r w:rsidRPr="00043B8D">
        <w:t>de lengte van de</w:t>
      </w:r>
      <w:r w:rsidR="00056918" w:rsidRPr="00043B8D">
        <w:t>, in het verleden,</w:t>
      </w:r>
      <w:r w:rsidRPr="00043B8D">
        <w:t xml:space="preserve"> beschouwde periode waarvan de </w:t>
      </w:r>
      <w:r w:rsidR="008861C7" w:rsidRPr="00043B8D">
        <w:t xml:space="preserve">toenmalige </w:t>
      </w:r>
      <w:r w:rsidRPr="00043B8D">
        <w:t xml:space="preserve">kosten </w:t>
      </w:r>
      <w:r w:rsidR="008861C7" w:rsidRPr="00043B8D">
        <w:t xml:space="preserve">en de activa van de distributienetbeheerder </w:t>
      </w:r>
      <w:r w:rsidRPr="00043B8D">
        <w:t xml:space="preserve">de basis vormen </w:t>
      </w:r>
      <w:r w:rsidR="008861C7" w:rsidRPr="00043B8D">
        <w:t>v</w:t>
      </w:r>
      <w:r w:rsidR="00FC242D" w:rsidRPr="00043B8D">
        <w:t>oor</w:t>
      </w:r>
      <w:r w:rsidR="008861C7" w:rsidRPr="00043B8D">
        <w:t xml:space="preserve"> </w:t>
      </w:r>
      <w:r w:rsidRPr="00043B8D">
        <w:t>de berekening van de toegelaten inkomsten voor niet-exogene kosten in de volgende reguleringsperiode. De VREG zal zich</w:t>
      </w:r>
      <w:r w:rsidR="00056918" w:rsidRPr="00043B8D">
        <w:t xml:space="preserve"> voor de eerste reguleringsperiode (2015-2016)</w:t>
      </w:r>
      <w:r w:rsidRPr="00043B8D">
        <w:t xml:space="preserve"> baseren op de </w:t>
      </w:r>
      <w:r w:rsidR="008861C7" w:rsidRPr="00043B8D">
        <w:t xml:space="preserve">gegevens uit </w:t>
      </w:r>
      <w:r w:rsidRPr="00043B8D">
        <w:t xml:space="preserve">de jaren 2010 tot en met 2013. De VREG meent dat de </w:t>
      </w:r>
      <w:r w:rsidR="008861C7" w:rsidRPr="00043B8D">
        <w:t xml:space="preserve">kosten en activa van </w:t>
      </w:r>
      <w:r w:rsidRPr="00043B8D">
        <w:t xml:space="preserve">de distributienetbeheerders in deze periode het meest representatief zijn voor de </w:t>
      </w:r>
      <w:r w:rsidR="008861C7" w:rsidRPr="00043B8D">
        <w:t xml:space="preserve">vaststelling van de distributienettarieven in de </w:t>
      </w:r>
      <w:r w:rsidRPr="00043B8D">
        <w:t xml:space="preserve">volgende reguleringsperiode. </w:t>
      </w:r>
    </w:p>
    <w:p w14:paraId="372DECF3" w14:textId="77777777" w:rsidR="00942357" w:rsidRPr="00043B8D" w:rsidRDefault="00942357" w:rsidP="00F664D0"/>
    <w:p w14:paraId="77E80043" w14:textId="3C5180D6" w:rsidR="005D44BD" w:rsidRPr="00043B8D" w:rsidRDefault="005D44BD" w:rsidP="005D44BD">
      <w:r w:rsidRPr="00043B8D">
        <w:t xml:space="preserve">Indien in de toekomst </w:t>
      </w:r>
      <w:r w:rsidR="007417A4" w:rsidRPr="00043B8D">
        <w:t xml:space="preserve">door de VREG </w:t>
      </w:r>
      <w:r w:rsidRPr="00043B8D">
        <w:t xml:space="preserve">een constante lengte van reguleringsperiode </w:t>
      </w:r>
      <w:r w:rsidR="007417A4" w:rsidRPr="00043B8D">
        <w:t xml:space="preserve">zou worden </w:t>
      </w:r>
      <w:r w:rsidRPr="00043B8D">
        <w:t>aan</w:t>
      </w:r>
      <w:r w:rsidR="004E1FA7" w:rsidRPr="00043B8D">
        <w:t>ge</w:t>
      </w:r>
      <w:r w:rsidRPr="00043B8D">
        <w:t xml:space="preserve">houden, </w:t>
      </w:r>
      <w:r w:rsidR="004E1FA7" w:rsidRPr="00043B8D">
        <w:t xml:space="preserve">is </w:t>
      </w:r>
      <w:r w:rsidRPr="00043B8D">
        <w:t>het wenselijk om de lengte van de</w:t>
      </w:r>
      <w:r w:rsidR="00056918" w:rsidRPr="00043B8D">
        <w:t xml:space="preserve"> </w:t>
      </w:r>
      <w:r w:rsidRPr="00043B8D">
        <w:t xml:space="preserve">beschouwde periode </w:t>
      </w:r>
      <w:r w:rsidR="004E1FA7" w:rsidRPr="00043B8D">
        <w:t xml:space="preserve">uit het verleden </w:t>
      </w:r>
      <w:r w:rsidR="00DE5047" w:rsidRPr="00043B8D">
        <w:t xml:space="preserve">te bepalen in verhouding tot </w:t>
      </w:r>
      <w:r w:rsidRPr="00043B8D">
        <w:t xml:space="preserve">de lengte van de reguleringsperiode. Dat </w:t>
      </w:r>
      <w:r w:rsidR="004E1FA7" w:rsidRPr="00043B8D">
        <w:t xml:space="preserve">levert </w:t>
      </w:r>
      <w:r w:rsidRPr="00043B8D">
        <w:t xml:space="preserve">dan het voordeel </w:t>
      </w:r>
      <w:r w:rsidR="004E1FA7" w:rsidRPr="00043B8D">
        <w:t xml:space="preserve">op </w:t>
      </w:r>
      <w:r w:rsidRPr="00043B8D">
        <w:t>dat het laatste jaar van de</w:t>
      </w:r>
      <w:r w:rsidR="00056918" w:rsidRPr="00043B8D">
        <w:t>, in het verleden,</w:t>
      </w:r>
      <w:r w:rsidRPr="00043B8D">
        <w:t xml:space="preserve"> beschouwde periode telkens het beginjaar </w:t>
      </w:r>
      <w:r w:rsidR="004E1FA7" w:rsidRPr="00043B8D">
        <w:t xml:space="preserve">kan vormen </w:t>
      </w:r>
      <w:r w:rsidRPr="00043B8D">
        <w:t>voor de beschouwde periode v</w:t>
      </w:r>
      <w:r w:rsidR="00056918" w:rsidRPr="00043B8D">
        <w:t>an</w:t>
      </w:r>
      <w:r w:rsidRPr="00043B8D">
        <w:t xml:space="preserve"> de daaropvolgende reguleringsperiode. </w:t>
      </w:r>
      <w:r w:rsidR="007417A4" w:rsidRPr="00043B8D">
        <w:t xml:space="preserve">Kosten en inkomsten kunnen dan aansluitend doorwerken en dit geeft </w:t>
      </w:r>
      <w:r w:rsidR="004E1FA7" w:rsidRPr="00043B8D">
        <w:t xml:space="preserve">een bijkomende </w:t>
      </w:r>
      <w:r w:rsidRPr="00043B8D">
        <w:t xml:space="preserve">stabiliteit </w:t>
      </w:r>
      <w:r w:rsidR="005E2C01" w:rsidRPr="00043B8D">
        <w:t>en continuïteit</w:t>
      </w:r>
      <w:r w:rsidR="00020020" w:rsidRPr="00043B8D">
        <w:t xml:space="preserve"> in de tariefmethodologie</w:t>
      </w:r>
      <w:r w:rsidR="004E1FA7" w:rsidRPr="00043B8D">
        <w:t>.</w:t>
      </w:r>
    </w:p>
    <w:p w14:paraId="1A5F1050" w14:textId="77777777" w:rsidR="00C14CE8" w:rsidRPr="00043B8D" w:rsidRDefault="00C14CE8" w:rsidP="00F664D0"/>
    <w:p w14:paraId="4C019E36" w14:textId="66A61EAE" w:rsidR="005D44BD" w:rsidRPr="00043B8D" w:rsidRDefault="005D44BD" w:rsidP="005D44BD">
      <w:r w:rsidRPr="00043B8D">
        <w:t>De lengte van de</w:t>
      </w:r>
      <w:r w:rsidR="00056918" w:rsidRPr="00043B8D">
        <w:t>, in het verleden,</w:t>
      </w:r>
      <w:r w:rsidRPr="00043B8D">
        <w:t xml:space="preserve"> beschouwde periode bepaalt in welke mate de inkomsten van de distributienetbeheerder worden beïnvloed door zijn </w:t>
      </w:r>
      <w:r w:rsidR="005E2C01" w:rsidRPr="00043B8D">
        <w:t xml:space="preserve">individueel </w:t>
      </w:r>
      <w:r w:rsidRPr="00043B8D">
        <w:t xml:space="preserve">aandeel in de </w:t>
      </w:r>
      <w:r w:rsidR="005E2C01" w:rsidRPr="00043B8D">
        <w:t xml:space="preserve">historische </w:t>
      </w:r>
      <w:r w:rsidRPr="00043B8D">
        <w:t xml:space="preserve">sectorkosten. </w:t>
      </w:r>
      <w:r w:rsidR="00C340B7" w:rsidRPr="00043B8D">
        <w:t>Zoals vermeld zal e</w:t>
      </w:r>
      <w:r w:rsidRPr="00043B8D">
        <w:t>en distributienetbeheerder die in vergelijking met de sector</w:t>
      </w:r>
      <w:r w:rsidR="00220F31" w:rsidRPr="00043B8D">
        <w:t>kosten</w:t>
      </w:r>
      <w:r w:rsidRPr="00043B8D">
        <w:t xml:space="preserve"> een veel sterkere opwaartse of neerwaartse evolutie had in zijn kosten, </w:t>
      </w:r>
      <w:r w:rsidR="00C340B7" w:rsidRPr="00043B8D">
        <w:t>zijn eigen kosten</w:t>
      </w:r>
      <w:r w:rsidRPr="00043B8D">
        <w:t xml:space="preserve">evolutie met een zekere vertraging vertaald zien in zijn inkomsten uit distributienettarieven. Zijn aandeel in de </w:t>
      </w:r>
      <w:r w:rsidR="00C340B7" w:rsidRPr="00043B8D">
        <w:t>sector</w:t>
      </w:r>
      <w:r w:rsidRPr="00043B8D">
        <w:t xml:space="preserve">kosten </w:t>
      </w:r>
      <w:r w:rsidR="00C340B7" w:rsidRPr="00043B8D">
        <w:t xml:space="preserve">in het eerste jaar </w:t>
      </w:r>
      <w:r w:rsidRPr="00043B8D">
        <w:t xml:space="preserve">van de </w:t>
      </w:r>
      <w:r w:rsidR="00C340B7" w:rsidRPr="00043B8D">
        <w:t xml:space="preserve">historische </w:t>
      </w:r>
      <w:r w:rsidRPr="00043B8D">
        <w:t xml:space="preserve">periode kan immers sterk verschillen met zijn aandeel </w:t>
      </w:r>
      <w:r w:rsidR="00C340B7" w:rsidRPr="00043B8D">
        <w:t>in het laatste jaar</w:t>
      </w:r>
      <w:r w:rsidRPr="00043B8D">
        <w:t xml:space="preserve">. De </w:t>
      </w:r>
      <w:r w:rsidR="001667E1" w:rsidRPr="00043B8D">
        <w:t>toegelaten</w:t>
      </w:r>
      <w:r w:rsidR="00C340B7" w:rsidRPr="00043B8D">
        <w:t xml:space="preserve"> sector</w:t>
      </w:r>
      <w:r w:rsidRPr="00043B8D">
        <w:t xml:space="preserve">inkomsten in de volgende reguleringsperiode worden </w:t>
      </w:r>
      <w:r w:rsidR="00C340B7" w:rsidRPr="00043B8D">
        <w:t xml:space="preserve">per distributienetbeheerder </w:t>
      </w:r>
      <w:r w:rsidRPr="00043B8D">
        <w:t xml:space="preserve">toegewezen op basis van zijn aandeel in de </w:t>
      </w:r>
      <w:r w:rsidR="00C340B7" w:rsidRPr="00043B8D">
        <w:t>sector</w:t>
      </w:r>
      <w:r w:rsidRPr="00043B8D">
        <w:t xml:space="preserve">kosten </w:t>
      </w:r>
      <w:r w:rsidR="00A705A9" w:rsidRPr="00043B8D">
        <w:t xml:space="preserve">over </w:t>
      </w:r>
      <w:r w:rsidR="00C340B7" w:rsidRPr="00043B8D">
        <w:t xml:space="preserve">de beschouwde historische periode. </w:t>
      </w:r>
      <w:r w:rsidRPr="00043B8D">
        <w:t xml:space="preserve">Hoe korter de beschouwde periode voor de kosten uit het verleden, des te </w:t>
      </w:r>
      <w:r w:rsidR="003E55F5" w:rsidRPr="00043B8D">
        <w:t xml:space="preserve">meer kans is er dat het aandeel van een distributienetbeheerder </w:t>
      </w:r>
      <w:r w:rsidR="00A705A9" w:rsidRPr="00043B8D">
        <w:t xml:space="preserve">over </w:t>
      </w:r>
      <w:r w:rsidR="003E55F5" w:rsidRPr="00043B8D">
        <w:t>de historische sectorkosten aansluit bij zijn aandeel in de sectorkosten in het laatste jaar</w:t>
      </w:r>
      <w:r w:rsidRPr="00043B8D">
        <w:t xml:space="preserve">. Het nadeel is echter dat </w:t>
      </w:r>
      <w:r w:rsidR="003E55F5" w:rsidRPr="00043B8D">
        <w:t xml:space="preserve">een korte historische periode </w:t>
      </w:r>
      <w:r w:rsidRPr="00043B8D">
        <w:t xml:space="preserve">minder robuust is aangezien de trend van de inkomsten dan wordt gebaseerd op een kostentrend uit een beperkte tijd in het verleden. De distributienettarieven zouden onnodig sterk kunnen schommelen tussen opeenvolgende reguleringsperiodes, beïnvloed door tijdelijke kostenpieken of -dalen. Het zou leiden tot een grote volatiliteit in de hoogte van de inkomsten en bijhorende distributienettarieven. Dit gaat dan in tegen het streven naar een zekere prijsstabiliteit voor de </w:t>
      </w:r>
      <w:r w:rsidR="00055821" w:rsidRPr="00043B8D">
        <w:t>distributienetgebruikers</w:t>
      </w:r>
      <w:r w:rsidRPr="00043B8D">
        <w:t xml:space="preserve">. Indien de </w:t>
      </w:r>
      <w:r w:rsidR="00C340B7" w:rsidRPr="00043B8D">
        <w:t xml:space="preserve">voor de kosten </w:t>
      </w:r>
      <w:r w:rsidRPr="00043B8D">
        <w:t xml:space="preserve">beschouwde periode in het verleden langer wordt, zouden de inkomsten met een grotere vertraging volgen op een nieuwe trendbreuk in de kosten. Dit is uiteraard robuuster wat betreft de evolutie van de distributienettarieven maar kan zowel voor de </w:t>
      </w:r>
      <w:r w:rsidR="00055821" w:rsidRPr="00043B8D">
        <w:t xml:space="preserve">distributienetgebruikers </w:t>
      </w:r>
      <w:r w:rsidRPr="00043B8D">
        <w:t xml:space="preserve">als voor de distributienetbeheerder nadelig uitvallen. Een distributienetbeheerder die geconfronteerd wordt met sterker stijgende kosten, zal zijn verhoogd kostenniveau pas later verwerkt zien in zijn distributienettarieven. Anderzijds, wanneer de distributienetbeheerders hun kosten door besparingsprogramma’s hebben doen afnemen, moeten </w:t>
      </w:r>
      <w:r w:rsidR="00055821" w:rsidRPr="00043B8D">
        <w:t xml:space="preserve">distributienetgebruikers </w:t>
      </w:r>
      <w:r w:rsidRPr="00043B8D">
        <w:t xml:space="preserve">langer wachten op de vertaling van deze dalende kostentrend naar lagere tarieven. </w:t>
      </w:r>
      <w:r w:rsidR="00833FE9" w:rsidRPr="00043B8D">
        <w:t>Al deze aspecten in beschouwing genomen, meent de VREG nu dat de historische periode van 4 jaar (2010-2013) voldoende lang is voor de volgende reguleringsperiode van 2 jaar (2015-2016).</w:t>
      </w:r>
    </w:p>
    <w:p w14:paraId="751F4C97" w14:textId="77777777" w:rsidR="00C87D21" w:rsidRPr="00043B8D" w:rsidRDefault="00C87D21" w:rsidP="00F664D0"/>
    <w:p w14:paraId="4CCA27ED" w14:textId="77777777" w:rsidR="006428AE" w:rsidRPr="00043B8D" w:rsidRDefault="00EE30AC" w:rsidP="00F664D0">
      <w:r w:rsidRPr="00043B8D">
        <w:t>De beschouwde kosten, opbrengsten, activa en passiva in de periode 2010-2013 zijn deze voor het werkingsgebied van de distributienetbeheerder waartoe zijn distributienettarieven zullen dienen. De distributienetbeheerders GHA en AGEM werden in de beschouwde periode 2010-2013 overgenomen door distributienetbeheerder IVEG</w:t>
      </w:r>
      <w:r w:rsidR="008C3AD2" w:rsidRPr="00043B8D">
        <w:t xml:space="preserve">, </w:t>
      </w:r>
      <w:r w:rsidR="00034BFE" w:rsidRPr="00043B8D">
        <w:t xml:space="preserve">respectievelijk </w:t>
      </w:r>
      <w:r w:rsidRPr="00043B8D">
        <w:t>op 1</w:t>
      </w:r>
      <w:r w:rsidR="008C3AD2" w:rsidRPr="00043B8D">
        <w:t xml:space="preserve"> juli 20</w:t>
      </w:r>
      <w:r w:rsidRPr="00043B8D">
        <w:t xml:space="preserve">11 </w:t>
      </w:r>
      <w:r w:rsidR="008C3AD2" w:rsidRPr="00043B8D">
        <w:t>en</w:t>
      </w:r>
      <w:r w:rsidRPr="00043B8D">
        <w:t xml:space="preserve"> 1</w:t>
      </w:r>
      <w:r w:rsidR="008C3AD2" w:rsidRPr="00043B8D">
        <w:t xml:space="preserve"> januari 20</w:t>
      </w:r>
      <w:r w:rsidRPr="00043B8D">
        <w:t>12. Bijgevolg zal distributienetbeheerder IVEG de gegevens van de twee overgenomen</w:t>
      </w:r>
      <w:r w:rsidR="002F24EE" w:rsidRPr="00043B8D">
        <w:t xml:space="preserve"> distributienetbeheerder</w:t>
      </w:r>
      <w:r w:rsidRPr="00043B8D">
        <w:t>s verwerken en mee opnemen in zijn rapportering voor de jaren 2010 en 2011.</w:t>
      </w:r>
    </w:p>
    <w:p w14:paraId="026A9EAC" w14:textId="77777777" w:rsidR="0011227D" w:rsidRPr="00043B8D" w:rsidRDefault="0011227D" w:rsidP="00F664D0"/>
    <w:p w14:paraId="4F55CB5B" w14:textId="77777777" w:rsidR="00E6469B" w:rsidRPr="00043B8D" w:rsidRDefault="00E6469B" w:rsidP="005251E2">
      <w:pPr>
        <w:pStyle w:val="Kop2"/>
        <w:numPr>
          <w:ilvl w:val="3"/>
          <w:numId w:val="24"/>
        </w:numPr>
        <w:rPr>
          <w:i/>
          <w:sz w:val="22"/>
          <w:szCs w:val="22"/>
        </w:rPr>
      </w:pPr>
      <w:bookmarkStart w:id="364" w:name="_Ref389656596"/>
      <w:bookmarkStart w:id="365" w:name="_Toc454186681"/>
      <w:r w:rsidRPr="00043B8D">
        <w:rPr>
          <w:i/>
          <w:sz w:val="22"/>
          <w:szCs w:val="22"/>
        </w:rPr>
        <w:t>Invloed van inflatie</w:t>
      </w:r>
      <w:bookmarkEnd w:id="364"/>
      <w:bookmarkEnd w:id="365"/>
    </w:p>
    <w:p w14:paraId="2967359C" w14:textId="77777777" w:rsidR="00C87D21" w:rsidRPr="00043B8D" w:rsidRDefault="00C87D21" w:rsidP="00F664D0"/>
    <w:p w14:paraId="19F161DF" w14:textId="77777777" w:rsidR="00B75073" w:rsidRPr="00043B8D" w:rsidRDefault="005D44BD" w:rsidP="005D44BD">
      <w:r w:rsidRPr="00043B8D">
        <w:t xml:space="preserve">Om rekening te houden met de ontwaarding van de munteenheid in de tijd ten gevolge van de inflatie, worden de historische </w:t>
      </w:r>
      <w:r w:rsidR="00070026" w:rsidRPr="00043B8D">
        <w:t xml:space="preserve">waarden </w:t>
      </w:r>
      <w:r w:rsidR="000E4DE1" w:rsidRPr="00043B8D">
        <w:t xml:space="preserve">van de kosten </w:t>
      </w:r>
      <w:r w:rsidRPr="00043B8D">
        <w:t xml:space="preserve">geactualiseerd naar hun huidige waarde </w:t>
      </w:r>
      <w:r w:rsidR="00D04DEB" w:rsidRPr="00043B8D">
        <w:t>voor</w:t>
      </w:r>
      <w:r w:rsidR="00B84797" w:rsidRPr="00043B8D">
        <w:t xml:space="preserve"> de bepaling van</w:t>
      </w:r>
      <w:r w:rsidR="00D04DEB" w:rsidRPr="00043B8D">
        <w:t xml:space="preserve"> </w:t>
      </w:r>
      <w:r w:rsidRPr="00043B8D">
        <w:t xml:space="preserve">het begininkomen voor </w:t>
      </w:r>
      <w:r w:rsidR="00070026" w:rsidRPr="00043B8D">
        <w:t xml:space="preserve">het eerste jaar van </w:t>
      </w:r>
      <w:r w:rsidRPr="00043B8D">
        <w:t>de nieuwe reguleringsperiode</w:t>
      </w:r>
      <w:r w:rsidR="00D04DEB" w:rsidRPr="00043B8D">
        <w:t xml:space="preserve"> (2015)</w:t>
      </w:r>
      <w:r w:rsidRPr="00043B8D">
        <w:t xml:space="preserve">. </w:t>
      </w:r>
      <w:r w:rsidR="00B84797" w:rsidRPr="00043B8D">
        <w:t>Elke niet-exogene kost wordt aldus ge</w:t>
      </w:r>
      <w:r w:rsidR="00DB5421" w:rsidRPr="00043B8D">
        <w:t xml:space="preserve">actualiseerd naar huidige waarde volgens </w:t>
      </w:r>
      <w:r w:rsidR="00B84797" w:rsidRPr="00043B8D">
        <w:t xml:space="preserve">de </w:t>
      </w:r>
      <w:r w:rsidR="00220563" w:rsidRPr="00043B8D">
        <w:t xml:space="preserve">waargenomen </w:t>
      </w:r>
      <w:r w:rsidR="00B84797" w:rsidRPr="00043B8D">
        <w:t xml:space="preserve">inflatie sinds het jaar waarop de kost betrekking heeft. </w:t>
      </w:r>
    </w:p>
    <w:p w14:paraId="4839BC45" w14:textId="77777777" w:rsidR="00B75073" w:rsidRPr="00043B8D" w:rsidRDefault="00B75073" w:rsidP="005D44BD"/>
    <w:p w14:paraId="094AAC68" w14:textId="0078DC3A" w:rsidR="00D04DEB" w:rsidRPr="00043B8D" w:rsidRDefault="005F5ED7" w:rsidP="005D44BD">
      <w:r w:rsidRPr="00043B8D">
        <w:t xml:space="preserve">Binnen de gehanteerde tariefmethodologie is er </w:t>
      </w:r>
      <w:r w:rsidR="002F2891" w:rsidRPr="00043B8D">
        <w:t xml:space="preserve">binnen een reguleringsperiode jaarlijks </w:t>
      </w:r>
      <w:r w:rsidRPr="00043B8D">
        <w:t xml:space="preserve">een </w:t>
      </w:r>
      <w:r w:rsidR="00220563" w:rsidRPr="00043B8D">
        <w:t xml:space="preserve">aanpassing </w:t>
      </w:r>
      <w:r w:rsidRPr="00043B8D">
        <w:t xml:space="preserve">van het toegelaten inkomen op basis van </w:t>
      </w:r>
      <w:r w:rsidR="002F2891" w:rsidRPr="00043B8D">
        <w:t xml:space="preserve">o.a. </w:t>
      </w:r>
      <w:r w:rsidRPr="00043B8D">
        <w:t xml:space="preserve">het </w:t>
      </w:r>
      <w:r w:rsidR="00DB5421" w:rsidRPr="00043B8D">
        <w:t xml:space="preserve">laatste werkelijke </w:t>
      </w:r>
      <w:r w:rsidRPr="00043B8D">
        <w:t xml:space="preserve">inflatiecijfer (volgens </w:t>
      </w:r>
      <w:r w:rsidRPr="00043B8D">
        <w:fldChar w:fldCharType="begin"/>
      </w:r>
      <w:r w:rsidRPr="00043B8D">
        <w:instrText xml:space="preserve"> REF _Ref388628565 \h  \* MERGEFORMAT </w:instrText>
      </w:r>
      <w:r w:rsidRPr="00043B8D">
        <w:fldChar w:fldCharType="separate"/>
      </w:r>
      <w:r w:rsidR="00B30F9B" w:rsidRPr="00B30F9B">
        <w:t xml:space="preserve">formule </w:t>
      </w:r>
      <w:r w:rsidR="00B30F9B" w:rsidRPr="00B30F9B">
        <w:rPr>
          <w:noProof/>
        </w:rPr>
        <w:t>2</w:t>
      </w:r>
      <w:r w:rsidRPr="00043B8D">
        <w:fldChar w:fldCharType="end"/>
      </w:r>
      <w:r w:rsidRPr="00043B8D">
        <w:t>).</w:t>
      </w:r>
      <w:r w:rsidR="00220563" w:rsidRPr="00043B8D">
        <w:t xml:space="preserve"> </w:t>
      </w:r>
      <w:r w:rsidR="002F2891" w:rsidRPr="00043B8D">
        <w:t xml:space="preserve">De </w:t>
      </w:r>
      <w:r w:rsidR="00B75073" w:rsidRPr="00043B8D">
        <w:t xml:space="preserve">correctie </w:t>
      </w:r>
      <w:r w:rsidR="002F2891" w:rsidRPr="00043B8D">
        <w:t xml:space="preserve">van </w:t>
      </w:r>
      <w:r w:rsidR="00B75073" w:rsidRPr="00043B8D">
        <w:t xml:space="preserve">de </w:t>
      </w:r>
      <w:r w:rsidR="002F2891" w:rsidRPr="00043B8D">
        <w:t xml:space="preserve">kosten </w:t>
      </w:r>
      <w:r w:rsidR="00B75073" w:rsidRPr="00043B8D">
        <w:t xml:space="preserve">voor inflatie </w:t>
      </w:r>
      <w:r w:rsidR="002F2891" w:rsidRPr="00043B8D">
        <w:t xml:space="preserve">ter voorbereiding van een nieuwe reguleringsperiode </w:t>
      </w:r>
      <w:r w:rsidR="00DB5421" w:rsidRPr="00043B8D">
        <w:t xml:space="preserve">sluit hierbij aan door </w:t>
      </w:r>
      <w:r w:rsidR="002F2891" w:rsidRPr="00043B8D">
        <w:t xml:space="preserve">rekening </w:t>
      </w:r>
      <w:r w:rsidR="00DB5421" w:rsidRPr="00043B8D">
        <w:t xml:space="preserve">te houden </w:t>
      </w:r>
      <w:r w:rsidR="002F2891" w:rsidRPr="00043B8D">
        <w:t xml:space="preserve">met de inflatie in het laatste jaar van de </w:t>
      </w:r>
      <w:r w:rsidR="00E11F15" w:rsidRPr="00043B8D">
        <w:t>aflopende</w:t>
      </w:r>
      <w:r w:rsidR="002F2891" w:rsidRPr="00043B8D">
        <w:t xml:space="preserve"> reguleringsperiode, die nog moet verwerkt worden. Daarom ook wordt het inkomen voor het eerste jaar van de volgende reguleringsperiode vastgesteld op de extrapolatie naar de huidige waarde voor het laatste jaar</w:t>
      </w:r>
      <w:r w:rsidR="00DB5421" w:rsidRPr="00043B8D">
        <w:t xml:space="preserve"> </w:t>
      </w:r>
      <w:r w:rsidR="00B75073" w:rsidRPr="00043B8D">
        <w:t xml:space="preserve">van </w:t>
      </w:r>
      <w:r w:rsidR="00DB5421" w:rsidRPr="00043B8D">
        <w:t>de vorige reguleringsperiode</w:t>
      </w:r>
      <w:r w:rsidR="002F2891" w:rsidRPr="00043B8D">
        <w:t>, nu 2014</w:t>
      </w:r>
      <w:r w:rsidR="00BD7E51" w:rsidRPr="00043B8D">
        <w:t xml:space="preserve"> (</w:t>
      </w:r>
      <w:r w:rsidR="00BD7E51" w:rsidRPr="00043B8D">
        <w:fldChar w:fldCharType="begin"/>
      </w:r>
      <w:r w:rsidR="00BD7E51" w:rsidRPr="00043B8D">
        <w:instrText xml:space="preserve"> REF _Ref392768352 \h </w:instrText>
      </w:r>
      <w:r w:rsidR="00043B8D">
        <w:instrText xml:space="preserve"> \* MERGEFORMAT </w:instrText>
      </w:r>
      <w:r w:rsidR="00BD7E51" w:rsidRPr="00043B8D">
        <w:fldChar w:fldCharType="separate"/>
      </w:r>
      <w:r w:rsidR="00B30F9B" w:rsidRPr="00043B8D">
        <w:t xml:space="preserve">Figuur </w:t>
      </w:r>
      <w:r w:rsidR="00B30F9B">
        <w:rPr>
          <w:noProof/>
        </w:rPr>
        <w:t>3</w:t>
      </w:r>
      <w:r w:rsidR="00BD7E51" w:rsidRPr="00043B8D">
        <w:fldChar w:fldCharType="end"/>
      </w:r>
      <w:r w:rsidR="00BD7E51" w:rsidRPr="00043B8D">
        <w:t>)</w:t>
      </w:r>
      <w:r w:rsidR="002F2891" w:rsidRPr="00043B8D">
        <w:t>.</w:t>
      </w:r>
      <w:r w:rsidR="00DB5421" w:rsidRPr="00043B8D">
        <w:t xml:space="preserve"> Een alternatief</w:t>
      </w:r>
      <w:r w:rsidR="00B75073" w:rsidRPr="00043B8D">
        <w:t xml:space="preserve">, gesuggereerd aan de VREG tijdens de </w:t>
      </w:r>
      <w:r w:rsidR="00903209" w:rsidRPr="00043B8D">
        <w:t xml:space="preserve">eerste </w:t>
      </w:r>
      <w:r w:rsidR="00B75073" w:rsidRPr="00043B8D">
        <w:t>voorgaande consultatieperiode,</w:t>
      </w:r>
      <w:r w:rsidR="00DB5421" w:rsidRPr="00043B8D">
        <w:t xml:space="preserve"> is te werken met een jaarlijks wederkerende combinatie van ex-ante voorspelling en ex-post correctie voor de inflatie</w:t>
      </w:r>
      <w:r w:rsidR="006E2E90" w:rsidRPr="00043B8D">
        <w:t xml:space="preserve">. </w:t>
      </w:r>
      <w:r w:rsidR="00B75073" w:rsidRPr="00043B8D">
        <w:t>De VREG is van oordeel dat d</w:t>
      </w:r>
      <w:r w:rsidR="006E2E90" w:rsidRPr="00043B8D">
        <w:t xml:space="preserve">it </w:t>
      </w:r>
      <w:r w:rsidR="00DB5421" w:rsidRPr="00043B8D">
        <w:t xml:space="preserve">de tariefmethodologie onnodig </w:t>
      </w:r>
      <w:r w:rsidR="00B75073" w:rsidRPr="00043B8D">
        <w:t xml:space="preserve">zou </w:t>
      </w:r>
      <w:r w:rsidR="00DB5421" w:rsidRPr="00043B8D">
        <w:t xml:space="preserve">verzwaren </w:t>
      </w:r>
      <w:r w:rsidR="006E2E90" w:rsidRPr="00043B8D">
        <w:t xml:space="preserve">met </w:t>
      </w:r>
      <w:r w:rsidR="00903209" w:rsidRPr="00043B8D">
        <w:t xml:space="preserve">bijkomende </w:t>
      </w:r>
      <w:r w:rsidR="006E2E90" w:rsidRPr="00043B8D">
        <w:t xml:space="preserve">regulatoire saldi </w:t>
      </w:r>
      <w:r w:rsidR="00DB5421" w:rsidRPr="00043B8D">
        <w:t xml:space="preserve">en niet </w:t>
      </w:r>
      <w:r w:rsidR="00903209" w:rsidRPr="00043B8D">
        <w:t xml:space="preserve">ten goede komt aan de </w:t>
      </w:r>
      <w:r w:rsidR="00DB5421" w:rsidRPr="00043B8D">
        <w:t>transparant</w:t>
      </w:r>
      <w:r w:rsidR="00903209" w:rsidRPr="00043B8D">
        <w:t>ie en stabiliteit van de tariefmethodologie</w:t>
      </w:r>
      <w:r w:rsidR="001B7360" w:rsidRPr="00043B8D">
        <w:t>. I</w:t>
      </w:r>
      <w:r w:rsidR="006E2E90" w:rsidRPr="00043B8D">
        <w:t>nflatie</w:t>
      </w:r>
      <w:r w:rsidR="00DB5421" w:rsidRPr="00043B8D">
        <w:t xml:space="preserve">voorspellingen </w:t>
      </w:r>
      <w:r w:rsidR="001B7360" w:rsidRPr="00043B8D">
        <w:t xml:space="preserve">zijn </w:t>
      </w:r>
      <w:r w:rsidR="00DB5421" w:rsidRPr="00043B8D">
        <w:t>onzeker</w:t>
      </w:r>
      <w:r w:rsidR="00903209" w:rsidRPr="00043B8D">
        <w:t xml:space="preserve"> en indicatief</w:t>
      </w:r>
      <w:r w:rsidR="001B7360" w:rsidRPr="00043B8D">
        <w:t>. D</w:t>
      </w:r>
      <w:r w:rsidR="00DB5421" w:rsidRPr="00043B8D">
        <w:t xml:space="preserve">e distributienetgebruikers zouden </w:t>
      </w:r>
      <w:r w:rsidR="001B7360" w:rsidRPr="00043B8D">
        <w:t xml:space="preserve">er </w:t>
      </w:r>
      <w:r w:rsidR="00903209" w:rsidRPr="00043B8D">
        <w:t xml:space="preserve">dan </w:t>
      </w:r>
      <w:r w:rsidR="001B7360" w:rsidRPr="00043B8D">
        <w:t xml:space="preserve">echter wel concreet mee </w:t>
      </w:r>
      <w:r w:rsidR="00DB5421" w:rsidRPr="00043B8D">
        <w:t>geconfronteerd worden</w:t>
      </w:r>
      <w:r w:rsidR="001B7360" w:rsidRPr="00043B8D">
        <w:t>,</w:t>
      </w:r>
      <w:r w:rsidR="00DB5421" w:rsidRPr="00043B8D">
        <w:t xml:space="preserve"> met aanpassingen </w:t>
      </w:r>
      <w:r w:rsidR="00903209" w:rsidRPr="00043B8D">
        <w:t xml:space="preserve">in </w:t>
      </w:r>
      <w:r w:rsidR="00B75073" w:rsidRPr="00043B8D">
        <w:t xml:space="preserve">hun </w:t>
      </w:r>
      <w:r w:rsidR="00DB5421" w:rsidRPr="00043B8D">
        <w:t xml:space="preserve">distributienettarieven die niet overeenstemmen met de prijzenevolutie die zij </w:t>
      </w:r>
      <w:r w:rsidR="00BB5F8E" w:rsidRPr="00043B8D">
        <w:t xml:space="preserve">recent </w:t>
      </w:r>
      <w:r w:rsidR="009E1A88" w:rsidRPr="00043B8D">
        <w:t xml:space="preserve">hebben </w:t>
      </w:r>
      <w:r w:rsidR="00DB5421" w:rsidRPr="00043B8D">
        <w:t>ervaren.</w:t>
      </w:r>
      <w:r w:rsidR="001B7360" w:rsidRPr="00043B8D">
        <w:t xml:space="preserve"> </w:t>
      </w:r>
      <w:r w:rsidR="00BB5F8E" w:rsidRPr="00043B8D">
        <w:t>De aanpak kan dan op maatschappelijk</w:t>
      </w:r>
      <w:r w:rsidR="004F69AB" w:rsidRPr="00043B8D">
        <w:t>e</w:t>
      </w:r>
      <w:r w:rsidR="00BB5F8E" w:rsidRPr="00043B8D">
        <w:t xml:space="preserve"> weerstand stoten. </w:t>
      </w:r>
      <w:r w:rsidR="003D01DA" w:rsidRPr="00043B8D">
        <w:t xml:space="preserve">Tegelijk zou de aanpassing van de distributienettarieven volgens </w:t>
      </w:r>
      <w:r w:rsidR="009E1A88" w:rsidRPr="00043B8D">
        <w:t xml:space="preserve">een </w:t>
      </w:r>
      <w:r w:rsidR="003D01DA" w:rsidRPr="00043B8D">
        <w:t>verwacht</w:t>
      </w:r>
      <w:r w:rsidR="009E1A88" w:rsidRPr="00043B8D">
        <w:t>e</w:t>
      </w:r>
      <w:r w:rsidR="003D01DA" w:rsidRPr="00043B8D">
        <w:t xml:space="preserve"> inflatie </w:t>
      </w:r>
      <w:r w:rsidR="00815BDD" w:rsidRPr="00043B8D">
        <w:t xml:space="preserve">voor </w:t>
      </w:r>
      <w:r w:rsidR="003D01DA" w:rsidRPr="00043B8D">
        <w:t xml:space="preserve">een </w:t>
      </w:r>
      <w:r w:rsidR="009E1A88" w:rsidRPr="00043B8D">
        <w:t xml:space="preserve">vreemd </w:t>
      </w:r>
      <w:r w:rsidR="00815BDD" w:rsidRPr="00043B8D">
        <w:t>kring</w:t>
      </w:r>
      <w:r w:rsidR="003D01DA" w:rsidRPr="00043B8D">
        <w:t xml:space="preserve">effect </w:t>
      </w:r>
      <w:r w:rsidR="00815BDD" w:rsidRPr="00043B8D">
        <w:t>zorgen</w:t>
      </w:r>
      <w:r w:rsidR="009E1A88" w:rsidRPr="00043B8D">
        <w:t xml:space="preserve">, </w:t>
      </w:r>
      <w:r w:rsidR="00815BDD" w:rsidRPr="00043B8D">
        <w:t xml:space="preserve">omdat </w:t>
      </w:r>
      <w:r w:rsidR="00241E5C" w:rsidRPr="00043B8D">
        <w:t xml:space="preserve">de werkelijke </w:t>
      </w:r>
      <w:r w:rsidR="00815BDD" w:rsidRPr="00043B8D">
        <w:t xml:space="preserve">inflatie </w:t>
      </w:r>
      <w:r w:rsidR="009E1A88" w:rsidRPr="00043B8D">
        <w:t xml:space="preserve">wordt </w:t>
      </w:r>
      <w:r w:rsidR="00815BDD" w:rsidRPr="00043B8D">
        <w:t xml:space="preserve">afgeleid uit de evolutie van </w:t>
      </w:r>
      <w:r w:rsidR="00241E5C" w:rsidRPr="00043B8D">
        <w:t xml:space="preserve">o.a. </w:t>
      </w:r>
      <w:r w:rsidR="00815BDD" w:rsidRPr="00043B8D">
        <w:t xml:space="preserve">de </w:t>
      </w:r>
      <w:r w:rsidR="009E1A88" w:rsidRPr="00043B8D">
        <w:t>distributienettarieven</w:t>
      </w:r>
      <w:r w:rsidR="003D01DA" w:rsidRPr="00043B8D">
        <w:t xml:space="preserve">. </w:t>
      </w:r>
      <w:r w:rsidR="00903209" w:rsidRPr="00043B8D">
        <w:t xml:space="preserve">Het is </w:t>
      </w:r>
      <w:r w:rsidR="008C4952" w:rsidRPr="00043B8D">
        <w:t>beter</w:t>
      </w:r>
      <w:r w:rsidR="00903209" w:rsidRPr="00043B8D">
        <w:t>, transparanter en stabieler om</w:t>
      </w:r>
      <w:r w:rsidR="008C4952" w:rsidRPr="00043B8D">
        <w:t xml:space="preserve"> louter </w:t>
      </w:r>
      <w:r w:rsidR="00903209" w:rsidRPr="00043B8D">
        <w:t xml:space="preserve">met de werkelijke inflatiecijfers </w:t>
      </w:r>
      <w:r w:rsidR="008C4952" w:rsidRPr="00043B8D">
        <w:t>aansluitend jaar op jaar door te werken</w:t>
      </w:r>
      <w:r w:rsidR="00A449DA" w:rsidRPr="00043B8D">
        <w:t>, binnen een reguleringsperiode toegepast op de inkomens en tussen reguleringsperiodes toegepast op de</w:t>
      </w:r>
      <w:r w:rsidR="00DA7B2C" w:rsidRPr="00043B8D">
        <w:t xml:space="preserve"> historische</w:t>
      </w:r>
      <w:r w:rsidR="00A449DA" w:rsidRPr="00043B8D">
        <w:t xml:space="preserve"> kosten, </w:t>
      </w:r>
      <w:r w:rsidR="003D01DA" w:rsidRPr="00043B8D">
        <w:t>en de distributienettarieven met behulp daarvan aan te passen</w:t>
      </w:r>
      <w:r w:rsidR="008C4952" w:rsidRPr="00043B8D">
        <w:t xml:space="preserve">. </w:t>
      </w:r>
    </w:p>
    <w:p w14:paraId="69293721" w14:textId="77777777" w:rsidR="00D04DEB" w:rsidRPr="00043B8D" w:rsidRDefault="00D04DEB" w:rsidP="005D44BD"/>
    <w:p w14:paraId="78015493" w14:textId="0DF3DDD8" w:rsidR="00A957C1" w:rsidRPr="00043B8D" w:rsidRDefault="001F4E80" w:rsidP="00A957C1">
      <w:pPr>
        <w:keepNext/>
      </w:pPr>
      <w:r w:rsidRPr="00043B8D">
        <w:rPr>
          <w:noProof/>
          <w:lang w:val="nl-BE" w:eastAsia="nl-BE"/>
        </w:rPr>
        <w:drawing>
          <wp:inline distT="0" distB="0" distL="0" distR="0" wp14:anchorId="1D9C4BEA" wp14:editId="4EADF387">
            <wp:extent cx="3394800" cy="2275200"/>
            <wp:effectExtent l="0" t="0" r="0"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3394800" cy="2275200"/>
                    </a:xfrm>
                    <a:prstGeom prst="rect">
                      <a:avLst/>
                    </a:prstGeom>
                  </pic:spPr>
                </pic:pic>
              </a:graphicData>
            </a:graphic>
          </wp:inline>
        </w:drawing>
      </w:r>
    </w:p>
    <w:p w14:paraId="073133E8" w14:textId="485073A2" w:rsidR="00A957C1" w:rsidRPr="000D284A" w:rsidRDefault="00A957C1" w:rsidP="00654C50">
      <w:pPr>
        <w:pStyle w:val="Bijschrift"/>
        <w:jc w:val="left"/>
        <w:rPr>
          <w:b w:val="0"/>
          <w:i/>
        </w:rPr>
      </w:pPr>
      <w:bookmarkStart w:id="366" w:name="_Ref392768352"/>
      <w:r w:rsidRPr="000D284A">
        <w:rPr>
          <w:b w:val="0"/>
          <w:i/>
        </w:rPr>
        <w:t xml:space="preserve">Figuur </w:t>
      </w:r>
      <w:r w:rsidRPr="000D284A">
        <w:rPr>
          <w:b w:val="0"/>
          <w:i/>
        </w:rPr>
        <w:fldChar w:fldCharType="begin"/>
      </w:r>
      <w:r w:rsidRPr="000D284A">
        <w:rPr>
          <w:b w:val="0"/>
          <w:i/>
        </w:rPr>
        <w:instrText xml:space="preserve"> SEQ Figuur \* ARABIC </w:instrText>
      </w:r>
      <w:r w:rsidRPr="000D284A">
        <w:rPr>
          <w:b w:val="0"/>
          <w:i/>
        </w:rPr>
        <w:fldChar w:fldCharType="separate"/>
      </w:r>
      <w:r w:rsidR="000D284A">
        <w:rPr>
          <w:b w:val="0"/>
          <w:i/>
          <w:noProof/>
        </w:rPr>
        <w:t>3</w:t>
      </w:r>
      <w:r w:rsidRPr="000D284A">
        <w:rPr>
          <w:b w:val="0"/>
          <w:i/>
        </w:rPr>
        <w:fldChar w:fldCharType="end"/>
      </w:r>
      <w:bookmarkEnd w:id="366"/>
      <w:r w:rsidRPr="000D284A">
        <w:rPr>
          <w:b w:val="0"/>
          <w:i/>
        </w:rPr>
        <w:t xml:space="preserve"> </w:t>
      </w:r>
      <w:r w:rsidR="0009022F" w:rsidRPr="000D284A">
        <w:rPr>
          <w:b w:val="0"/>
          <w:i/>
        </w:rPr>
        <w:t>Sectork</w:t>
      </w:r>
      <w:r w:rsidRPr="000D284A">
        <w:rPr>
          <w:b w:val="0"/>
          <w:i/>
        </w:rPr>
        <w:t xml:space="preserve">osten </w:t>
      </w:r>
      <w:r w:rsidR="001C30AF" w:rsidRPr="000D284A">
        <w:rPr>
          <w:b w:val="0"/>
          <w:i/>
        </w:rPr>
        <w:t xml:space="preserve">geactualiseerd </w:t>
      </w:r>
      <w:r w:rsidRPr="000D284A">
        <w:rPr>
          <w:b w:val="0"/>
          <w:i/>
        </w:rPr>
        <w:t>naar huidige waarde</w:t>
      </w:r>
      <w:r w:rsidR="0009022F" w:rsidRPr="000D284A">
        <w:rPr>
          <w:b w:val="0"/>
          <w:i/>
        </w:rPr>
        <w:t xml:space="preserve"> 2014 voor sectorinkomsten 2015</w:t>
      </w:r>
      <w:r w:rsidR="00457E1F" w:rsidRPr="000D284A">
        <w:rPr>
          <w:b w:val="0"/>
          <w:i/>
        </w:rPr>
        <w:t xml:space="preserve"> en 2016</w:t>
      </w:r>
      <w:r w:rsidR="0009022F" w:rsidRPr="000D284A">
        <w:rPr>
          <w:b w:val="0"/>
          <w:i/>
        </w:rPr>
        <w:t>.</w:t>
      </w:r>
    </w:p>
    <w:p w14:paraId="41F57792" w14:textId="77777777" w:rsidR="00A957C1" w:rsidRPr="00043B8D" w:rsidRDefault="00A957C1" w:rsidP="005D44BD"/>
    <w:p w14:paraId="77805A17" w14:textId="0B1E77B5" w:rsidR="005D44BD" w:rsidRPr="00043B8D" w:rsidRDefault="005D44BD" w:rsidP="005D44BD">
      <w:r w:rsidRPr="00043B8D">
        <w:t xml:space="preserve">De VREG </w:t>
      </w:r>
      <w:r w:rsidR="00D04DEB" w:rsidRPr="00043B8D">
        <w:t>wenst</w:t>
      </w:r>
      <w:r w:rsidRPr="00043B8D">
        <w:t xml:space="preserve"> de actualisatie </w:t>
      </w:r>
      <w:r w:rsidR="00D04DEB" w:rsidRPr="00043B8D">
        <w:t xml:space="preserve">van de historische kosten </w:t>
      </w:r>
      <w:r w:rsidRPr="00043B8D">
        <w:t xml:space="preserve">zo dicht als mogelijk uit te voeren bij het begin van de nieuwe reguleringsperiode maar toch met voldoende tijd voor de omzetting naar nieuwe distributienettarieven. De VREG zal daarom werken met de </w:t>
      </w:r>
      <w:r w:rsidR="00935C65" w:rsidRPr="00043B8D">
        <w:t xml:space="preserve">jaarlijkse </w:t>
      </w:r>
      <w:r w:rsidRPr="00043B8D">
        <w:t>inflatiecijfers van augustus</w:t>
      </w:r>
      <w:r w:rsidR="00D04DEB" w:rsidRPr="00043B8D">
        <w:t xml:space="preserve">. </w:t>
      </w:r>
      <w:r w:rsidRPr="00043B8D">
        <w:t xml:space="preserve">Vervolgens zal jaarlijks het inkomen voor het volgende jaar worden aangepast volgens </w:t>
      </w:r>
      <w:r w:rsidRPr="00043B8D">
        <w:fldChar w:fldCharType="begin"/>
      </w:r>
      <w:r w:rsidRPr="00043B8D">
        <w:instrText xml:space="preserve"> REF _Ref388628565 \h  \* MERGEFORMAT </w:instrText>
      </w:r>
      <w:r w:rsidRPr="00043B8D">
        <w:fldChar w:fldCharType="separate"/>
      </w:r>
      <w:r w:rsidR="00B30F9B" w:rsidRPr="00B30F9B">
        <w:t xml:space="preserve">formule </w:t>
      </w:r>
      <w:r w:rsidR="00B30F9B" w:rsidRPr="00B30F9B">
        <w:rPr>
          <w:noProof/>
        </w:rPr>
        <w:t>2</w:t>
      </w:r>
      <w:r w:rsidRPr="00043B8D">
        <w:fldChar w:fldCharType="end"/>
      </w:r>
      <w:r w:rsidRPr="00043B8D">
        <w:t xml:space="preserve"> op basis van het nieuwe inflatiecijfer van augustus. </w:t>
      </w:r>
      <w:r w:rsidR="00E64716" w:rsidRPr="00043B8D">
        <w:t xml:space="preserve">Bij </w:t>
      </w:r>
      <w:r w:rsidR="004A05FE" w:rsidRPr="00043B8D">
        <w:t xml:space="preserve">de </w:t>
      </w:r>
      <w:r w:rsidR="00E64716" w:rsidRPr="00043B8D">
        <w:t xml:space="preserve">overgang naar een nieuwe reguleringsperiode zullen de </w:t>
      </w:r>
      <w:r w:rsidR="00DA7B2C" w:rsidRPr="00043B8D">
        <w:t xml:space="preserve">historische </w:t>
      </w:r>
      <w:r w:rsidR="00E64716" w:rsidRPr="00043B8D">
        <w:t xml:space="preserve">kosten ook worden geactualiseerd op basis van het inflatiecijfer van augustus. </w:t>
      </w:r>
      <w:r w:rsidRPr="00043B8D">
        <w:t xml:space="preserve">Op die manier </w:t>
      </w:r>
      <w:r w:rsidR="004A34A3" w:rsidRPr="00043B8D">
        <w:t xml:space="preserve">werkt </w:t>
      </w:r>
      <w:r w:rsidRPr="00043B8D">
        <w:t>de invloed van de inflatie jaarlijks aansluitend door.</w:t>
      </w:r>
    </w:p>
    <w:p w14:paraId="120D1BF2" w14:textId="77777777" w:rsidR="005D44BD" w:rsidRPr="00043B8D" w:rsidRDefault="005D44BD" w:rsidP="005D44BD"/>
    <w:p w14:paraId="1BF5C27F" w14:textId="66A25CB4" w:rsidR="005D44BD" w:rsidRPr="00043B8D" w:rsidRDefault="005D44BD" w:rsidP="005D44BD">
      <w:r w:rsidRPr="00043B8D">
        <w:t xml:space="preserve">Als maat voor de inflatie wordt gewerkt met de consumptieprijsindex (CPI) die wordt gepubliceerd door de </w:t>
      </w:r>
      <w:hyperlink r:id="rId24" w:history="1">
        <w:r w:rsidRPr="00043B8D">
          <w:rPr>
            <w:rStyle w:val="Hyperlink"/>
            <w:color w:val="auto"/>
          </w:rPr>
          <w:t>Federale Overheidsdienst Economie</w:t>
        </w:r>
      </w:hyperlink>
      <w:r w:rsidRPr="00043B8D">
        <w:t xml:space="preserve">. Deze indicator ligt buiten de invloedsfeer van de distributienetbeheerders en de regulator en wordt vaak </w:t>
      </w:r>
      <w:r w:rsidR="00E41E4D" w:rsidRPr="00043B8D">
        <w:t xml:space="preserve">door </w:t>
      </w:r>
      <w:r w:rsidR="004326D6" w:rsidRPr="00043B8D">
        <w:t xml:space="preserve">andere </w:t>
      </w:r>
      <w:r w:rsidR="00E41E4D" w:rsidRPr="00043B8D">
        <w:t xml:space="preserve">regulatoren </w:t>
      </w:r>
      <w:r w:rsidRPr="00043B8D">
        <w:t xml:space="preserve">gebruikt in inkomsten- en prijsregulering. De </w:t>
      </w:r>
      <w:r w:rsidR="00055821" w:rsidRPr="00043B8D">
        <w:t xml:space="preserve">distributienetgebruikers </w:t>
      </w:r>
      <w:r w:rsidRPr="00043B8D">
        <w:t>zijn vertrouwd met deze index en het laat h</w:t>
      </w:r>
      <w:r w:rsidR="00037EE9" w:rsidRPr="00043B8D">
        <w:t>u</w:t>
      </w:r>
      <w:r w:rsidRPr="00043B8D">
        <w:t xml:space="preserve">n toe de jaarlijkse aanpassingen van de distributienettarieven voor niet-exogene kosten (volgens </w:t>
      </w:r>
      <w:r w:rsidRPr="00043B8D">
        <w:fldChar w:fldCharType="begin"/>
      </w:r>
      <w:r w:rsidRPr="00043B8D">
        <w:instrText xml:space="preserve"> REF _Ref388628565 \h  \* MERGEFORMAT </w:instrText>
      </w:r>
      <w:r w:rsidRPr="00043B8D">
        <w:fldChar w:fldCharType="separate"/>
      </w:r>
      <w:r w:rsidR="00B30F9B" w:rsidRPr="00B30F9B">
        <w:t xml:space="preserve">formule </w:t>
      </w:r>
      <w:r w:rsidR="00B30F9B" w:rsidRPr="00B30F9B">
        <w:rPr>
          <w:noProof/>
        </w:rPr>
        <w:t>2</w:t>
      </w:r>
      <w:r w:rsidRPr="00043B8D">
        <w:fldChar w:fldCharType="end"/>
      </w:r>
      <w:r w:rsidRPr="00043B8D">
        <w:t>) beter in te schatten.</w:t>
      </w:r>
    </w:p>
    <w:p w14:paraId="783E99B5" w14:textId="77777777" w:rsidR="008E3126" w:rsidRPr="00043B8D" w:rsidRDefault="008E3126" w:rsidP="005D44BD"/>
    <w:p w14:paraId="1632E228" w14:textId="77777777" w:rsidR="0059593F" w:rsidRPr="00043B8D" w:rsidRDefault="008115D8" w:rsidP="005251E2">
      <w:pPr>
        <w:pStyle w:val="Kop2"/>
        <w:numPr>
          <w:ilvl w:val="3"/>
          <w:numId w:val="24"/>
        </w:numPr>
        <w:rPr>
          <w:i/>
          <w:sz w:val="22"/>
          <w:szCs w:val="22"/>
        </w:rPr>
      </w:pPr>
      <w:bookmarkStart w:id="367" w:name="_Ref392762205"/>
      <w:bookmarkStart w:id="368" w:name="_Toc454186682"/>
      <w:r w:rsidRPr="00043B8D">
        <w:rPr>
          <w:i/>
          <w:sz w:val="22"/>
          <w:szCs w:val="22"/>
        </w:rPr>
        <w:t xml:space="preserve">Toegelaten </w:t>
      </w:r>
      <w:r w:rsidR="00F82284" w:rsidRPr="00043B8D">
        <w:rPr>
          <w:i/>
          <w:sz w:val="22"/>
          <w:szCs w:val="22"/>
        </w:rPr>
        <w:t xml:space="preserve">inkomen </w:t>
      </w:r>
      <w:r w:rsidRPr="00043B8D">
        <w:rPr>
          <w:i/>
          <w:sz w:val="22"/>
          <w:szCs w:val="22"/>
        </w:rPr>
        <w:t xml:space="preserve">voor </w:t>
      </w:r>
      <w:r w:rsidR="00F82284" w:rsidRPr="00043B8D">
        <w:rPr>
          <w:i/>
          <w:sz w:val="22"/>
          <w:szCs w:val="22"/>
        </w:rPr>
        <w:t>een distributienetbeheerder</w:t>
      </w:r>
      <w:bookmarkEnd w:id="367"/>
      <w:bookmarkEnd w:id="368"/>
      <w:r w:rsidR="00F82284" w:rsidRPr="00043B8D">
        <w:rPr>
          <w:i/>
          <w:sz w:val="22"/>
          <w:szCs w:val="22"/>
        </w:rPr>
        <w:t xml:space="preserve"> </w:t>
      </w:r>
    </w:p>
    <w:p w14:paraId="391AC471" w14:textId="77777777" w:rsidR="0059593F" w:rsidRPr="00043B8D" w:rsidRDefault="0059593F" w:rsidP="00F664D0"/>
    <w:p w14:paraId="52EEE776" w14:textId="37A53DAA" w:rsidR="009B3F94" w:rsidRPr="00043B8D" w:rsidRDefault="008B4E2B" w:rsidP="009B3F94">
      <w:r w:rsidRPr="00043B8D">
        <w:t>De</w:t>
      </w:r>
      <w:r w:rsidR="0083132E" w:rsidRPr="00043B8D">
        <w:t xml:space="preserve"> trend van de </w:t>
      </w:r>
      <w:r w:rsidR="00E33BF6" w:rsidRPr="00043B8D">
        <w:t>geactualiseerde sectorkosten voor</w:t>
      </w:r>
      <w:r w:rsidR="0083132E" w:rsidRPr="00043B8D">
        <w:t xml:space="preserve"> de beschouwde periode in het verleden </w:t>
      </w:r>
      <w:r w:rsidR="002A2E6D" w:rsidRPr="00043B8D">
        <w:t xml:space="preserve">is de basis </w:t>
      </w:r>
      <w:r w:rsidRPr="00043B8D">
        <w:t xml:space="preserve"> voor de </w:t>
      </w:r>
      <w:r w:rsidR="0083132E" w:rsidRPr="00043B8D">
        <w:t xml:space="preserve">toegelaten </w:t>
      </w:r>
      <w:r w:rsidRPr="00043B8D">
        <w:t xml:space="preserve">geactualiseerde </w:t>
      </w:r>
      <w:r w:rsidR="0083132E" w:rsidRPr="00043B8D">
        <w:t xml:space="preserve">sectorinkomsten voor de jaren van de volgende reguleringsperiode. </w:t>
      </w:r>
      <w:r w:rsidRPr="00043B8D">
        <w:t>Het toegelaten sectorinkomen voor het eerste jaar (</w:t>
      </w:r>
      <w:r w:rsidR="002A2E6D" w:rsidRPr="00043B8D">
        <w:t xml:space="preserve">nu </w:t>
      </w:r>
      <w:r w:rsidRPr="00043B8D">
        <w:t>2015) en het toegelaten sectorinkomen voor het laatste jaar (</w:t>
      </w:r>
      <w:r w:rsidR="002A2E6D" w:rsidRPr="00043B8D">
        <w:t xml:space="preserve">nu </w:t>
      </w:r>
      <w:r w:rsidRPr="00043B8D">
        <w:t>2016) van de reguleringsperiode volgen automatisch uit de</w:t>
      </w:r>
      <w:r w:rsidR="00627CCB" w:rsidRPr="00043B8D">
        <w:t xml:space="preserve"> lineaire </w:t>
      </w:r>
      <w:r w:rsidRPr="00043B8D">
        <w:t>extrapolatie. De sectorinkomens voor de jaren tussenin (</w:t>
      </w:r>
      <w:r w:rsidR="002A2E6D" w:rsidRPr="00043B8D">
        <w:t xml:space="preserve">nu </w:t>
      </w:r>
      <w:r w:rsidRPr="00043B8D">
        <w:t>niet van toepassing voor de reguleringsperiode 2015-2016) volgen de</w:t>
      </w:r>
      <w:r w:rsidR="002A2E6D" w:rsidRPr="00043B8D">
        <w:t>zelfde</w:t>
      </w:r>
      <w:r w:rsidRPr="00043B8D">
        <w:t xml:space="preserve"> trend </w:t>
      </w:r>
      <w:r w:rsidR="002A2E6D" w:rsidRPr="00043B8D">
        <w:t xml:space="preserve">maar </w:t>
      </w:r>
      <w:r w:rsidRPr="00043B8D">
        <w:t>volgens de</w:t>
      </w:r>
      <w:r w:rsidR="00627CCB" w:rsidRPr="00043B8D">
        <w:t xml:space="preserve"> overeenstemmende</w:t>
      </w:r>
      <w:r w:rsidRPr="00043B8D">
        <w:t xml:space="preserve"> x-waarde</w:t>
      </w:r>
      <w:r w:rsidR="002A2E6D" w:rsidRPr="00043B8D">
        <w:t xml:space="preserve"> van de gebruikte formule (</w:t>
      </w:r>
      <w:r w:rsidR="002A2E6D" w:rsidRPr="00043B8D">
        <w:fldChar w:fldCharType="begin"/>
      </w:r>
      <w:r w:rsidR="002A2E6D" w:rsidRPr="00043B8D">
        <w:instrText xml:space="preserve"> REF _Ref388628565 \h  \* MERGEFORMAT </w:instrText>
      </w:r>
      <w:r w:rsidR="002A2E6D" w:rsidRPr="00043B8D">
        <w:fldChar w:fldCharType="separate"/>
      </w:r>
      <w:r w:rsidR="00B30F9B" w:rsidRPr="00B30F9B">
        <w:t xml:space="preserve">formule </w:t>
      </w:r>
      <w:r w:rsidR="00B30F9B" w:rsidRPr="00B30F9B">
        <w:rPr>
          <w:noProof/>
        </w:rPr>
        <w:t>2</w:t>
      </w:r>
      <w:r w:rsidR="002A2E6D" w:rsidRPr="00043B8D">
        <w:fldChar w:fldCharType="end"/>
      </w:r>
      <w:r w:rsidR="002A2E6D" w:rsidRPr="00043B8D">
        <w:t xml:space="preserve">) in de tariefmethodologie </w:t>
      </w:r>
      <w:r w:rsidRPr="00043B8D">
        <w:t xml:space="preserve">(zie verder par. </w:t>
      </w:r>
      <w:r w:rsidRPr="00043B8D">
        <w:fldChar w:fldCharType="begin"/>
      </w:r>
      <w:r w:rsidRPr="00043B8D">
        <w:instrText xml:space="preserve"> REF _Ref392762205 \r \h </w:instrText>
      </w:r>
      <w:r w:rsidR="00043B8D">
        <w:instrText xml:space="preserve"> \* MERGEFORMAT </w:instrText>
      </w:r>
      <w:r w:rsidRPr="00043B8D">
        <w:fldChar w:fldCharType="separate"/>
      </w:r>
      <w:r w:rsidR="00B30F9B">
        <w:t>5.6.2.5</w:t>
      </w:r>
      <w:r w:rsidRPr="00043B8D">
        <w:fldChar w:fldCharType="end"/>
      </w:r>
      <w:r w:rsidRPr="00043B8D">
        <w:t>)</w:t>
      </w:r>
      <w:r w:rsidR="009158F3" w:rsidRPr="00043B8D">
        <w:t xml:space="preserve">. Voor deze jaren en het laatste jaar van de reguleringsperiode wordt tevens </w:t>
      </w:r>
      <w:r w:rsidRPr="00043B8D">
        <w:t>rekening gehouden met de inflatie</w:t>
      </w:r>
      <w:r w:rsidR="009158F3" w:rsidRPr="00043B8D">
        <w:t xml:space="preserve"> (</w:t>
      </w:r>
      <w:r w:rsidR="009158F3" w:rsidRPr="00043B8D">
        <w:fldChar w:fldCharType="begin"/>
      </w:r>
      <w:r w:rsidR="009158F3" w:rsidRPr="00043B8D">
        <w:instrText xml:space="preserve"> REF _Ref388628565 \h  \* MERGEFORMAT </w:instrText>
      </w:r>
      <w:r w:rsidR="009158F3" w:rsidRPr="00043B8D">
        <w:fldChar w:fldCharType="separate"/>
      </w:r>
      <w:r w:rsidR="00B30F9B" w:rsidRPr="00B30F9B">
        <w:t xml:space="preserve">formule </w:t>
      </w:r>
      <w:r w:rsidR="00B30F9B" w:rsidRPr="00B30F9B">
        <w:rPr>
          <w:noProof/>
        </w:rPr>
        <w:t>2</w:t>
      </w:r>
      <w:r w:rsidR="009158F3" w:rsidRPr="00043B8D">
        <w:fldChar w:fldCharType="end"/>
      </w:r>
      <w:r w:rsidR="009158F3" w:rsidRPr="00043B8D">
        <w:t>)</w:t>
      </w:r>
      <w:r w:rsidRPr="00043B8D">
        <w:t xml:space="preserve">. </w:t>
      </w:r>
      <w:r w:rsidR="00F955BF" w:rsidRPr="00043B8D">
        <w:t xml:space="preserve">De </w:t>
      </w:r>
      <w:r w:rsidR="0083132E" w:rsidRPr="00043B8D">
        <w:t xml:space="preserve">per jaar </w:t>
      </w:r>
      <w:r w:rsidR="009B3F94" w:rsidRPr="00043B8D">
        <w:t>toegelaten sectorinkom</w:t>
      </w:r>
      <w:r w:rsidR="00F955BF" w:rsidRPr="00043B8D">
        <w:t>st</w:t>
      </w:r>
      <w:r w:rsidR="009B3F94" w:rsidRPr="00043B8D">
        <w:t xml:space="preserve">en </w:t>
      </w:r>
      <w:r w:rsidR="00E33BF6" w:rsidRPr="00043B8D">
        <w:t>worden</w:t>
      </w:r>
      <w:r w:rsidR="0083132E" w:rsidRPr="00043B8D">
        <w:t xml:space="preserve"> vervolgens verdeeld </w:t>
      </w:r>
      <w:r w:rsidR="009B3F94" w:rsidRPr="00043B8D">
        <w:t xml:space="preserve">per distributienetbeheerder overeenkomstig </w:t>
      </w:r>
      <w:r w:rsidR="0083132E" w:rsidRPr="00043B8D">
        <w:t xml:space="preserve">zijn </w:t>
      </w:r>
      <w:r w:rsidR="009B3F94" w:rsidRPr="00043B8D">
        <w:t>individue</w:t>
      </w:r>
      <w:r w:rsidR="0083132E" w:rsidRPr="00043B8D">
        <w:t>e</w:t>
      </w:r>
      <w:r w:rsidR="009B3F94" w:rsidRPr="00043B8D">
        <w:t>l</w:t>
      </w:r>
      <w:r w:rsidR="0083132E" w:rsidRPr="00043B8D">
        <w:t xml:space="preserve"> aandeel </w:t>
      </w:r>
      <w:r w:rsidR="00A705A9" w:rsidRPr="00043B8D">
        <w:t xml:space="preserve">over </w:t>
      </w:r>
      <w:r w:rsidR="0083132E" w:rsidRPr="00043B8D">
        <w:t xml:space="preserve">de </w:t>
      </w:r>
      <w:r w:rsidR="000A6991" w:rsidRPr="00043B8D">
        <w:t xml:space="preserve">geactualiseerde </w:t>
      </w:r>
      <w:r w:rsidR="00A75C95" w:rsidRPr="00043B8D">
        <w:t xml:space="preserve">historische </w:t>
      </w:r>
      <w:r w:rsidR="0083132E" w:rsidRPr="00043B8D">
        <w:t>sectorkosten</w:t>
      </w:r>
      <w:r w:rsidR="00F7650F" w:rsidRPr="00043B8D">
        <w:t>.</w:t>
      </w:r>
      <w:r w:rsidR="009B3F94" w:rsidRPr="00043B8D">
        <w:t xml:space="preserve"> </w:t>
      </w:r>
    </w:p>
    <w:p w14:paraId="32326D7D" w14:textId="77777777" w:rsidR="009B3F94" w:rsidRPr="00043B8D" w:rsidRDefault="009B3F94" w:rsidP="009B3F94"/>
    <w:p w14:paraId="539F2329" w14:textId="7F7CEDBB" w:rsidR="009B3F94" w:rsidRPr="00043B8D" w:rsidRDefault="00F7650F" w:rsidP="009B3F94">
      <w:r w:rsidRPr="00043B8D">
        <w:t>I</w:t>
      </w:r>
      <w:r w:rsidR="009B3F94" w:rsidRPr="00043B8D">
        <w:t xml:space="preserve">n het geval dat het aandeel van elke distributienetbeheerder in de historische geactualiseerde kosten jaarlijks constant zou zijn geweest, zal ieders aandeel in de verdeling van de globale sectorinkomsten gelijk zijn aan </w:t>
      </w:r>
      <w:r w:rsidRPr="00043B8D">
        <w:t xml:space="preserve">het eigen </w:t>
      </w:r>
      <w:r w:rsidR="009B3F94" w:rsidRPr="00043B8D">
        <w:t xml:space="preserve">historisch aandeel. Wanneer </w:t>
      </w:r>
      <w:r w:rsidR="004C67BC" w:rsidRPr="00043B8D">
        <w:t xml:space="preserve">het </w:t>
      </w:r>
      <w:r w:rsidRPr="00043B8D">
        <w:t xml:space="preserve">jaarlijkse </w:t>
      </w:r>
      <w:r w:rsidR="009B3F94" w:rsidRPr="00043B8D">
        <w:t>individuele aande</w:t>
      </w:r>
      <w:r w:rsidR="004C67BC" w:rsidRPr="00043B8D">
        <w:t>e</w:t>
      </w:r>
      <w:r w:rsidR="009B3F94" w:rsidRPr="00043B8D">
        <w:t>l</w:t>
      </w:r>
      <w:r w:rsidR="004C67BC" w:rsidRPr="00043B8D">
        <w:t xml:space="preserve"> van een distributienetbeheerder </w:t>
      </w:r>
      <w:r w:rsidR="00220F31" w:rsidRPr="00043B8D">
        <w:t xml:space="preserve">in de </w:t>
      </w:r>
      <w:r w:rsidR="004C67BC" w:rsidRPr="00043B8D">
        <w:t xml:space="preserve">historische </w:t>
      </w:r>
      <w:r w:rsidR="00220F31" w:rsidRPr="00043B8D">
        <w:t xml:space="preserve">sectorkosten </w:t>
      </w:r>
      <w:r w:rsidRPr="00043B8D">
        <w:t>in de tijd wijzigde</w:t>
      </w:r>
      <w:r w:rsidR="009B3F94" w:rsidRPr="00043B8D">
        <w:t xml:space="preserve">, </w:t>
      </w:r>
      <w:r w:rsidRPr="00043B8D">
        <w:t xml:space="preserve">kan </w:t>
      </w:r>
      <w:r w:rsidR="004C67BC" w:rsidRPr="00043B8D">
        <w:t xml:space="preserve">de </w:t>
      </w:r>
      <w:r w:rsidRPr="00043B8D">
        <w:t xml:space="preserve">in de tariefmethodologie gehanteerde </w:t>
      </w:r>
      <w:r w:rsidR="004C67BC" w:rsidRPr="00043B8D">
        <w:t xml:space="preserve">berekeningswijze een </w:t>
      </w:r>
      <w:r w:rsidRPr="00043B8D">
        <w:t xml:space="preserve">kleine </w:t>
      </w:r>
      <w:r w:rsidR="009B3F94" w:rsidRPr="00043B8D">
        <w:t xml:space="preserve">vertraging </w:t>
      </w:r>
      <w:r w:rsidR="004C67BC" w:rsidRPr="00043B8D">
        <w:t xml:space="preserve">simuleren </w:t>
      </w:r>
      <w:r w:rsidR="009B3F94" w:rsidRPr="00043B8D">
        <w:t xml:space="preserve">op de doorrekening van deze </w:t>
      </w:r>
      <w:r w:rsidRPr="00043B8D">
        <w:t xml:space="preserve">individuele afwijking </w:t>
      </w:r>
      <w:r w:rsidR="009B3F94" w:rsidRPr="00043B8D">
        <w:t xml:space="preserve">naar </w:t>
      </w:r>
      <w:r w:rsidR="00220F31" w:rsidRPr="00043B8D">
        <w:t xml:space="preserve">de </w:t>
      </w:r>
      <w:r w:rsidR="009B3F94" w:rsidRPr="00043B8D">
        <w:t>volgende inkomsten</w:t>
      </w:r>
      <w:r w:rsidR="004C67BC" w:rsidRPr="00043B8D">
        <w:t xml:space="preserve"> van de distributienetbeheerder</w:t>
      </w:r>
      <w:r w:rsidR="009B3F94" w:rsidRPr="00043B8D">
        <w:t xml:space="preserve">. </w:t>
      </w:r>
      <w:r w:rsidRPr="00043B8D">
        <w:t>Echter, p</w:t>
      </w:r>
      <w:r w:rsidR="009B3F94" w:rsidRPr="00043B8D">
        <w:t xml:space="preserve">er </w:t>
      </w:r>
      <w:r w:rsidR="004C67BC" w:rsidRPr="00043B8D">
        <w:t xml:space="preserve">nieuwe </w:t>
      </w:r>
      <w:r w:rsidR="009B3F94" w:rsidRPr="00043B8D">
        <w:t xml:space="preserve">reguleringsperiode wordt </w:t>
      </w:r>
      <w:r w:rsidR="004C67BC" w:rsidRPr="00043B8D">
        <w:t xml:space="preserve">opnieuw </w:t>
      </w:r>
      <w:r w:rsidR="009B3F94" w:rsidRPr="00043B8D">
        <w:t xml:space="preserve">gewerkt met de </w:t>
      </w:r>
      <w:r w:rsidRPr="00043B8D">
        <w:t>kosten</w:t>
      </w:r>
      <w:r w:rsidR="009B3F94" w:rsidRPr="00043B8D">
        <w:t>gegevens van de laatste jaren, zodat de invloed van oudere aandelen verdwijnt. De tariefmethodologie werkt op dit vlak gelijk voor om het even w</w:t>
      </w:r>
      <w:r w:rsidR="004C67BC" w:rsidRPr="00043B8D">
        <w:t xml:space="preserve">elke individuele </w:t>
      </w:r>
      <w:r w:rsidR="008E3126" w:rsidRPr="00043B8D">
        <w:t xml:space="preserve">opwaartse of neerwaartse </w:t>
      </w:r>
      <w:r w:rsidR="004C67BC" w:rsidRPr="00043B8D">
        <w:t>kostenevolutie</w:t>
      </w:r>
      <w:r w:rsidR="009B3F94" w:rsidRPr="00043B8D">
        <w:t xml:space="preserve">. </w:t>
      </w:r>
    </w:p>
    <w:p w14:paraId="1B14B211" w14:textId="77777777" w:rsidR="009B3F94" w:rsidRPr="00043B8D" w:rsidRDefault="009B3F94" w:rsidP="009B3F94"/>
    <w:p w14:paraId="340DEE45" w14:textId="77777777" w:rsidR="00E44479" w:rsidRPr="00043B8D" w:rsidRDefault="00E44479" w:rsidP="005251E2">
      <w:pPr>
        <w:pStyle w:val="Kop2"/>
        <w:numPr>
          <w:ilvl w:val="3"/>
          <w:numId w:val="24"/>
        </w:numPr>
        <w:rPr>
          <w:i/>
          <w:sz w:val="22"/>
          <w:szCs w:val="22"/>
        </w:rPr>
      </w:pPr>
      <w:bookmarkStart w:id="369" w:name="_Toc454186683"/>
      <w:r w:rsidRPr="00043B8D">
        <w:rPr>
          <w:i/>
          <w:sz w:val="22"/>
          <w:szCs w:val="22"/>
        </w:rPr>
        <w:t>X-waarde</w:t>
      </w:r>
      <w:bookmarkEnd w:id="369"/>
    </w:p>
    <w:p w14:paraId="157A96E0" w14:textId="77777777" w:rsidR="00E44479" w:rsidRPr="00043B8D" w:rsidRDefault="00E44479" w:rsidP="00E44479"/>
    <w:p w14:paraId="1AFABFA2" w14:textId="5A3BF5D0" w:rsidR="00E44479" w:rsidRPr="00043B8D" w:rsidRDefault="00E44479" w:rsidP="00E44479">
      <w:r w:rsidRPr="00043B8D">
        <w:t xml:space="preserve">Uit de lineaire extrapolatie via regressie van de geactualiseerde niet-exogene sectorkosten uit de beschouwde periode in het verleden naar het eerste en het laatste jaar van de volgende reguleringsperiode wordt de waarde van x uit </w:t>
      </w:r>
      <w:r w:rsidRPr="00043B8D">
        <w:fldChar w:fldCharType="begin"/>
      </w:r>
      <w:r w:rsidRPr="00043B8D">
        <w:instrText xml:space="preserve"> REF _Ref388628565 \h  \* MERGEFORMAT </w:instrText>
      </w:r>
      <w:r w:rsidRPr="00043B8D">
        <w:fldChar w:fldCharType="separate"/>
      </w:r>
      <w:r w:rsidR="00B30F9B" w:rsidRPr="00B30F9B">
        <w:t xml:space="preserve">formule </w:t>
      </w:r>
      <w:r w:rsidR="00B30F9B" w:rsidRPr="00B30F9B">
        <w:rPr>
          <w:noProof/>
        </w:rPr>
        <w:t>2</w:t>
      </w:r>
      <w:r w:rsidRPr="00043B8D">
        <w:fldChar w:fldCharType="end"/>
      </w:r>
      <w:r w:rsidRPr="00043B8D">
        <w:t xml:space="preserve"> afgeleid. De x-waarde voor de eerstvolgende reguleringsperiode (2015-2016) wordt aldus afgeleid uit de toegelaten sectorinkomsten van het eerste jaar 2015 en het laatste jaar 2016. De uitwerking in formules bevindt zich in par. </w:t>
      </w:r>
      <w:r w:rsidRPr="00043B8D">
        <w:fldChar w:fldCharType="begin"/>
      </w:r>
      <w:r w:rsidRPr="00043B8D">
        <w:instrText xml:space="preserve"> REF _Ref390159932 \r \h </w:instrText>
      </w:r>
      <w:r w:rsidR="00043B8D">
        <w:instrText xml:space="preserve"> \* MERGEFORMAT </w:instrText>
      </w:r>
      <w:r w:rsidRPr="00043B8D">
        <w:fldChar w:fldCharType="separate"/>
      </w:r>
      <w:r w:rsidR="00B30F9B">
        <w:t>5.6.2.7</w:t>
      </w:r>
      <w:r w:rsidRPr="00043B8D">
        <w:fldChar w:fldCharType="end"/>
      </w:r>
      <w:r w:rsidRPr="00043B8D">
        <w:t xml:space="preserve">. In </w:t>
      </w:r>
      <w:r w:rsidRPr="00043B8D">
        <w:fldChar w:fldCharType="begin"/>
      </w:r>
      <w:r w:rsidRPr="00043B8D">
        <w:instrText xml:space="preserve"> REF _Ref391625662 \h </w:instrText>
      </w:r>
      <w:r w:rsidR="00043B8D">
        <w:instrText xml:space="preserve"> \* MERGEFORMAT </w:instrText>
      </w:r>
      <w:r w:rsidRPr="00043B8D">
        <w:fldChar w:fldCharType="separate"/>
      </w:r>
      <w:r w:rsidR="00B30F9B" w:rsidRPr="00043B8D">
        <w:t xml:space="preserve">Figuur </w:t>
      </w:r>
      <w:r w:rsidR="00B30F9B">
        <w:rPr>
          <w:noProof/>
        </w:rPr>
        <w:t>4</w:t>
      </w:r>
      <w:r w:rsidRPr="00043B8D">
        <w:fldChar w:fldCharType="end"/>
      </w:r>
      <w:r w:rsidRPr="00043B8D">
        <w:t xml:space="preserve"> wordt de berekening schematisch weergegeven voor de eerste reguleringsperiode 2015-2016.</w:t>
      </w:r>
    </w:p>
    <w:p w14:paraId="0A81C35B" w14:textId="77777777" w:rsidR="00241505" w:rsidRPr="00043B8D" w:rsidRDefault="00241505" w:rsidP="00E44479"/>
    <w:p w14:paraId="20965C6E" w14:textId="0F068D16" w:rsidR="00E44479" w:rsidRPr="00043B8D" w:rsidRDefault="00457E1F" w:rsidP="00E44479">
      <w:r w:rsidRPr="00043B8D">
        <w:rPr>
          <w:noProof/>
          <w:lang w:val="nl-BE" w:eastAsia="nl-BE"/>
        </w:rPr>
        <w:drawing>
          <wp:inline distT="0" distB="0" distL="0" distR="0" wp14:anchorId="52498A17" wp14:editId="2F82A951">
            <wp:extent cx="3725333" cy="2426065"/>
            <wp:effectExtent l="0" t="0" r="8890"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3724186" cy="2425318"/>
                    </a:xfrm>
                    <a:prstGeom prst="rect">
                      <a:avLst/>
                    </a:prstGeom>
                  </pic:spPr>
                </pic:pic>
              </a:graphicData>
            </a:graphic>
          </wp:inline>
        </w:drawing>
      </w:r>
    </w:p>
    <w:p w14:paraId="0929E125" w14:textId="09A90B67" w:rsidR="00E44479" w:rsidRPr="000D284A" w:rsidRDefault="00E44479" w:rsidP="00654C50">
      <w:pPr>
        <w:pStyle w:val="Bijschrift"/>
        <w:jc w:val="left"/>
        <w:rPr>
          <w:b w:val="0"/>
          <w:i/>
        </w:rPr>
      </w:pPr>
      <w:bookmarkStart w:id="370" w:name="_Ref391625662"/>
      <w:r w:rsidRPr="000D284A">
        <w:rPr>
          <w:b w:val="0"/>
          <w:i/>
        </w:rPr>
        <w:t xml:space="preserve">Figuur </w:t>
      </w:r>
      <w:r w:rsidRPr="000D284A">
        <w:rPr>
          <w:b w:val="0"/>
          <w:i/>
        </w:rPr>
        <w:fldChar w:fldCharType="begin"/>
      </w:r>
      <w:r w:rsidRPr="000D284A">
        <w:rPr>
          <w:b w:val="0"/>
          <w:i/>
        </w:rPr>
        <w:instrText xml:space="preserve"> SEQ Figuur \* ARABIC </w:instrText>
      </w:r>
      <w:r w:rsidRPr="000D284A">
        <w:rPr>
          <w:b w:val="0"/>
          <w:i/>
        </w:rPr>
        <w:fldChar w:fldCharType="separate"/>
      </w:r>
      <w:r w:rsidR="000D284A">
        <w:rPr>
          <w:b w:val="0"/>
          <w:i/>
          <w:noProof/>
        </w:rPr>
        <w:t>4</w:t>
      </w:r>
      <w:r w:rsidRPr="000D284A">
        <w:rPr>
          <w:b w:val="0"/>
          <w:i/>
        </w:rPr>
        <w:fldChar w:fldCharType="end"/>
      </w:r>
      <w:bookmarkEnd w:id="370"/>
      <w:r w:rsidRPr="000D284A">
        <w:rPr>
          <w:b w:val="0"/>
          <w:i/>
        </w:rPr>
        <w:t xml:space="preserve"> Voorbeeld van de berekening van de x-waarde uit de toegelaten sectorinkomsten (I</w:t>
      </w:r>
      <w:r w:rsidRPr="000D284A">
        <w:rPr>
          <w:b w:val="0"/>
          <w:i/>
          <w:vertAlign w:val="subscript"/>
        </w:rPr>
        <w:t>2015</w:t>
      </w:r>
      <w:r w:rsidRPr="000D284A">
        <w:rPr>
          <w:b w:val="0"/>
          <w:i/>
        </w:rPr>
        <w:t xml:space="preserve"> en I</w:t>
      </w:r>
      <w:r w:rsidRPr="000D284A">
        <w:rPr>
          <w:b w:val="0"/>
          <w:i/>
          <w:vertAlign w:val="subscript"/>
        </w:rPr>
        <w:t>2016</w:t>
      </w:r>
      <w:r w:rsidRPr="000D284A">
        <w:rPr>
          <w:b w:val="0"/>
          <w:i/>
        </w:rPr>
        <w:t xml:space="preserve">), op hun beurt afgeleid uit de (hier fictieve) </w:t>
      </w:r>
      <w:r w:rsidR="004A05FE" w:rsidRPr="000D284A">
        <w:rPr>
          <w:b w:val="0"/>
          <w:i/>
        </w:rPr>
        <w:t xml:space="preserve">naar 2014 </w:t>
      </w:r>
      <w:r w:rsidRPr="000D284A">
        <w:rPr>
          <w:b w:val="0"/>
          <w:i/>
        </w:rPr>
        <w:t>geactualiseerde niet-exogene sectorkosten 2010 t.e.m. 2013.</w:t>
      </w:r>
    </w:p>
    <w:p w14:paraId="26AEEBCF" w14:textId="77777777" w:rsidR="00E44479" w:rsidRPr="00043B8D" w:rsidRDefault="00E44479" w:rsidP="00E44479"/>
    <w:p w14:paraId="5034C00A" w14:textId="0656A639" w:rsidR="00F67676" w:rsidRPr="00043B8D" w:rsidRDefault="00E44479" w:rsidP="005251E2">
      <w:pPr>
        <w:pStyle w:val="Kop2"/>
        <w:numPr>
          <w:ilvl w:val="3"/>
          <w:numId w:val="24"/>
        </w:numPr>
        <w:rPr>
          <w:i/>
          <w:sz w:val="22"/>
          <w:szCs w:val="22"/>
        </w:rPr>
      </w:pPr>
      <w:bookmarkStart w:id="371" w:name="_Ref390159932"/>
      <w:bookmarkStart w:id="372" w:name="_Toc454186684"/>
      <w:r w:rsidRPr="00043B8D">
        <w:rPr>
          <w:i/>
          <w:sz w:val="22"/>
          <w:szCs w:val="22"/>
        </w:rPr>
        <w:t xml:space="preserve">Uitwerking </w:t>
      </w:r>
      <w:r w:rsidR="007505E7" w:rsidRPr="00043B8D">
        <w:rPr>
          <w:i/>
          <w:sz w:val="22"/>
          <w:szCs w:val="22"/>
        </w:rPr>
        <w:t>in f</w:t>
      </w:r>
      <w:r w:rsidR="006B6187" w:rsidRPr="00043B8D">
        <w:rPr>
          <w:i/>
          <w:sz w:val="22"/>
          <w:szCs w:val="22"/>
        </w:rPr>
        <w:t>ormules</w:t>
      </w:r>
      <w:bookmarkEnd w:id="371"/>
      <w:bookmarkEnd w:id="372"/>
    </w:p>
    <w:p w14:paraId="12B81798" w14:textId="77777777" w:rsidR="006B6187" w:rsidRPr="00043B8D" w:rsidRDefault="006B6187" w:rsidP="00F664D0"/>
    <w:p w14:paraId="3B6DCFDA" w14:textId="77777777" w:rsidR="006B5B87" w:rsidRPr="00043B8D" w:rsidRDefault="006B5B87" w:rsidP="00F664D0">
      <w:r w:rsidRPr="00043B8D">
        <w:t xml:space="preserve">De hierboven uiteengezette principes worden </w:t>
      </w:r>
      <w:r w:rsidR="002061BF" w:rsidRPr="00043B8D">
        <w:t>hieronder</w:t>
      </w:r>
      <w:r w:rsidRPr="00043B8D">
        <w:t xml:space="preserve"> vertaald naar wiskundige formules.</w:t>
      </w:r>
    </w:p>
    <w:p w14:paraId="7ECBA96B" w14:textId="77777777" w:rsidR="006B5B87" w:rsidRPr="00043B8D" w:rsidRDefault="006B5B87" w:rsidP="00F664D0"/>
    <w:p w14:paraId="662F7C28" w14:textId="243B9D51" w:rsidR="000B42C1" w:rsidRPr="00043B8D" w:rsidRDefault="00D05442" w:rsidP="00F664D0">
      <w:r w:rsidRPr="00043B8D">
        <w:t xml:space="preserve">Het </w:t>
      </w:r>
      <w:r w:rsidR="00AE188C" w:rsidRPr="00043B8D">
        <w:t xml:space="preserve">in 2015 </w:t>
      </w:r>
      <w:r w:rsidR="005C5B75" w:rsidRPr="00043B8D">
        <w:t xml:space="preserve">toegelaten </w:t>
      </w:r>
      <w:r w:rsidRPr="00043B8D">
        <w:t xml:space="preserve">inkomen </w:t>
      </w:r>
      <w:r w:rsidR="00AE188C" w:rsidRPr="00043B8D">
        <w:t xml:space="preserve">uit periodieke distributienettarieven </w:t>
      </w:r>
      <w:r w:rsidR="007505E7" w:rsidRPr="00043B8D">
        <w:t xml:space="preserve">voor niet-exogene kosten </w:t>
      </w:r>
      <w:r w:rsidRPr="00043B8D">
        <w:t>v</w:t>
      </w:r>
      <w:r w:rsidR="00AE188C" w:rsidRPr="00043B8D">
        <w:t xml:space="preserve">an </w:t>
      </w:r>
      <w:r w:rsidRPr="00043B8D">
        <w:t xml:space="preserve">distributienetbeheerder </w:t>
      </w:r>
      <w:r w:rsidR="00CE678D" w:rsidRPr="00043B8D">
        <w:rPr>
          <w:i/>
        </w:rPr>
        <w:t>i</w:t>
      </w:r>
      <w:r w:rsidR="00CE678D" w:rsidRPr="00043B8D">
        <w:t xml:space="preserve"> </w:t>
      </w:r>
      <w:r w:rsidR="00736EF5" w:rsidRPr="00043B8D">
        <w:t xml:space="preserve">voor een bepaalde distributieactiviteit (elektriciteit of aardgas) </w:t>
      </w:r>
      <w:r w:rsidR="00AE188C" w:rsidRPr="00043B8D">
        <w:t xml:space="preserve">wordt berekend </w:t>
      </w:r>
      <w:r w:rsidR="00541C8D" w:rsidRPr="00043B8D">
        <w:t xml:space="preserve">volgens </w:t>
      </w:r>
      <w:r w:rsidR="005C5B75" w:rsidRPr="00043B8D">
        <w:fldChar w:fldCharType="begin"/>
      </w:r>
      <w:r w:rsidR="005C5B75" w:rsidRPr="00043B8D">
        <w:instrText xml:space="preserve"> REF _Ref389550363 \h  \* MERGEFORMAT </w:instrText>
      </w:r>
      <w:r w:rsidR="005C5B75" w:rsidRPr="00043B8D">
        <w:fldChar w:fldCharType="separate"/>
      </w:r>
      <w:r w:rsidR="00B30F9B" w:rsidRPr="00B30F9B">
        <w:t xml:space="preserve">formule </w:t>
      </w:r>
      <w:r w:rsidR="00B30F9B" w:rsidRPr="00B30F9B">
        <w:rPr>
          <w:noProof/>
        </w:rPr>
        <w:t>8</w:t>
      </w:r>
      <w:r w:rsidR="005C5B75" w:rsidRPr="00043B8D">
        <w:fldChar w:fldCharType="end"/>
      </w:r>
      <w:r w:rsidR="00507D18" w:rsidRPr="00043B8D">
        <w:t>:</w:t>
      </w:r>
    </w:p>
    <w:p w14:paraId="46BB0856" w14:textId="77777777" w:rsidR="006B6187" w:rsidRPr="00043B8D" w:rsidRDefault="006B6187" w:rsidP="00F664D0"/>
    <w:p w14:paraId="103BA41C" w14:textId="77777777" w:rsidR="00C57D14" w:rsidRPr="00043B8D" w:rsidRDefault="000937A6" w:rsidP="00C57D14">
      <w:pPr>
        <w:pStyle w:val="StijlStijlBijschriftCambriaMathNietVetCursiefVet"/>
        <w:pBdr>
          <w:top w:val="dotted" w:sz="4" w:space="1" w:color="auto"/>
          <w:left w:val="dotted" w:sz="4" w:space="4" w:color="auto"/>
          <w:bottom w:val="dotted" w:sz="4" w:space="1" w:color="auto"/>
          <w:right w:val="dotted" w:sz="4" w:space="4" w:color="auto"/>
        </w:pBdr>
        <w:jc w:val="center"/>
        <w:rPr>
          <w:i/>
        </w:rPr>
      </w:pPr>
      <m:oMathPara>
        <m:oMath>
          <m:sSub>
            <m:sSubPr>
              <m:ctrlPr>
                <w:rPr>
                  <w:b w:val="0"/>
                  <w:i/>
                </w:rPr>
              </m:ctrlPr>
            </m:sSubPr>
            <m:e>
              <m:r>
                <m:rPr>
                  <m:sty m:val="bi"/>
                </m:rPr>
                <m:t>TI</m:t>
              </m:r>
            </m:e>
            <m:sub>
              <m:r>
                <m:rPr>
                  <m:sty m:val="bi"/>
                </m:rPr>
                <m:t>n-ex,2015,i</m:t>
              </m:r>
            </m:sub>
          </m:sSub>
          <m:r>
            <m:rPr>
              <m:sty m:val="bi"/>
            </m:rPr>
            <m:t>=</m:t>
          </m:r>
          <m:sSub>
            <m:sSubPr>
              <m:ctrlPr>
                <w:rPr>
                  <w:b w:val="0"/>
                  <w:i/>
                </w:rPr>
              </m:ctrlPr>
            </m:sSubPr>
            <m:e>
              <m:r>
                <m:rPr>
                  <m:sty m:val="bi"/>
                </m:rPr>
                <m:t>TK</m:t>
              </m:r>
            </m:e>
            <m:sub>
              <m:r>
                <m:rPr>
                  <m:sty m:val="bi"/>
                </m:rPr>
                <m:t>trend,2015</m:t>
              </m:r>
            </m:sub>
          </m:sSub>
          <m:r>
            <m:rPr>
              <m:sty m:val="bi"/>
            </m:rPr>
            <m:t>×</m:t>
          </m:r>
          <m:sSub>
            <m:sSubPr>
              <m:ctrlPr>
                <w:rPr>
                  <w:b w:val="0"/>
                  <w:i/>
                </w:rPr>
              </m:ctrlPr>
            </m:sSubPr>
            <m:e>
              <m:r>
                <m:rPr>
                  <m:sty m:val="bi"/>
                </m:rPr>
                <m:t>a</m:t>
              </m:r>
            </m:e>
            <m:sub>
              <m:r>
                <m:rPr>
                  <m:sty m:val="bi"/>
                </m:rPr>
                <m:t>i</m:t>
              </m:r>
            </m:sub>
          </m:sSub>
        </m:oMath>
      </m:oMathPara>
    </w:p>
    <w:p w14:paraId="5B1389FB" w14:textId="77777777" w:rsidR="005C5B75" w:rsidRPr="000D284A" w:rsidRDefault="005C5B75" w:rsidP="000D284A">
      <w:pPr>
        <w:pStyle w:val="Bijschrift"/>
        <w:jc w:val="right"/>
        <w:rPr>
          <w:b w:val="0"/>
          <w:i/>
        </w:rPr>
      </w:pPr>
      <w:r w:rsidRPr="000D284A">
        <w:rPr>
          <w:b w:val="0"/>
          <w:i/>
        </w:rPr>
        <w:tab/>
      </w:r>
      <w:bookmarkStart w:id="373" w:name="_Ref389550363"/>
      <w:r w:rsidRPr="000D284A">
        <w:rPr>
          <w:b w:val="0"/>
          <w:i/>
        </w:rPr>
        <w:t xml:space="preserve">formule </w:t>
      </w:r>
      <w:r w:rsidRPr="000D284A">
        <w:rPr>
          <w:b w:val="0"/>
          <w:i/>
        </w:rPr>
        <w:fldChar w:fldCharType="begin"/>
      </w:r>
      <w:r w:rsidRPr="000D284A">
        <w:rPr>
          <w:b w:val="0"/>
          <w:i/>
        </w:rPr>
        <w:instrText xml:space="preserve"> SEQ formule \* ARABIC </w:instrText>
      </w:r>
      <w:r w:rsidRPr="000D284A">
        <w:rPr>
          <w:b w:val="0"/>
          <w:i/>
        </w:rPr>
        <w:fldChar w:fldCharType="separate"/>
      </w:r>
      <w:r w:rsidR="00BD536B">
        <w:rPr>
          <w:b w:val="0"/>
          <w:i/>
          <w:noProof/>
        </w:rPr>
        <w:t>8</w:t>
      </w:r>
      <w:r w:rsidRPr="000D284A">
        <w:rPr>
          <w:b w:val="0"/>
          <w:i/>
        </w:rPr>
        <w:fldChar w:fldCharType="end"/>
      </w:r>
      <w:bookmarkEnd w:id="373"/>
    </w:p>
    <w:p w14:paraId="17A14AC9" w14:textId="77777777" w:rsidR="005C5B75" w:rsidRPr="00043B8D" w:rsidRDefault="005C5B75" w:rsidP="00F664D0"/>
    <w:p w14:paraId="21BECA60" w14:textId="77777777" w:rsidR="00F664D0" w:rsidRPr="00043B8D" w:rsidRDefault="00F664D0" w:rsidP="00F664D0">
      <w:r w:rsidRPr="00043B8D">
        <w:t>Met hierin:</w:t>
      </w:r>
    </w:p>
    <w:p w14:paraId="2F66980C" w14:textId="77777777" w:rsidR="00F664D0" w:rsidRPr="00043B8D" w:rsidRDefault="00F664D0" w:rsidP="00F664D0"/>
    <w:p w14:paraId="0DE3CFAA" w14:textId="7CC45D76" w:rsidR="001F59B1" w:rsidRPr="00043B8D" w:rsidRDefault="001F59B1" w:rsidP="00F664D0">
      <w:pPr>
        <w:tabs>
          <w:tab w:val="left" w:pos="709"/>
        </w:tabs>
        <w:ind w:left="1701" w:hanging="992"/>
        <w:rPr>
          <w:rFonts w:cs="Tahoma"/>
          <w:i/>
          <w:lang w:val="nl-BE"/>
        </w:rPr>
      </w:pPr>
      <w:r w:rsidRPr="00043B8D">
        <w:rPr>
          <w:rFonts w:cs="Tahoma"/>
          <w:i/>
          <w:lang w:val="nl-BE"/>
        </w:rPr>
        <w:t>TI</w:t>
      </w:r>
      <w:r w:rsidRPr="00043B8D">
        <w:rPr>
          <w:rFonts w:cs="Tahoma"/>
          <w:i/>
          <w:vertAlign w:val="subscript"/>
          <w:lang w:val="nl-BE"/>
        </w:rPr>
        <w:t>n-ex,</w:t>
      </w:r>
      <w:r w:rsidR="007505E7" w:rsidRPr="00043B8D">
        <w:rPr>
          <w:rFonts w:cs="Tahoma"/>
          <w:i/>
          <w:vertAlign w:val="subscript"/>
          <w:lang w:val="nl-BE"/>
        </w:rPr>
        <w:t>2015</w:t>
      </w:r>
      <w:r w:rsidRPr="00043B8D">
        <w:rPr>
          <w:rFonts w:cs="Tahoma"/>
          <w:i/>
          <w:vertAlign w:val="subscript"/>
          <w:lang w:val="nl-BE"/>
        </w:rPr>
        <w:t>,i</w:t>
      </w:r>
      <w:r w:rsidRPr="00043B8D">
        <w:rPr>
          <w:rFonts w:cs="Tahoma"/>
          <w:i/>
          <w:vertAlign w:val="subscript"/>
          <w:lang w:val="nl-BE"/>
        </w:rPr>
        <w:tab/>
      </w:r>
      <w:r w:rsidR="00CE678D" w:rsidRPr="00043B8D">
        <w:rPr>
          <w:rFonts w:cs="Tahoma"/>
          <w:i/>
          <w:lang w:val="nl-BE"/>
        </w:rPr>
        <w:t xml:space="preserve">Het in het eerste jaar van de volgende reguleringsperiode, </w:t>
      </w:r>
      <w:r w:rsidR="00541C8D" w:rsidRPr="00043B8D">
        <w:rPr>
          <w:rFonts w:cs="Tahoma"/>
          <w:i/>
          <w:lang w:val="nl-BE"/>
        </w:rPr>
        <w:t xml:space="preserve">zijnde </w:t>
      </w:r>
      <w:r w:rsidR="00CE678D" w:rsidRPr="00043B8D">
        <w:rPr>
          <w:rFonts w:cs="Tahoma"/>
          <w:i/>
          <w:lang w:val="nl-BE"/>
        </w:rPr>
        <w:t>2015, toegelaten inkomen van distributienetbeheerder i uit zijn periodieke distributienettarieven voor niet-exogene kosten, bepaald door de VREG in het voorafgaande jaar 2014. (EUR)</w:t>
      </w:r>
    </w:p>
    <w:p w14:paraId="77A27549" w14:textId="77777777" w:rsidR="00F74479" w:rsidRPr="00043B8D" w:rsidRDefault="00F74479" w:rsidP="00F664D0">
      <w:pPr>
        <w:tabs>
          <w:tab w:val="left" w:pos="4820"/>
        </w:tabs>
        <w:ind w:left="1701" w:hanging="993"/>
        <w:rPr>
          <w:rFonts w:cs="Tahoma"/>
          <w:i/>
          <w:lang w:val="nl-BE"/>
        </w:rPr>
      </w:pPr>
    </w:p>
    <w:p w14:paraId="2E7A6B21" w14:textId="3BCA516D" w:rsidR="00F664D0" w:rsidRPr="00043B8D" w:rsidRDefault="00F664D0" w:rsidP="00F664D0">
      <w:pPr>
        <w:tabs>
          <w:tab w:val="left" w:pos="4820"/>
        </w:tabs>
        <w:ind w:left="1701" w:hanging="993"/>
        <w:rPr>
          <w:rFonts w:cs="Tahoma"/>
          <w:i/>
          <w:lang w:val="nl-BE"/>
        </w:rPr>
      </w:pPr>
      <w:r w:rsidRPr="00043B8D">
        <w:rPr>
          <w:rFonts w:cs="Tahoma"/>
          <w:i/>
          <w:lang w:val="nl-BE"/>
        </w:rPr>
        <w:t>TK</w:t>
      </w:r>
      <w:r w:rsidRPr="00043B8D">
        <w:rPr>
          <w:rFonts w:cs="Tahoma"/>
          <w:i/>
          <w:vertAlign w:val="subscript"/>
          <w:lang w:val="nl-BE"/>
        </w:rPr>
        <w:t>trend</w:t>
      </w:r>
      <w:r w:rsidR="00972DEA" w:rsidRPr="00043B8D">
        <w:rPr>
          <w:rFonts w:cs="Tahoma"/>
          <w:i/>
          <w:vertAlign w:val="subscript"/>
          <w:lang w:val="nl-BE"/>
        </w:rPr>
        <w:t>,</w:t>
      </w:r>
      <w:r w:rsidR="007505E7" w:rsidRPr="00043B8D">
        <w:rPr>
          <w:rFonts w:cs="Tahoma"/>
          <w:i/>
          <w:vertAlign w:val="subscript"/>
          <w:lang w:val="nl-BE"/>
        </w:rPr>
        <w:t>2015</w:t>
      </w:r>
      <w:r w:rsidRPr="00043B8D">
        <w:rPr>
          <w:rFonts w:cs="Tahoma"/>
          <w:i/>
          <w:lang w:val="nl-BE"/>
        </w:rPr>
        <w:tab/>
      </w:r>
      <w:r w:rsidR="00F955BF" w:rsidRPr="00043B8D">
        <w:rPr>
          <w:rFonts w:cs="Tahoma"/>
          <w:i/>
          <w:lang w:val="nl-BE"/>
        </w:rPr>
        <w:t xml:space="preserve">De </w:t>
      </w:r>
      <w:r w:rsidR="001667E1" w:rsidRPr="00043B8D">
        <w:rPr>
          <w:rFonts w:cs="Tahoma"/>
          <w:i/>
          <w:lang w:val="nl-BE"/>
        </w:rPr>
        <w:t>toegelaten</w:t>
      </w:r>
      <w:r w:rsidR="00B863E1" w:rsidRPr="00043B8D">
        <w:rPr>
          <w:rFonts w:cs="Tahoma"/>
          <w:i/>
          <w:lang w:val="nl-BE"/>
        </w:rPr>
        <w:t xml:space="preserve"> </w:t>
      </w:r>
      <w:r w:rsidR="00A64E9F" w:rsidRPr="00043B8D">
        <w:rPr>
          <w:rFonts w:cs="Tahoma"/>
          <w:i/>
          <w:lang w:val="nl-BE"/>
        </w:rPr>
        <w:t>sector</w:t>
      </w:r>
      <w:r w:rsidR="00B863E1" w:rsidRPr="00043B8D">
        <w:rPr>
          <w:rFonts w:cs="Tahoma"/>
          <w:i/>
          <w:lang w:val="nl-BE"/>
        </w:rPr>
        <w:t>inkom</w:t>
      </w:r>
      <w:r w:rsidR="00F955BF" w:rsidRPr="00043B8D">
        <w:rPr>
          <w:rFonts w:cs="Tahoma"/>
          <w:i/>
          <w:lang w:val="nl-BE"/>
        </w:rPr>
        <w:t>st</w:t>
      </w:r>
      <w:r w:rsidR="00B863E1" w:rsidRPr="00043B8D">
        <w:rPr>
          <w:rFonts w:cs="Tahoma"/>
          <w:i/>
          <w:lang w:val="nl-BE"/>
        </w:rPr>
        <w:t xml:space="preserve">en uit periodieke distributienettarieven voor niet-exogene kosten in het beginjaar 2015 van de volgende reguleringsperiode, bepaald d.m.v. extrapolatie via lineaire regressie </w:t>
      </w:r>
      <w:r w:rsidR="00364F6F" w:rsidRPr="00043B8D">
        <w:rPr>
          <w:rFonts w:cs="Tahoma"/>
          <w:i/>
          <w:lang w:val="nl-BE"/>
        </w:rPr>
        <w:t xml:space="preserve">naar het jaar 2015 </w:t>
      </w:r>
      <w:r w:rsidR="00B863E1" w:rsidRPr="00043B8D">
        <w:rPr>
          <w:rFonts w:cs="Tahoma"/>
          <w:i/>
          <w:lang w:val="nl-BE"/>
        </w:rPr>
        <w:t xml:space="preserve">toegepast op de naar 2014 geactualiseerde niet-exogene sectorkosten uit de jaren 2010-2013 zoals verduidelijkt in volgende </w:t>
      </w:r>
      <w:r w:rsidR="0080356F" w:rsidRPr="00043B8D">
        <w:rPr>
          <w:rFonts w:cs="Tahoma"/>
          <w:i/>
          <w:lang w:val="nl-BE"/>
        </w:rPr>
        <w:fldChar w:fldCharType="begin"/>
      </w:r>
      <w:r w:rsidR="0080356F" w:rsidRPr="00043B8D">
        <w:rPr>
          <w:rFonts w:cs="Tahoma"/>
          <w:i/>
          <w:lang w:val="nl-BE"/>
        </w:rPr>
        <w:instrText xml:space="preserve"> REF _Ref389573978 \h </w:instrText>
      </w:r>
      <w:r w:rsidR="008335B3" w:rsidRPr="00043B8D">
        <w:rPr>
          <w:rFonts w:cs="Tahoma"/>
          <w:i/>
          <w:lang w:val="nl-BE"/>
        </w:rPr>
        <w:instrText xml:space="preserve"> \* MERGEFORMAT </w:instrText>
      </w:r>
      <w:r w:rsidR="0080356F" w:rsidRPr="00043B8D">
        <w:rPr>
          <w:rFonts w:cs="Tahoma"/>
          <w:i/>
          <w:lang w:val="nl-BE"/>
        </w:rPr>
      </w:r>
      <w:r w:rsidR="0080356F" w:rsidRPr="00043B8D">
        <w:rPr>
          <w:rFonts w:cs="Tahoma"/>
          <w:i/>
          <w:lang w:val="nl-BE"/>
        </w:rPr>
        <w:fldChar w:fldCharType="separate"/>
      </w:r>
      <w:r w:rsidR="00B30F9B" w:rsidRPr="00B30F9B">
        <w:rPr>
          <w:i/>
        </w:rPr>
        <w:t xml:space="preserve">formule </w:t>
      </w:r>
      <w:r w:rsidR="00B30F9B" w:rsidRPr="00B30F9B">
        <w:rPr>
          <w:i/>
          <w:noProof/>
        </w:rPr>
        <w:t>9</w:t>
      </w:r>
      <w:r w:rsidR="0080356F" w:rsidRPr="00043B8D">
        <w:rPr>
          <w:rFonts w:cs="Tahoma"/>
          <w:i/>
          <w:lang w:val="nl-BE"/>
        </w:rPr>
        <w:fldChar w:fldCharType="end"/>
      </w:r>
      <w:r w:rsidR="008335B3" w:rsidRPr="00043B8D">
        <w:rPr>
          <w:rFonts w:cs="Tahoma"/>
          <w:i/>
          <w:lang w:val="nl-BE"/>
        </w:rPr>
        <w:t>. (EUR)</w:t>
      </w:r>
    </w:p>
    <w:p w14:paraId="1AEFD443" w14:textId="77777777" w:rsidR="00B863E1" w:rsidRPr="00043B8D" w:rsidRDefault="00B863E1" w:rsidP="00F664D0">
      <w:pPr>
        <w:tabs>
          <w:tab w:val="left" w:pos="1701"/>
        </w:tabs>
        <w:ind w:left="2835" w:hanging="2835"/>
        <w:rPr>
          <w:rFonts w:cs="Tahoma"/>
          <w:i/>
          <w:lang w:val="nl-BE"/>
        </w:rPr>
      </w:pPr>
    </w:p>
    <w:p w14:paraId="7DAEDD76" w14:textId="095F3D31" w:rsidR="00F664D0" w:rsidRPr="00043B8D" w:rsidRDefault="000937A6" w:rsidP="00A01C71">
      <w:pPr>
        <w:pStyle w:val="StijlStijlBijschriftCambriaMathNietVetCursiefVet"/>
        <w:pBdr>
          <w:top w:val="dotted" w:sz="4" w:space="1" w:color="auto"/>
          <w:left w:val="dotted" w:sz="4" w:space="4" w:color="auto"/>
          <w:bottom w:val="dotted" w:sz="4" w:space="1" w:color="auto"/>
          <w:right w:val="dotted" w:sz="4" w:space="4" w:color="auto"/>
        </w:pBdr>
        <w:jc w:val="center"/>
        <w:rPr>
          <w:i/>
        </w:rPr>
      </w:pPr>
      <m:oMathPara>
        <m:oMath>
          <m:sSub>
            <m:sSubPr>
              <m:ctrlPr>
                <w:rPr>
                  <w:b w:val="0"/>
                  <w:i/>
                </w:rPr>
              </m:ctrlPr>
            </m:sSubPr>
            <m:e>
              <m:r>
                <m:rPr>
                  <m:sty m:val="bi"/>
                </m:rPr>
                <m:t>TK</m:t>
              </m:r>
            </m:e>
            <m:sub>
              <m:r>
                <m:rPr>
                  <m:sty m:val="bi"/>
                </m:rPr>
                <m:t>trend,2015</m:t>
              </m:r>
            </m:sub>
          </m:sSub>
          <m:r>
            <m:rPr>
              <m:sty m:val="bi"/>
            </m:rPr>
            <m:t>=TREND</m:t>
          </m:r>
          <m:d>
            <m:dPr>
              <m:ctrlPr>
                <w:rPr>
                  <w:i/>
                </w:rPr>
              </m:ctrlPr>
            </m:dPr>
            <m:e>
              <m:r>
                <m:rPr>
                  <m:sty m:val="bi"/>
                </m:rPr>
                <m:t xml:space="preserve"> </m:t>
              </m:r>
              <m:nary>
                <m:naryPr>
                  <m:chr m:val="∑"/>
                  <m:limLoc m:val="undOvr"/>
                  <m:grow m:val="1"/>
                  <m:ctrlPr>
                    <w:rPr>
                      <w:i/>
                    </w:rPr>
                  </m:ctrlPr>
                </m:naryPr>
                <m:sub>
                  <m:r>
                    <m:rPr>
                      <m:sty m:val="bi"/>
                    </m:rPr>
                    <m:t>∀ dnb i</m:t>
                  </m:r>
                </m:sub>
                <m:sup/>
                <m:e>
                  <m:d>
                    <m:dPr>
                      <m:ctrlPr>
                        <w:rPr>
                          <w:i/>
                        </w:rPr>
                      </m:ctrlPr>
                    </m:dPr>
                    <m:e>
                      <m:sSubSup>
                        <m:sSubSupPr>
                          <m:ctrlPr>
                            <w:rPr>
                              <w:i/>
                            </w:rPr>
                          </m:ctrlPr>
                        </m:sSubSupPr>
                        <m:e>
                          <m:r>
                            <m:rPr>
                              <m:sty m:val="bi"/>
                            </m:rPr>
                            <m:t>TK</m:t>
                          </m:r>
                        </m:e>
                        <m:sub>
                          <m:r>
                            <m:rPr>
                              <m:sty m:val="bi"/>
                            </m:rPr>
                            <m:t>act,2010,i</m:t>
                          </m:r>
                        </m:sub>
                        <m:sup/>
                      </m:sSubSup>
                    </m:e>
                  </m:d>
                  <m:r>
                    <m:rPr>
                      <m:sty m:val="bi"/>
                    </m:rPr>
                    <m:t>…</m:t>
                  </m:r>
                </m:e>
              </m:nary>
              <m:nary>
                <m:naryPr>
                  <m:chr m:val="∑"/>
                  <m:limLoc m:val="undOvr"/>
                  <m:grow m:val="1"/>
                  <m:ctrlPr>
                    <w:rPr>
                      <w:i/>
                    </w:rPr>
                  </m:ctrlPr>
                </m:naryPr>
                <m:sub>
                  <m:r>
                    <m:rPr>
                      <m:sty m:val="bi"/>
                    </m:rPr>
                    <m:t>∀ dnb i</m:t>
                  </m:r>
                </m:sub>
                <m:sup/>
                <m:e>
                  <m:d>
                    <m:dPr>
                      <m:ctrlPr>
                        <w:rPr>
                          <w:i/>
                        </w:rPr>
                      </m:ctrlPr>
                    </m:dPr>
                    <m:e>
                      <m:sSubSup>
                        <m:sSubSupPr>
                          <m:ctrlPr>
                            <w:rPr>
                              <w:i/>
                            </w:rPr>
                          </m:ctrlPr>
                        </m:sSubSupPr>
                        <m:e>
                          <m:r>
                            <m:rPr>
                              <m:sty m:val="bi"/>
                            </m:rPr>
                            <m:t>TK</m:t>
                          </m:r>
                        </m:e>
                        <m:sub>
                          <m:r>
                            <m:rPr>
                              <m:sty m:val="bi"/>
                            </m:rPr>
                            <m:t>act,2013,i</m:t>
                          </m:r>
                        </m:sub>
                        <m:sup/>
                      </m:sSubSup>
                    </m:e>
                  </m:d>
                  <m:r>
                    <m:rPr>
                      <m:sty m:val="bi"/>
                    </m:rPr>
                    <m:t xml:space="preserve"> </m:t>
                  </m:r>
                </m:e>
              </m:nary>
              <m:r>
                <m:rPr>
                  <m:sty m:val="bi"/>
                </m:rPr>
                <m:t xml:space="preserve">; 2010…2013 ;  2015 </m:t>
              </m:r>
            </m:e>
          </m:d>
        </m:oMath>
      </m:oMathPara>
    </w:p>
    <w:p w14:paraId="3872F0E1" w14:textId="77777777" w:rsidR="003509B8" w:rsidRPr="000D284A" w:rsidRDefault="003509B8" w:rsidP="000D284A">
      <w:pPr>
        <w:pStyle w:val="Bijschrift"/>
        <w:jc w:val="right"/>
        <w:rPr>
          <w:rFonts w:cs="Tahoma"/>
          <w:b w:val="0"/>
          <w:i/>
        </w:rPr>
      </w:pPr>
      <w:bookmarkStart w:id="374" w:name="_Ref389573978"/>
      <w:r w:rsidRPr="000D284A">
        <w:rPr>
          <w:b w:val="0"/>
          <w:i/>
        </w:rPr>
        <w:t xml:space="preserve">formule </w:t>
      </w:r>
      <w:r w:rsidRPr="000D284A">
        <w:rPr>
          <w:b w:val="0"/>
          <w:i/>
        </w:rPr>
        <w:fldChar w:fldCharType="begin"/>
      </w:r>
      <w:r w:rsidRPr="000D284A">
        <w:rPr>
          <w:b w:val="0"/>
          <w:i/>
        </w:rPr>
        <w:instrText xml:space="preserve"> SEQ formule \* ARABIC </w:instrText>
      </w:r>
      <w:r w:rsidRPr="000D284A">
        <w:rPr>
          <w:b w:val="0"/>
          <w:i/>
        </w:rPr>
        <w:fldChar w:fldCharType="separate"/>
      </w:r>
      <w:r w:rsidR="00BD536B">
        <w:rPr>
          <w:b w:val="0"/>
          <w:i/>
          <w:noProof/>
        </w:rPr>
        <w:t>9</w:t>
      </w:r>
      <w:r w:rsidRPr="000D284A">
        <w:rPr>
          <w:b w:val="0"/>
          <w:i/>
        </w:rPr>
        <w:fldChar w:fldCharType="end"/>
      </w:r>
      <w:bookmarkEnd w:id="374"/>
    </w:p>
    <w:p w14:paraId="2C8FA8B4" w14:textId="77777777" w:rsidR="00F664D0" w:rsidRPr="00043B8D" w:rsidRDefault="00F664D0" w:rsidP="00F664D0">
      <w:pPr>
        <w:tabs>
          <w:tab w:val="left" w:pos="1701"/>
        </w:tabs>
        <w:ind w:left="2835" w:hanging="2835"/>
        <w:rPr>
          <w:rFonts w:cs="Tahoma"/>
          <w:i/>
          <w:lang w:val="nl-BE"/>
        </w:rPr>
      </w:pPr>
    </w:p>
    <w:p w14:paraId="1E47C760" w14:textId="77777777" w:rsidR="00F664D0" w:rsidRPr="00043B8D" w:rsidRDefault="006C5051" w:rsidP="006C5051">
      <w:pPr>
        <w:tabs>
          <w:tab w:val="left" w:pos="709"/>
          <w:tab w:val="left" w:pos="1701"/>
        </w:tabs>
        <w:ind w:left="2268" w:hanging="2268"/>
        <w:rPr>
          <w:rFonts w:cs="Tahoma"/>
          <w:lang w:val="nl-BE"/>
        </w:rPr>
      </w:pPr>
      <w:r w:rsidRPr="00043B8D">
        <w:rPr>
          <w:rFonts w:cs="Tahoma"/>
          <w:i/>
          <w:lang w:val="nl-BE"/>
        </w:rPr>
        <w:tab/>
      </w:r>
      <w:r w:rsidR="00F664D0" w:rsidRPr="00043B8D">
        <w:rPr>
          <w:rFonts w:cs="Tahoma"/>
          <w:lang w:val="nl-BE"/>
        </w:rPr>
        <w:t>Met hierin:</w:t>
      </w:r>
    </w:p>
    <w:p w14:paraId="42B87A60" w14:textId="77777777" w:rsidR="006C5051" w:rsidRPr="00043B8D" w:rsidRDefault="00F664D0" w:rsidP="00E7289E">
      <w:pPr>
        <w:tabs>
          <w:tab w:val="left" w:pos="2268"/>
          <w:tab w:val="left" w:pos="4820"/>
        </w:tabs>
        <w:ind w:left="1701" w:hanging="993"/>
        <w:rPr>
          <w:rFonts w:cs="Tahoma"/>
          <w:i/>
          <w:lang w:val="nl-BE"/>
        </w:rPr>
      </w:pPr>
      <w:r w:rsidRPr="00043B8D">
        <w:rPr>
          <w:rFonts w:cs="Tahoma"/>
          <w:i/>
          <w:lang w:val="nl-BE"/>
        </w:rPr>
        <w:tab/>
      </w:r>
    </w:p>
    <w:p w14:paraId="3A3BA02C" w14:textId="77777777" w:rsidR="00F664D0" w:rsidRPr="00043B8D" w:rsidRDefault="006C5051" w:rsidP="00E7289E">
      <w:pPr>
        <w:tabs>
          <w:tab w:val="left" w:pos="2268"/>
          <w:tab w:val="left" w:pos="4820"/>
        </w:tabs>
        <w:ind w:left="1701" w:hanging="993"/>
        <w:rPr>
          <w:rFonts w:cs="Tahoma"/>
          <w:i/>
          <w:lang w:val="nl-BE"/>
        </w:rPr>
      </w:pPr>
      <w:r w:rsidRPr="00043B8D">
        <w:rPr>
          <w:rFonts w:cs="Tahoma"/>
          <w:i/>
          <w:lang w:val="nl-BE"/>
        </w:rPr>
        <w:tab/>
      </w:r>
      <w:r w:rsidR="00F664D0" w:rsidRPr="00043B8D">
        <w:rPr>
          <w:rFonts w:cs="Tahoma"/>
          <w:i/>
          <w:lang w:val="nl-BE"/>
        </w:rPr>
        <w:t>TREND(</w:t>
      </w:r>
      <w:r w:rsidR="00544E4E" w:rsidRPr="00043B8D">
        <w:rPr>
          <w:rFonts w:cs="Tahoma"/>
          <w:i/>
          <w:lang w:val="nl-BE"/>
        </w:rPr>
        <w:t>y</w:t>
      </w:r>
      <w:r w:rsidR="009F5615" w:rsidRPr="00043B8D">
        <w:rPr>
          <w:rFonts w:cs="Tahoma"/>
          <w:i/>
          <w:lang w:val="nl-BE"/>
        </w:rPr>
        <w:t>-</w:t>
      </w:r>
      <w:r w:rsidR="00F664D0" w:rsidRPr="00043B8D">
        <w:rPr>
          <w:rFonts w:cs="Tahoma"/>
          <w:i/>
          <w:lang w:val="nl-BE"/>
        </w:rPr>
        <w:t xml:space="preserve">waarden; </w:t>
      </w:r>
      <w:r w:rsidR="00544E4E" w:rsidRPr="00043B8D">
        <w:rPr>
          <w:rFonts w:cs="Tahoma"/>
          <w:i/>
          <w:lang w:val="nl-BE"/>
        </w:rPr>
        <w:t>x</w:t>
      </w:r>
      <w:r w:rsidR="009F5615" w:rsidRPr="00043B8D">
        <w:rPr>
          <w:rFonts w:cs="Tahoma"/>
          <w:i/>
          <w:lang w:val="nl-BE"/>
        </w:rPr>
        <w:t>-</w:t>
      </w:r>
      <w:r w:rsidR="00F664D0" w:rsidRPr="00043B8D">
        <w:rPr>
          <w:rFonts w:cs="Tahoma"/>
          <w:i/>
          <w:lang w:val="nl-BE"/>
        </w:rPr>
        <w:t>waarden; nieuwe x</w:t>
      </w:r>
      <w:r w:rsidR="009F5615" w:rsidRPr="00043B8D">
        <w:rPr>
          <w:rFonts w:cs="Tahoma"/>
          <w:i/>
          <w:lang w:val="nl-BE"/>
        </w:rPr>
        <w:t>-</w:t>
      </w:r>
      <w:r w:rsidR="00F664D0" w:rsidRPr="00043B8D">
        <w:rPr>
          <w:rFonts w:cs="Tahoma"/>
          <w:i/>
          <w:lang w:val="nl-BE"/>
        </w:rPr>
        <w:t xml:space="preserve">waarde): </w:t>
      </w:r>
      <w:r w:rsidR="00F664D0" w:rsidRPr="00043B8D">
        <w:rPr>
          <w:rFonts w:cs="Tahoma"/>
          <w:i/>
          <w:lang w:val="nl-BE"/>
        </w:rPr>
        <w:tab/>
      </w:r>
    </w:p>
    <w:p w14:paraId="1C7C9606" w14:textId="77777777" w:rsidR="00F664D0" w:rsidRPr="00043B8D" w:rsidRDefault="00F664D0" w:rsidP="00242BBD">
      <w:pPr>
        <w:tabs>
          <w:tab w:val="left" w:pos="1701"/>
          <w:tab w:val="left" w:pos="2694"/>
        </w:tabs>
        <w:ind w:left="2694" w:hanging="1986"/>
        <w:rPr>
          <w:rFonts w:cs="Tahoma"/>
          <w:i/>
          <w:lang w:val="nl-BE"/>
        </w:rPr>
      </w:pPr>
      <w:r w:rsidRPr="00043B8D">
        <w:rPr>
          <w:rFonts w:cs="Tahoma"/>
          <w:i/>
          <w:lang w:val="nl-BE"/>
        </w:rPr>
        <w:tab/>
      </w:r>
      <w:r w:rsidR="00242BBD" w:rsidRPr="00043B8D">
        <w:rPr>
          <w:rFonts w:cs="Tahoma"/>
          <w:i/>
          <w:lang w:val="nl-BE"/>
        </w:rPr>
        <w:tab/>
        <w:t>De</w:t>
      </w:r>
      <w:r w:rsidR="00DF26A4" w:rsidRPr="00043B8D">
        <w:rPr>
          <w:rFonts w:cs="Tahoma"/>
          <w:i/>
          <w:lang w:val="nl-BE"/>
        </w:rPr>
        <w:t xml:space="preserve"> f</w:t>
      </w:r>
      <w:r w:rsidRPr="00043B8D">
        <w:rPr>
          <w:rFonts w:cs="Tahoma"/>
          <w:i/>
          <w:lang w:val="nl-BE"/>
        </w:rPr>
        <w:t xml:space="preserve">unctie die </w:t>
      </w:r>
      <w:r w:rsidR="00F316F9" w:rsidRPr="00043B8D">
        <w:rPr>
          <w:rFonts w:cs="Tahoma"/>
          <w:i/>
          <w:lang w:val="nl-BE"/>
        </w:rPr>
        <w:t xml:space="preserve">voor de </w:t>
      </w:r>
      <w:r w:rsidR="00DF26A4" w:rsidRPr="00043B8D">
        <w:rPr>
          <w:rFonts w:cs="Tahoma"/>
          <w:i/>
          <w:lang w:val="nl-BE"/>
        </w:rPr>
        <w:t>‘</w:t>
      </w:r>
      <w:r w:rsidR="00F316F9" w:rsidRPr="00043B8D">
        <w:rPr>
          <w:rFonts w:cs="Tahoma"/>
          <w:i/>
          <w:lang w:val="nl-BE"/>
        </w:rPr>
        <w:t>nieuwe x-waarde</w:t>
      </w:r>
      <w:r w:rsidR="00DF26A4" w:rsidRPr="00043B8D">
        <w:rPr>
          <w:rFonts w:cs="Tahoma"/>
          <w:i/>
          <w:lang w:val="nl-BE"/>
        </w:rPr>
        <w:t>’</w:t>
      </w:r>
      <w:r w:rsidR="00F316F9" w:rsidRPr="00043B8D">
        <w:rPr>
          <w:rFonts w:cs="Tahoma"/>
          <w:i/>
          <w:lang w:val="nl-BE"/>
        </w:rPr>
        <w:t xml:space="preserve"> </w:t>
      </w:r>
      <w:r w:rsidRPr="00043B8D">
        <w:rPr>
          <w:rFonts w:cs="Tahoma"/>
          <w:i/>
          <w:lang w:val="nl-BE"/>
        </w:rPr>
        <w:t xml:space="preserve">de </w:t>
      </w:r>
      <w:r w:rsidR="006C5051" w:rsidRPr="00043B8D">
        <w:rPr>
          <w:rFonts w:cs="Tahoma"/>
          <w:i/>
          <w:lang w:val="nl-BE"/>
        </w:rPr>
        <w:t xml:space="preserve">overeenstemmende </w:t>
      </w:r>
      <w:r w:rsidRPr="00043B8D">
        <w:rPr>
          <w:rFonts w:cs="Tahoma"/>
          <w:i/>
          <w:lang w:val="nl-BE"/>
        </w:rPr>
        <w:t>y</w:t>
      </w:r>
      <w:r w:rsidR="009F5615" w:rsidRPr="00043B8D">
        <w:rPr>
          <w:rFonts w:cs="Tahoma"/>
          <w:i/>
          <w:lang w:val="nl-BE"/>
        </w:rPr>
        <w:t>-</w:t>
      </w:r>
      <w:r w:rsidRPr="00043B8D">
        <w:rPr>
          <w:rFonts w:cs="Tahoma"/>
          <w:i/>
          <w:lang w:val="nl-BE"/>
        </w:rPr>
        <w:t xml:space="preserve">waarde oplevert </w:t>
      </w:r>
      <w:r w:rsidR="00F316F9" w:rsidRPr="00043B8D">
        <w:rPr>
          <w:rFonts w:cs="Tahoma"/>
          <w:i/>
          <w:lang w:val="nl-BE"/>
        </w:rPr>
        <w:t xml:space="preserve">volgens </w:t>
      </w:r>
      <w:r w:rsidRPr="00043B8D">
        <w:rPr>
          <w:rFonts w:cs="Tahoma"/>
          <w:i/>
          <w:lang w:val="nl-BE"/>
        </w:rPr>
        <w:t xml:space="preserve">de </w:t>
      </w:r>
      <w:r w:rsidR="00544E4E" w:rsidRPr="00043B8D">
        <w:rPr>
          <w:rFonts w:cs="Tahoma"/>
          <w:i/>
          <w:lang w:val="nl-BE"/>
        </w:rPr>
        <w:t xml:space="preserve">lineaire </w:t>
      </w:r>
      <w:r w:rsidRPr="00043B8D">
        <w:rPr>
          <w:rFonts w:cs="Tahoma"/>
          <w:i/>
          <w:lang w:val="nl-BE"/>
        </w:rPr>
        <w:t xml:space="preserve">trend </w:t>
      </w:r>
      <w:r w:rsidR="00544E4E" w:rsidRPr="00043B8D">
        <w:rPr>
          <w:rFonts w:cs="Tahoma"/>
          <w:i/>
          <w:lang w:val="nl-BE"/>
        </w:rPr>
        <w:t>berekend met</w:t>
      </w:r>
      <w:r w:rsidRPr="00043B8D">
        <w:rPr>
          <w:rFonts w:cs="Tahoma"/>
          <w:i/>
          <w:lang w:val="nl-BE"/>
        </w:rPr>
        <w:t xml:space="preserve"> de kleinste</w:t>
      </w:r>
      <w:r w:rsidR="00544E4E" w:rsidRPr="00043B8D">
        <w:rPr>
          <w:rFonts w:cs="Tahoma"/>
          <w:i/>
          <w:lang w:val="nl-BE"/>
        </w:rPr>
        <w:t>-</w:t>
      </w:r>
      <w:r w:rsidRPr="00043B8D">
        <w:rPr>
          <w:rFonts w:cs="Tahoma"/>
          <w:i/>
          <w:lang w:val="nl-BE"/>
        </w:rPr>
        <w:t xml:space="preserve">kwadratenmethode </w:t>
      </w:r>
      <w:r w:rsidR="009F5615" w:rsidRPr="00043B8D">
        <w:rPr>
          <w:rFonts w:cs="Tahoma"/>
          <w:i/>
          <w:lang w:val="nl-BE"/>
        </w:rPr>
        <w:t xml:space="preserve">toegepast op </w:t>
      </w:r>
      <w:r w:rsidRPr="00043B8D">
        <w:rPr>
          <w:rFonts w:cs="Tahoma"/>
          <w:i/>
          <w:lang w:val="nl-BE"/>
        </w:rPr>
        <w:t xml:space="preserve">de gegeven </w:t>
      </w:r>
      <w:r w:rsidR="006C5051" w:rsidRPr="00043B8D">
        <w:rPr>
          <w:rFonts w:cs="Tahoma"/>
          <w:i/>
          <w:lang w:val="nl-BE"/>
        </w:rPr>
        <w:t xml:space="preserve">set </w:t>
      </w:r>
      <w:r w:rsidR="00DF26A4" w:rsidRPr="00043B8D">
        <w:rPr>
          <w:rFonts w:cs="Tahoma"/>
          <w:i/>
          <w:lang w:val="nl-BE"/>
        </w:rPr>
        <w:t>‘</w:t>
      </w:r>
      <w:r w:rsidRPr="00043B8D">
        <w:rPr>
          <w:rFonts w:cs="Tahoma"/>
          <w:i/>
          <w:lang w:val="nl-BE"/>
        </w:rPr>
        <w:t>y</w:t>
      </w:r>
      <w:r w:rsidR="009F5615" w:rsidRPr="00043B8D">
        <w:rPr>
          <w:rFonts w:cs="Tahoma"/>
          <w:i/>
          <w:lang w:val="nl-BE"/>
        </w:rPr>
        <w:t>-</w:t>
      </w:r>
      <w:r w:rsidRPr="00043B8D">
        <w:rPr>
          <w:rFonts w:cs="Tahoma"/>
          <w:i/>
          <w:lang w:val="nl-BE"/>
        </w:rPr>
        <w:t>waarden</w:t>
      </w:r>
      <w:r w:rsidR="00DF26A4" w:rsidRPr="00043B8D">
        <w:rPr>
          <w:rFonts w:cs="Tahoma"/>
          <w:i/>
          <w:lang w:val="nl-BE"/>
        </w:rPr>
        <w:t>’</w:t>
      </w:r>
      <w:r w:rsidR="006C5051" w:rsidRPr="00043B8D">
        <w:rPr>
          <w:rFonts w:cs="Tahoma"/>
          <w:i/>
          <w:lang w:val="nl-BE"/>
        </w:rPr>
        <w:t xml:space="preserve"> en </w:t>
      </w:r>
      <w:r w:rsidR="00DF26A4" w:rsidRPr="00043B8D">
        <w:rPr>
          <w:rFonts w:cs="Tahoma"/>
          <w:i/>
          <w:lang w:val="nl-BE"/>
        </w:rPr>
        <w:t>‘</w:t>
      </w:r>
      <w:r w:rsidR="006C5051" w:rsidRPr="00043B8D">
        <w:rPr>
          <w:rFonts w:cs="Tahoma"/>
          <w:i/>
          <w:lang w:val="nl-BE"/>
        </w:rPr>
        <w:t>x-waarde</w:t>
      </w:r>
      <w:r w:rsidR="00DF26A4" w:rsidRPr="00043B8D">
        <w:rPr>
          <w:rFonts w:cs="Tahoma"/>
          <w:i/>
          <w:lang w:val="nl-BE"/>
        </w:rPr>
        <w:t>n’</w:t>
      </w:r>
      <w:r w:rsidRPr="00043B8D">
        <w:rPr>
          <w:rFonts w:cs="Tahoma"/>
          <w:i/>
          <w:lang w:val="nl-BE"/>
        </w:rPr>
        <w:t>.</w:t>
      </w:r>
    </w:p>
    <w:p w14:paraId="72941614" w14:textId="77777777" w:rsidR="00A92D2F" w:rsidRPr="00043B8D" w:rsidRDefault="00A92D2F" w:rsidP="00A92D2F">
      <w:pPr>
        <w:tabs>
          <w:tab w:val="left" w:pos="4820"/>
        </w:tabs>
        <w:ind w:left="1701" w:hanging="993"/>
        <w:rPr>
          <w:rFonts w:cs="Tahoma"/>
          <w:i/>
          <w:lang w:val="nl-BE"/>
        </w:rPr>
      </w:pPr>
      <w:r w:rsidRPr="00043B8D">
        <w:rPr>
          <w:rFonts w:cs="Tahoma"/>
          <w:i/>
          <w:lang w:val="nl-BE"/>
        </w:rPr>
        <w:tab/>
      </w:r>
    </w:p>
    <w:p w14:paraId="361FFC6B" w14:textId="77777777" w:rsidR="00A92D2F" w:rsidRPr="00043B8D" w:rsidRDefault="00A92D2F" w:rsidP="00A92D2F">
      <w:pPr>
        <w:tabs>
          <w:tab w:val="left" w:pos="1701"/>
          <w:tab w:val="left" w:pos="2694"/>
        </w:tabs>
        <w:ind w:left="2694" w:hanging="1986"/>
        <w:rPr>
          <w:rFonts w:cs="Tahoma"/>
          <w:i/>
          <w:lang w:val="nl-BE"/>
        </w:rPr>
      </w:pPr>
      <w:r w:rsidRPr="00043B8D">
        <w:rPr>
          <w:rFonts w:cs="Tahoma"/>
          <w:i/>
          <w:lang w:val="nl-BE"/>
        </w:rPr>
        <w:tab/>
      </w:r>
      <w:r w:rsidR="00E678B6" w:rsidRPr="00043B8D">
        <w:rPr>
          <w:rFonts w:cs="Tahoma"/>
          <w:i/>
          <w:lang w:val="nl-BE"/>
        </w:rPr>
        <w:t>TK</w:t>
      </w:r>
      <w:r w:rsidR="00E678B6" w:rsidRPr="00043B8D">
        <w:rPr>
          <w:rFonts w:cs="Tahoma"/>
          <w:i/>
          <w:vertAlign w:val="subscript"/>
          <w:lang w:val="nl-BE"/>
        </w:rPr>
        <w:t>act,j,i</w:t>
      </w:r>
      <w:r w:rsidRPr="00043B8D">
        <w:rPr>
          <w:rFonts w:cs="Tahoma"/>
          <w:i/>
          <w:vertAlign w:val="subscript"/>
          <w:lang w:val="nl-BE"/>
        </w:rPr>
        <w:tab/>
      </w:r>
      <w:r w:rsidRPr="00043B8D">
        <w:rPr>
          <w:rFonts w:cs="Tahoma"/>
          <w:i/>
          <w:lang w:val="nl-BE"/>
        </w:rPr>
        <w:t>De niet-exogene kos</w:t>
      </w:r>
      <w:r w:rsidR="007944F2" w:rsidRPr="00043B8D">
        <w:rPr>
          <w:rFonts w:cs="Tahoma"/>
          <w:i/>
          <w:lang w:val="nl-BE"/>
        </w:rPr>
        <w:t>ten</w:t>
      </w:r>
      <w:r w:rsidRPr="00043B8D">
        <w:rPr>
          <w:rFonts w:cs="Tahoma"/>
          <w:i/>
          <w:lang w:val="nl-BE"/>
        </w:rPr>
        <w:t xml:space="preserve"> van distributienetbeheerder i in het afgelopen jaar j</w:t>
      </w:r>
      <w:r w:rsidR="00C510EA" w:rsidRPr="00043B8D">
        <w:rPr>
          <w:rFonts w:cs="Tahoma"/>
          <w:i/>
          <w:lang w:val="nl-BE"/>
        </w:rPr>
        <w:t xml:space="preserve"> geactualiseerd op basis van de </w:t>
      </w:r>
      <w:r w:rsidR="00FD0138" w:rsidRPr="00043B8D">
        <w:rPr>
          <w:rFonts w:cs="Tahoma"/>
          <w:i/>
          <w:lang w:val="nl-BE"/>
        </w:rPr>
        <w:t xml:space="preserve">waargenomen </w:t>
      </w:r>
      <w:r w:rsidR="00C510EA" w:rsidRPr="00043B8D">
        <w:rPr>
          <w:rFonts w:cs="Tahoma"/>
          <w:i/>
          <w:lang w:val="nl-BE"/>
        </w:rPr>
        <w:t xml:space="preserve">inflatie naar huidige waarde in het </w:t>
      </w:r>
      <w:r w:rsidRPr="00043B8D">
        <w:rPr>
          <w:rFonts w:cs="Tahoma"/>
          <w:i/>
          <w:lang w:val="nl-BE"/>
        </w:rPr>
        <w:t xml:space="preserve">jaar </w:t>
      </w:r>
      <w:r w:rsidR="00E678B6" w:rsidRPr="00043B8D">
        <w:rPr>
          <w:rFonts w:cs="Tahoma"/>
          <w:i/>
          <w:lang w:val="nl-BE"/>
        </w:rPr>
        <w:t>2014.</w:t>
      </w:r>
      <w:r w:rsidR="001C2B3E" w:rsidRPr="00043B8D">
        <w:rPr>
          <w:rFonts w:cs="Tahoma"/>
          <w:i/>
          <w:lang w:val="nl-BE"/>
        </w:rPr>
        <w:t xml:space="preserve"> (EUR)</w:t>
      </w:r>
      <w:r w:rsidRPr="00043B8D">
        <w:rPr>
          <w:rFonts w:cs="Tahoma"/>
          <w:i/>
          <w:lang w:val="nl-BE"/>
        </w:rPr>
        <w:t>:</w:t>
      </w:r>
    </w:p>
    <w:p w14:paraId="04237828" w14:textId="77777777" w:rsidR="00A92D2F" w:rsidRPr="00043B8D" w:rsidRDefault="00A92D2F" w:rsidP="00A92D2F">
      <w:pPr>
        <w:tabs>
          <w:tab w:val="left" w:pos="1701"/>
          <w:tab w:val="left" w:pos="2694"/>
        </w:tabs>
        <w:ind w:left="2694" w:hanging="1986"/>
        <w:rPr>
          <w:rFonts w:cs="Tahoma"/>
          <w:i/>
          <w:lang w:val="nl-BE"/>
        </w:rPr>
      </w:pPr>
      <w:r w:rsidRPr="00043B8D">
        <w:rPr>
          <w:rFonts w:cs="Tahoma"/>
          <w:i/>
          <w:lang w:val="nl-BE"/>
        </w:rPr>
        <w:tab/>
      </w:r>
      <w:r w:rsidRPr="00043B8D">
        <w:rPr>
          <w:rFonts w:cs="Tahoma"/>
          <w:i/>
          <w:lang w:val="nl-BE"/>
        </w:rPr>
        <w:tab/>
      </w:r>
      <w:r w:rsidRPr="00043B8D">
        <w:rPr>
          <w:rFonts w:cs="Tahoma"/>
          <w:i/>
          <w:lang w:val="nl-BE"/>
        </w:rPr>
        <w:tab/>
      </w:r>
    </w:p>
    <w:p w14:paraId="5FC53D7E" w14:textId="6372102E" w:rsidR="00A92D2F" w:rsidRPr="00043B8D" w:rsidRDefault="000937A6" w:rsidP="00A92D2F">
      <w:pPr>
        <w:pStyle w:val="StijlStijlBijschriftCambriaMathNietVetCursiefVet"/>
        <w:pBdr>
          <w:top w:val="dotted" w:sz="4" w:space="1" w:color="auto"/>
          <w:left w:val="dotted" w:sz="4" w:space="4" w:color="auto"/>
          <w:bottom w:val="dotted" w:sz="4" w:space="1" w:color="auto"/>
          <w:right w:val="dotted" w:sz="4" w:space="4" w:color="auto"/>
        </w:pBdr>
        <w:jc w:val="center"/>
        <w:rPr>
          <w:i/>
        </w:rPr>
      </w:pPr>
      <m:oMathPara>
        <m:oMath>
          <m:sSubSup>
            <m:sSubSupPr>
              <m:ctrlPr>
                <w:rPr>
                  <w:i/>
                </w:rPr>
              </m:ctrlPr>
            </m:sSubSupPr>
            <m:e>
              <m:r>
                <m:rPr>
                  <m:sty m:val="bi"/>
                </m:rPr>
                <m:t>TK</m:t>
              </m:r>
            </m:e>
            <m:sub>
              <m:r>
                <m:rPr>
                  <m:sty m:val="bi"/>
                </m:rPr>
                <m:t>act,j,i</m:t>
              </m:r>
            </m:sub>
            <m:sup/>
          </m:sSubSup>
          <m:r>
            <m:rPr>
              <m:sty m:val="bi"/>
            </m:rPr>
            <m:t>=</m:t>
          </m:r>
          <m:sSub>
            <m:sSubPr>
              <m:ctrlPr>
                <w:rPr>
                  <w:i/>
                </w:rPr>
              </m:ctrlPr>
            </m:sSubPr>
            <m:e>
              <m:r>
                <m:rPr>
                  <m:sty m:val="bi"/>
                </m:rPr>
                <m:t>TK</m:t>
              </m:r>
            </m:e>
            <m:sub>
              <m:r>
                <m:rPr>
                  <m:sty m:val="bi"/>
                </m:rPr>
                <m:t>j,i</m:t>
              </m:r>
            </m:sub>
          </m:sSub>
          <m:r>
            <m:rPr>
              <m:sty m:val="bi"/>
            </m:rPr>
            <m:t>×</m:t>
          </m:r>
          <m:f>
            <m:fPr>
              <m:ctrlPr>
                <w:rPr>
                  <w:i/>
                </w:rPr>
              </m:ctrlPr>
            </m:fPr>
            <m:num>
              <m:sSub>
                <m:sSubPr>
                  <m:ctrlPr>
                    <w:rPr>
                      <w:i/>
                    </w:rPr>
                  </m:ctrlPr>
                </m:sSubPr>
                <m:e>
                  <m:r>
                    <m:rPr>
                      <m:sty m:val="bi"/>
                    </m:rPr>
                    <m:t>CPI</m:t>
                  </m:r>
                </m:e>
                <m:sub>
                  <m:r>
                    <m:rPr>
                      <m:sty m:val="bi"/>
                    </m:rPr>
                    <m:t>2014</m:t>
                  </m:r>
                </m:sub>
              </m:sSub>
            </m:num>
            <m:den>
              <m:sSub>
                <m:sSubPr>
                  <m:ctrlPr>
                    <w:rPr>
                      <w:i/>
                    </w:rPr>
                  </m:ctrlPr>
                </m:sSubPr>
                <m:e>
                  <m:r>
                    <m:rPr>
                      <m:sty m:val="bi"/>
                    </m:rPr>
                    <m:t>CPI</m:t>
                  </m:r>
                </m:e>
                <m:sub>
                  <m:r>
                    <m:rPr>
                      <m:sty m:val="bi"/>
                    </m:rPr>
                    <m:t>j</m:t>
                  </m:r>
                </m:sub>
              </m:sSub>
            </m:den>
          </m:f>
          <m:r>
            <m:rPr>
              <m:sty m:val="b"/>
            </m:rPr>
            <w:br/>
          </m:r>
        </m:oMath>
      </m:oMathPara>
      <w:r w:rsidR="00A92D2F" w:rsidRPr="00043B8D">
        <w:rPr>
          <w:i/>
        </w:rPr>
        <w:tab/>
      </w:r>
    </w:p>
    <w:p w14:paraId="2CD4F5FF" w14:textId="77777777" w:rsidR="00A92D2F" w:rsidRPr="000D284A" w:rsidRDefault="00A92D2F" w:rsidP="000D284A">
      <w:pPr>
        <w:pStyle w:val="Bijschrift"/>
        <w:jc w:val="right"/>
        <w:rPr>
          <w:b w:val="0"/>
          <w:i/>
        </w:rPr>
      </w:pPr>
      <w:r w:rsidRPr="000D284A">
        <w:rPr>
          <w:b w:val="0"/>
          <w:i/>
        </w:rPr>
        <w:tab/>
      </w:r>
      <w:bookmarkStart w:id="375" w:name="_Ref389570734"/>
      <w:r w:rsidRPr="000D284A">
        <w:rPr>
          <w:b w:val="0"/>
          <w:i/>
        </w:rPr>
        <w:t xml:space="preserve">formule </w:t>
      </w:r>
      <w:r w:rsidRPr="000D284A">
        <w:rPr>
          <w:b w:val="0"/>
          <w:i/>
        </w:rPr>
        <w:fldChar w:fldCharType="begin"/>
      </w:r>
      <w:r w:rsidRPr="000D284A">
        <w:rPr>
          <w:b w:val="0"/>
          <w:i/>
        </w:rPr>
        <w:instrText xml:space="preserve"> SEQ formule \* ARABIC </w:instrText>
      </w:r>
      <w:r w:rsidRPr="000D284A">
        <w:rPr>
          <w:b w:val="0"/>
          <w:i/>
        </w:rPr>
        <w:fldChar w:fldCharType="separate"/>
      </w:r>
      <w:r w:rsidR="00BD536B">
        <w:rPr>
          <w:b w:val="0"/>
          <w:i/>
          <w:noProof/>
        </w:rPr>
        <w:t>10</w:t>
      </w:r>
      <w:r w:rsidRPr="000D284A">
        <w:rPr>
          <w:b w:val="0"/>
          <w:i/>
        </w:rPr>
        <w:fldChar w:fldCharType="end"/>
      </w:r>
      <w:bookmarkEnd w:id="375"/>
    </w:p>
    <w:p w14:paraId="00EE0EB5" w14:textId="77777777" w:rsidR="00A92D2F" w:rsidRPr="00043B8D" w:rsidRDefault="00A92D2F" w:rsidP="00A92D2F">
      <w:pPr>
        <w:tabs>
          <w:tab w:val="left" w:pos="4820"/>
        </w:tabs>
        <w:ind w:left="1701" w:hanging="993"/>
        <w:rPr>
          <w:rFonts w:cs="Tahoma"/>
          <w:lang w:val="nl-BE"/>
        </w:rPr>
      </w:pPr>
    </w:p>
    <w:p w14:paraId="47B6EBC7" w14:textId="77777777" w:rsidR="00A92D2F" w:rsidRPr="00043B8D" w:rsidRDefault="00A92D2F" w:rsidP="00A92D2F">
      <w:pPr>
        <w:tabs>
          <w:tab w:val="left" w:pos="4820"/>
        </w:tabs>
        <w:ind w:left="1701" w:hanging="993"/>
        <w:rPr>
          <w:rFonts w:cs="Tahoma"/>
          <w:lang w:val="nl-BE"/>
        </w:rPr>
      </w:pPr>
      <w:r w:rsidRPr="00043B8D">
        <w:rPr>
          <w:rFonts w:cs="Tahoma"/>
          <w:lang w:val="nl-BE"/>
        </w:rPr>
        <w:tab/>
        <w:t>Met hierin:</w:t>
      </w:r>
    </w:p>
    <w:p w14:paraId="4F8009B5" w14:textId="77777777" w:rsidR="00A92D2F" w:rsidRPr="00043B8D" w:rsidRDefault="00A92D2F" w:rsidP="00A92D2F">
      <w:pPr>
        <w:tabs>
          <w:tab w:val="left" w:pos="4820"/>
        </w:tabs>
        <w:ind w:left="1701" w:hanging="993"/>
        <w:rPr>
          <w:rFonts w:cs="Tahoma"/>
          <w:i/>
          <w:lang w:val="nl-BE"/>
        </w:rPr>
      </w:pPr>
    </w:p>
    <w:p w14:paraId="7E0156F1" w14:textId="67A46F40" w:rsidR="00A92D2F" w:rsidRPr="00043B8D" w:rsidRDefault="00A92D2F" w:rsidP="00A92D2F">
      <w:pPr>
        <w:tabs>
          <w:tab w:val="left" w:pos="2552"/>
          <w:tab w:val="left" w:pos="3544"/>
        </w:tabs>
        <w:ind w:left="3544" w:hanging="2836"/>
        <w:rPr>
          <w:rFonts w:cs="Tahoma"/>
          <w:i/>
          <w:lang w:val="nl-BE"/>
        </w:rPr>
      </w:pPr>
      <w:r w:rsidRPr="00043B8D">
        <w:rPr>
          <w:rFonts w:cs="Tahoma"/>
          <w:i/>
          <w:lang w:val="nl-BE"/>
        </w:rPr>
        <w:tab/>
        <w:t>TK</w:t>
      </w:r>
      <w:r w:rsidRPr="00043B8D">
        <w:rPr>
          <w:rFonts w:cs="Tahoma"/>
          <w:i/>
          <w:vertAlign w:val="subscript"/>
          <w:lang w:val="nl-BE"/>
        </w:rPr>
        <w:t>j,i</w:t>
      </w:r>
      <w:r w:rsidRPr="00043B8D">
        <w:rPr>
          <w:rFonts w:cs="Tahoma"/>
          <w:i/>
          <w:lang w:val="nl-BE"/>
        </w:rPr>
        <w:t xml:space="preserve"> </w:t>
      </w:r>
      <w:r w:rsidRPr="00043B8D">
        <w:rPr>
          <w:rFonts w:cs="Tahoma"/>
          <w:i/>
          <w:lang w:val="nl-BE"/>
        </w:rPr>
        <w:tab/>
        <w:t xml:space="preserve">De niet-exogene kosten </w:t>
      </w:r>
      <w:r w:rsidR="005835AE" w:rsidRPr="00043B8D">
        <w:rPr>
          <w:rFonts w:cs="Tahoma"/>
          <w:i/>
          <w:lang w:val="nl-BE"/>
        </w:rPr>
        <w:t>van</w:t>
      </w:r>
      <w:r w:rsidRPr="00043B8D">
        <w:rPr>
          <w:rFonts w:cs="Tahoma"/>
          <w:i/>
          <w:lang w:val="nl-BE"/>
        </w:rPr>
        <w:t xml:space="preserve"> distributienetbeheerder i in jaar j </w:t>
      </w:r>
      <w:r w:rsidR="0051517F" w:rsidRPr="00043B8D">
        <w:rPr>
          <w:rFonts w:cs="Tahoma"/>
          <w:i/>
          <w:lang w:val="nl-BE"/>
        </w:rPr>
        <w:t xml:space="preserve">volgens </w:t>
      </w:r>
      <w:r w:rsidRPr="00043B8D">
        <w:rPr>
          <w:rFonts w:cs="Tahoma"/>
          <w:i/>
          <w:lang w:val="nl-BE"/>
        </w:rPr>
        <w:fldChar w:fldCharType="begin"/>
      </w:r>
      <w:r w:rsidRPr="00043B8D">
        <w:rPr>
          <w:rFonts w:cs="Tahoma"/>
          <w:i/>
          <w:lang w:val="nl-BE"/>
        </w:rPr>
        <w:instrText xml:space="preserve"> REF _Ref389036124 \h  \* MERGEFORMAT </w:instrText>
      </w:r>
      <w:r w:rsidRPr="00043B8D">
        <w:rPr>
          <w:rFonts w:cs="Tahoma"/>
          <w:i/>
          <w:lang w:val="nl-BE"/>
        </w:rPr>
      </w:r>
      <w:r w:rsidRPr="00043B8D">
        <w:rPr>
          <w:rFonts w:cs="Tahoma"/>
          <w:i/>
          <w:lang w:val="nl-BE"/>
        </w:rPr>
        <w:fldChar w:fldCharType="separate"/>
      </w:r>
      <w:r w:rsidR="00B30F9B" w:rsidRPr="00B30F9B">
        <w:rPr>
          <w:i/>
        </w:rPr>
        <w:t xml:space="preserve">formule </w:t>
      </w:r>
      <w:r w:rsidR="00B30F9B" w:rsidRPr="00B30F9B">
        <w:rPr>
          <w:i/>
          <w:noProof/>
        </w:rPr>
        <w:t>4</w:t>
      </w:r>
      <w:r w:rsidRPr="00043B8D">
        <w:rPr>
          <w:rFonts w:cs="Tahoma"/>
          <w:i/>
          <w:lang w:val="nl-BE"/>
        </w:rPr>
        <w:fldChar w:fldCharType="end"/>
      </w:r>
      <w:r w:rsidR="008335B3" w:rsidRPr="00043B8D">
        <w:rPr>
          <w:rFonts w:cs="Tahoma"/>
          <w:i/>
          <w:lang w:val="nl-BE"/>
        </w:rPr>
        <w:t>.</w:t>
      </w:r>
      <w:r w:rsidR="001C2B3E" w:rsidRPr="00043B8D">
        <w:rPr>
          <w:rFonts w:cs="Tahoma"/>
          <w:i/>
          <w:lang w:val="nl-BE"/>
        </w:rPr>
        <w:t xml:space="preserve"> (EUR)</w:t>
      </w:r>
    </w:p>
    <w:p w14:paraId="147154DD" w14:textId="77777777" w:rsidR="00A92D2F" w:rsidRPr="00043B8D" w:rsidRDefault="00A92D2F" w:rsidP="00A92D2F">
      <w:pPr>
        <w:tabs>
          <w:tab w:val="left" w:pos="2552"/>
          <w:tab w:val="left" w:pos="3544"/>
        </w:tabs>
        <w:ind w:left="3544" w:hanging="2836"/>
        <w:rPr>
          <w:rFonts w:cs="Tahoma"/>
          <w:i/>
          <w:lang w:val="nl-BE"/>
        </w:rPr>
      </w:pPr>
    </w:p>
    <w:p w14:paraId="5AD158C2" w14:textId="6AFED9DD" w:rsidR="00A92D2F" w:rsidRPr="00043B8D" w:rsidRDefault="00A92D2F" w:rsidP="00A92D2F">
      <w:pPr>
        <w:tabs>
          <w:tab w:val="left" w:pos="2552"/>
          <w:tab w:val="left" w:pos="3544"/>
        </w:tabs>
        <w:ind w:left="3544" w:hanging="2836"/>
        <w:rPr>
          <w:rFonts w:cs="Tahoma"/>
          <w:i/>
          <w:lang w:val="nl-BE"/>
        </w:rPr>
      </w:pPr>
      <w:r w:rsidRPr="00043B8D">
        <w:rPr>
          <w:rFonts w:cs="Tahoma"/>
          <w:i/>
          <w:lang w:val="nl-BE"/>
        </w:rPr>
        <w:tab/>
        <w:t>CPI</w:t>
      </w:r>
      <w:r w:rsidRPr="00043B8D">
        <w:rPr>
          <w:rFonts w:cs="Tahoma"/>
          <w:i/>
          <w:vertAlign w:val="subscript"/>
          <w:lang w:val="nl-BE"/>
        </w:rPr>
        <w:t>jaar</w:t>
      </w:r>
      <w:r w:rsidRPr="00043B8D">
        <w:rPr>
          <w:rFonts w:cs="Tahoma"/>
          <w:i/>
          <w:vertAlign w:val="subscript"/>
          <w:lang w:val="nl-BE"/>
        </w:rPr>
        <w:tab/>
      </w:r>
      <w:r w:rsidRPr="00043B8D">
        <w:rPr>
          <w:rFonts w:cs="Tahoma"/>
          <w:i/>
          <w:lang w:val="nl-BE"/>
        </w:rPr>
        <w:t xml:space="preserve">De waarde van de consumptieprijsindex </w:t>
      </w:r>
      <w:r w:rsidR="00736EF5" w:rsidRPr="00043B8D">
        <w:rPr>
          <w:rFonts w:cs="Tahoma"/>
          <w:i/>
          <w:lang w:val="nl-BE"/>
        </w:rPr>
        <w:t xml:space="preserve">(CPI) </w:t>
      </w:r>
      <w:r w:rsidRPr="00043B8D">
        <w:rPr>
          <w:rFonts w:cs="Tahoma"/>
          <w:i/>
          <w:lang w:val="nl-BE"/>
        </w:rPr>
        <w:t>voor de maand augustus van het betreffende jaar</w:t>
      </w:r>
      <w:r w:rsidR="00366F8A" w:rsidRPr="00043B8D">
        <w:rPr>
          <w:rFonts w:cs="Tahoma"/>
          <w:i/>
          <w:lang w:val="nl-BE"/>
        </w:rPr>
        <w:t xml:space="preserve">, </w:t>
      </w:r>
      <w:r w:rsidR="00127B02" w:rsidRPr="00043B8D">
        <w:rPr>
          <w:rFonts w:cs="Tahoma"/>
          <w:i/>
          <w:lang w:val="nl-BE"/>
        </w:rPr>
        <w:t xml:space="preserve">op basis van </w:t>
      </w:r>
      <w:r w:rsidR="00736EF5" w:rsidRPr="00043B8D">
        <w:rPr>
          <w:rFonts w:cs="Tahoma"/>
          <w:i/>
          <w:lang w:val="nl-BE"/>
        </w:rPr>
        <w:t>het</w:t>
      </w:r>
      <w:r w:rsidR="005E4328" w:rsidRPr="00043B8D">
        <w:rPr>
          <w:rFonts w:cs="Tahoma"/>
          <w:i/>
          <w:lang w:val="nl-BE"/>
        </w:rPr>
        <w:t>zelfde</w:t>
      </w:r>
      <w:r w:rsidR="00736EF5" w:rsidRPr="00043B8D">
        <w:rPr>
          <w:rFonts w:cs="Tahoma"/>
          <w:i/>
          <w:lang w:val="nl-BE"/>
        </w:rPr>
        <w:t xml:space="preserve">, jongste </w:t>
      </w:r>
      <w:r w:rsidR="005E4328" w:rsidRPr="00043B8D">
        <w:rPr>
          <w:rFonts w:cs="Tahoma"/>
          <w:i/>
          <w:lang w:val="nl-BE"/>
        </w:rPr>
        <w:t>referentiejaar</w:t>
      </w:r>
      <w:r w:rsidR="00736EF5" w:rsidRPr="00043B8D">
        <w:rPr>
          <w:rFonts w:cs="Tahoma"/>
          <w:i/>
          <w:lang w:val="nl-BE"/>
        </w:rPr>
        <w:t xml:space="preserve"> voor de CPI in </w:t>
      </w:r>
      <w:r w:rsidR="00DE2179" w:rsidRPr="00043B8D">
        <w:rPr>
          <w:rFonts w:cs="Tahoma"/>
          <w:i/>
          <w:lang w:val="nl-BE"/>
        </w:rPr>
        <w:t>het jaar voorafgaand aan de volgende reguleringsperiode</w:t>
      </w:r>
      <w:r w:rsidR="005E4328" w:rsidRPr="00043B8D">
        <w:rPr>
          <w:rFonts w:cs="Tahoma"/>
          <w:i/>
          <w:lang w:val="nl-BE"/>
        </w:rPr>
        <w:t>,</w:t>
      </w:r>
      <w:r w:rsidR="00216B4F" w:rsidRPr="00043B8D">
        <w:rPr>
          <w:rFonts w:cs="Tahoma"/>
          <w:i/>
          <w:lang w:val="nl-BE"/>
        </w:rPr>
        <w:t xml:space="preserve"> </w:t>
      </w:r>
      <w:r w:rsidR="00E55ADD" w:rsidRPr="00043B8D">
        <w:rPr>
          <w:rFonts w:cs="Tahoma"/>
          <w:i/>
          <w:lang w:val="nl-BE"/>
        </w:rPr>
        <w:t xml:space="preserve">en </w:t>
      </w:r>
      <w:r w:rsidR="00216B4F" w:rsidRPr="00043B8D">
        <w:rPr>
          <w:rFonts w:cs="Tahoma"/>
          <w:i/>
          <w:lang w:val="nl-BE"/>
        </w:rPr>
        <w:t>zoals gepubliceerd door de Belgische Federale Overheidsdiensten</w:t>
      </w:r>
      <w:r w:rsidR="008335B3" w:rsidRPr="00043B8D">
        <w:rPr>
          <w:rFonts w:cs="Tahoma"/>
          <w:i/>
          <w:lang w:val="nl-BE"/>
        </w:rPr>
        <w:t>.</w:t>
      </w:r>
      <w:r w:rsidR="001C2B3E" w:rsidRPr="00043B8D">
        <w:rPr>
          <w:rFonts w:cs="Tahoma"/>
          <w:i/>
          <w:lang w:val="nl-BE"/>
        </w:rPr>
        <w:t xml:space="preserve"> </w:t>
      </w:r>
      <w:r w:rsidR="003A4910" w:rsidRPr="00043B8D">
        <w:rPr>
          <w:rFonts w:cs="Tahoma"/>
          <w:i/>
          <w:lang w:val="nl-BE"/>
        </w:rPr>
        <w:t xml:space="preserve">Afronding van de breuk in </w:t>
      </w:r>
      <w:r w:rsidR="003A4910" w:rsidRPr="00043B8D">
        <w:rPr>
          <w:rFonts w:cs="Tahoma"/>
          <w:i/>
          <w:lang w:val="nl-BE"/>
        </w:rPr>
        <w:fldChar w:fldCharType="begin"/>
      </w:r>
      <w:r w:rsidR="003A4910" w:rsidRPr="00043B8D">
        <w:rPr>
          <w:rFonts w:cs="Tahoma"/>
          <w:i/>
          <w:lang w:val="nl-BE"/>
        </w:rPr>
        <w:instrText xml:space="preserve"> REF _Ref389570734 \h </w:instrText>
      </w:r>
      <w:r w:rsidR="008020C2" w:rsidRPr="00043B8D">
        <w:rPr>
          <w:rFonts w:cs="Tahoma"/>
          <w:i/>
          <w:lang w:val="nl-BE"/>
        </w:rPr>
        <w:instrText xml:space="preserve"> \* MERGEFORMAT </w:instrText>
      </w:r>
      <w:r w:rsidR="003A4910" w:rsidRPr="00043B8D">
        <w:rPr>
          <w:rFonts w:cs="Tahoma"/>
          <w:i/>
          <w:lang w:val="nl-BE"/>
        </w:rPr>
      </w:r>
      <w:r w:rsidR="003A4910" w:rsidRPr="00043B8D">
        <w:rPr>
          <w:rFonts w:cs="Tahoma"/>
          <w:i/>
          <w:lang w:val="nl-BE"/>
        </w:rPr>
        <w:fldChar w:fldCharType="separate"/>
      </w:r>
      <w:r w:rsidR="00B30F9B" w:rsidRPr="00B30F9B">
        <w:rPr>
          <w:i/>
        </w:rPr>
        <w:t xml:space="preserve">formule </w:t>
      </w:r>
      <w:r w:rsidR="00B30F9B" w:rsidRPr="00B30F9B">
        <w:rPr>
          <w:i/>
          <w:noProof/>
        </w:rPr>
        <w:t>10</w:t>
      </w:r>
      <w:r w:rsidR="003A4910" w:rsidRPr="00043B8D">
        <w:rPr>
          <w:rFonts w:cs="Tahoma"/>
          <w:i/>
          <w:lang w:val="nl-BE"/>
        </w:rPr>
        <w:fldChar w:fldCharType="end"/>
      </w:r>
      <w:r w:rsidR="003A4910" w:rsidRPr="00043B8D">
        <w:rPr>
          <w:rFonts w:cs="Tahoma"/>
          <w:i/>
          <w:lang w:val="nl-BE"/>
        </w:rPr>
        <w:t xml:space="preserve"> tot op 5 decimalen. </w:t>
      </w:r>
      <w:r w:rsidR="001C2B3E" w:rsidRPr="00043B8D">
        <w:rPr>
          <w:rFonts w:cs="Tahoma"/>
          <w:i/>
          <w:lang w:val="nl-BE"/>
        </w:rPr>
        <w:t>(-)</w:t>
      </w:r>
    </w:p>
    <w:p w14:paraId="2C46E657" w14:textId="77777777" w:rsidR="006273D5" w:rsidRPr="00043B8D" w:rsidRDefault="006273D5" w:rsidP="00C91A04">
      <w:pPr>
        <w:rPr>
          <w:lang w:val="nl-BE"/>
        </w:rPr>
      </w:pPr>
    </w:p>
    <w:p w14:paraId="36FF659B" w14:textId="08368E8F" w:rsidR="003509B8" w:rsidRPr="00043B8D" w:rsidRDefault="00875B86" w:rsidP="00597C99">
      <w:pPr>
        <w:tabs>
          <w:tab w:val="left" w:pos="709"/>
        </w:tabs>
        <w:ind w:left="1701" w:hanging="992"/>
        <w:rPr>
          <w:rFonts w:cs="Tahoma"/>
          <w:i/>
          <w:lang w:val="nl-BE"/>
        </w:rPr>
      </w:pPr>
      <w:r w:rsidRPr="00043B8D">
        <w:rPr>
          <w:rFonts w:cs="Tahoma"/>
          <w:i/>
          <w:lang w:val="nl-BE"/>
        </w:rPr>
        <w:t>a</w:t>
      </w:r>
      <w:r w:rsidR="003509B8" w:rsidRPr="00043B8D">
        <w:rPr>
          <w:rFonts w:cs="Tahoma"/>
          <w:i/>
          <w:vertAlign w:val="subscript"/>
          <w:lang w:val="nl-BE"/>
        </w:rPr>
        <w:t>i</w:t>
      </w:r>
      <w:r w:rsidR="003509B8" w:rsidRPr="00043B8D">
        <w:rPr>
          <w:rFonts w:cs="Tahoma"/>
          <w:i/>
          <w:lang w:val="nl-BE"/>
        </w:rPr>
        <w:tab/>
      </w:r>
      <w:r w:rsidR="001C2B3E" w:rsidRPr="00043B8D">
        <w:rPr>
          <w:rFonts w:cs="Tahoma"/>
          <w:i/>
          <w:lang w:val="nl-BE"/>
        </w:rPr>
        <w:t xml:space="preserve">Het aandeel </w:t>
      </w:r>
      <w:r w:rsidR="00F955BF" w:rsidRPr="00043B8D">
        <w:rPr>
          <w:rFonts w:cs="Tahoma"/>
          <w:i/>
          <w:lang w:val="nl-BE"/>
        </w:rPr>
        <w:t xml:space="preserve">voor </w:t>
      </w:r>
      <w:r w:rsidR="003509B8" w:rsidRPr="00043B8D">
        <w:rPr>
          <w:rFonts w:cs="Tahoma"/>
          <w:i/>
          <w:lang w:val="nl-BE"/>
        </w:rPr>
        <w:t xml:space="preserve">distributienetbeheerder i </w:t>
      </w:r>
      <w:r w:rsidR="00507D18" w:rsidRPr="00043B8D">
        <w:rPr>
          <w:rFonts w:cs="Tahoma"/>
          <w:i/>
          <w:lang w:val="nl-BE"/>
        </w:rPr>
        <w:t>in</w:t>
      </w:r>
      <w:r w:rsidR="00F955BF" w:rsidRPr="00043B8D">
        <w:rPr>
          <w:rFonts w:cs="Tahoma"/>
          <w:i/>
          <w:lang w:val="nl-BE"/>
        </w:rPr>
        <w:t xml:space="preserve"> </w:t>
      </w:r>
      <w:r w:rsidR="001C2B3E" w:rsidRPr="00043B8D">
        <w:rPr>
          <w:rFonts w:cs="Tahoma"/>
          <w:i/>
          <w:lang w:val="nl-BE"/>
        </w:rPr>
        <w:t xml:space="preserve">de toegelaten </w:t>
      </w:r>
      <w:r w:rsidR="00F955BF" w:rsidRPr="00043B8D">
        <w:rPr>
          <w:rFonts w:cs="Tahoma"/>
          <w:i/>
          <w:lang w:val="nl-BE"/>
        </w:rPr>
        <w:t>sector</w:t>
      </w:r>
      <w:r w:rsidR="001C2B3E" w:rsidRPr="00043B8D">
        <w:rPr>
          <w:rFonts w:cs="Tahoma"/>
          <w:i/>
          <w:lang w:val="nl-BE"/>
        </w:rPr>
        <w:t>inkomsten</w:t>
      </w:r>
      <w:r w:rsidR="003066B1" w:rsidRPr="00043B8D">
        <w:rPr>
          <w:rFonts w:cs="Tahoma"/>
          <w:i/>
          <w:lang w:val="nl-BE"/>
        </w:rPr>
        <w:t xml:space="preserve"> </w:t>
      </w:r>
      <w:r w:rsidR="00B15DBC" w:rsidRPr="00043B8D">
        <w:rPr>
          <w:rFonts w:cs="Tahoma"/>
          <w:i/>
          <w:lang w:val="nl-BE"/>
        </w:rPr>
        <w:t>voor niet-exogene kosten</w:t>
      </w:r>
      <w:r w:rsidR="001C2B3E" w:rsidRPr="00043B8D">
        <w:rPr>
          <w:rFonts w:cs="Tahoma"/>
          <w:i/>
          <w:lang w:val="nl-BE"/>
        </w:rPr>
        <w:t xml:space="preserve">, </w:t>
      </w:r>
      <w:r w:rsidR="003509B8" w:rsidRPr="00043B8D">
        <w:rPr>
          <w:rFonts w:cs="Tahoma"/>
          <w:i/>
          <w:lang w:val="nl-BE"/>
        </w:rPr>
        <w:t xml:space="preserve">gelijk aan zijn aandeel in de </w:t>
      </w:r>
      <w:r w:rsidR="004639C6" w:rsidRPr="00043B8D">
        <w:rPr>
          <w:rFonts w:cs="Tahoma"/>
          <w:i/>
          <w:lang w:val="nl-BE"/>
        </w:rPr>
        <w:t xml:space="preserve">geactualiseerde </w:t>
      </w:r>
      <w:r w:rsidR="003509B8" w:rsidRPr="00043B8D">
        <w:rPr>
          <w:rFonts w:cs="Tahoma"/>
          <w:i/>
          <w:lang w:val="nl-BE"/>
        </w:rPr>
        <w:t xml:space="preserve">niet-exogene </w:t>
      </w:r>
      <w:r w:rsidR="00173ABA" w:rsidRPr="00043B8D">
        <w:rPr>
          <w:rFonts w:cs="Tahoma"/>
          <w:i/>
          <w:lang w:val="nl-BE"/>
        </w:rPr>
        <w:t>sector</w:t>
      </w:r>
      <w:r w:rsidR="003509B8" w:rsidRPr="00043B8D">
        <w:rPr>
          <w:rFonts w:cs="Tahoma"/>
          <w:i/>
          <w:lang w:val="nl-BE"/>
        </w:rPr>
        <w:t xml:space="preserve">kosten </w:t>
      </w:r>
      <w:r w:rsidR="00F955BF" w:rsidRPr="00043B8D">
        <w:rPr>
          <w:rFonts w:cs="Tahoma"/>
          <w:i/>
          <w:lang w:val="nl-BE"/>
        </w:rPr>
        <w:t xml:space="preserve">van </w:t>
      </w:r>
      <w:r w:rsidR="003509B8" w:rsidRPr="00043B8D">
        <w:rPr>
          <w:rFonts w:cs="Tahoma"/>
          <w:i/>
          <w:lang w:val="nl-BE"/>
        </w:rPr>
        <w:t xml:space="preserve">de laatste </w:t>
      </w:r>
      <w:r w:rsidR="00B15DBC" w:rsidRPr="00043B8D">
        <w:rPr>
          <w:rFonts w:cs="Tahoma"/>
          <w:i/>
          <w:lang w:val="nl-BE"/>
        </w:rPr>
        <w:t>vier</w:t>
      </w:r>
      <w:r w:rsidR="003509B8" w:rsidRPr="00043B8D">
        <w:rPr>
          <w:rFonts w:cs="Tahoma"/>
          <w:i/>
          <w:lang w:val="nl-BE"/>
        </w:rPr>
        <w:t xml:space="preserve"> jaar</w:t>
      </w:r>
      <w:r w:rsidR="001C2B3E" w:rsidRPr="00043B8D">
        <w:rPr>
          <w:rFonts w:cs="Tahoma"/>
          <w:i/>
          <w:lang w:val="nl-BE"/>
        </w:rPr>
        <w:t xml:space="preserve"> 20</w:t>
      </w:r>
      <w:r w:rsidR="00B15DBC" w:rsidRPr="00043B8D">
        <w:rPr>
          <w:rFonts w:cs="Tahoma"/>
          <w:i/>
          <w:lang w:val="nl-BE"/>
        </w:rPr>
        <w:t>1</w:t>
      </w:r>
      <w:r w:rsidR="001C2B3E" w:rsidRPr="00043B8D">
        <w:rPr>
          <w:rFonts w:cs="Tahoma"/>
          <w:i/>
          <w:lang w:val="nl-BE"/>
        </w:rPr>
        <w:t>0 t.e.m. 2013</w:t>
      </w:r>
      <w:r w:rsidR="003509B8" w:rsidRPr="00043B8D">
        <w:rPr>
          <w:rFonts w:cs="Tahoma"/>
          <w:i/>
          <w:lang w:val="nl-BE"/>
        </w:rPr>
        <w:t>.</w:t>
      </w:r>
      <w:r w:rsidR="00151ED0" w:rsidRPr="00043B8D">
        <w:rPr>
          <w:rFonts w:cs="Tahoma"/>
          <w:i/>
          <w:lang w:val="nl-BE"/>
        </w:rPr>
        <w:t xml:space="preserve"> </w:t>
      </w:r>
      <w:r w:rsidR="001C2B3E" w:rsidRPr="00043B8D">
        <w:rPr>
          <w:rFonts w:cs="Tahoma"/>
          <w:i/>
          <w:lang w:val="nl-BE"/>
        </w:rPr>
        <w:t>(-)</w:t>
      </w:r>
      <w:r w:rsidR="003509B8" w:rsidRPr="00043B8D">
        <w:rPr>
          <w:rFonts w:cs="Tahoma"/>
          <w:i/>
          <w:lang w:val="nl-BE"/>
        </w:rPr>
        <w:t>:</w:t>
      </w:r>
    </w:p>
    <w:p w14:paraId="7EE9C884" w14:textId="77777777" w:rsidR="003509B8" w:rsidRPr="00043B8D" w:rsidRDefault="003509B8" w:rsidP="003509B8">
      <w:pPr>
        <w:tabs>
          <w:tab w:val="left" w:pos="4820"/>
        </w:tabs>
        <w:ind w:left="1701" w:hanging="993"/>
        <w:rPr>
          <w:rFonts w:cs="Tahoma"/>
          <w:i/>
          <w:lang w:val="nl-BE"/>
        </w:rPr>
      </w:pPr>
    </w:p>
    <w:p w14:paraId="69BE6EA8" w14:textId="77777777" w:rsidR="003509B8" w:rsidRPr="00043B8D" w:rsidRDefault="000937A6" w:rsidP="003509B8">
      <w:pPr>
        <w:pStyle w:val="StijlStijlBijschriftCambriaMathNietVetCursiefVet"/>
        <w:pBdr>
          <w:top w:val="dotted" w:sz="4" w:space="1" w:color="auto"/>
          <w:left w:val="dotted" w:sz="4" w:space="4" w:color="auto"/>
          <w:bottom w:val="dotted" w:sz="4" w:space="1" w:color="auto"/>
          <w:right w:val="dotted" w:sz="4" w:space="4" w:color="auto"/>
        </w:pBdr>
        <w:jc w:val="center"/>
        <w:rPr>
          <w:i/>
          <w:lang w:val="nl-BE"/>
        </w:rPr>
      </w:pPr>
      <m:oMathPara>
        <m:oMath>
          <m:sSub>
            <m:sSubPr>
              <m:ctrlPr>
                <w:rPr>
                  <w:i/>
                </w:rPr>
              </m:ctrlPr>
            </m:sSubPr>
            <m:e>
              <m:r>
                <m:rPr>
                  <m:sty m:val="bi"/>
                </m:rPr>
                <m:t>a</m:t>
              </m:r>
            </m:e>
            <m:sub>
              <m:r>
                <m:rPr>
                  <m:sty m:val="bi"/>
                </m:rPr>
                <m:t>i</m:t>
              </m:r>
            </m:sub>
          </m:sSub>
          <m:r>
            <m:rPr>
              <m:sty m:val="bi"/>
            </m:rPr>
            <w:rPr>
              <w:lang w:val="nl-BE"/>
            </w:rPr>
            <m:t>=</m:t>
          </m:r>
          <m:f>
            <m:fPr>
              <m:ctrlPr>
                <w:rPr>
                  <w:i/>
                </w:rPr>
              </m:ctrlPr>
            </m:fPr>
            <m:num>
              <m:nary>
                <m:naryPr>
                  <m:chr m:val="∑"/>
                  <m:limLoc m:val="undOvr"/>
                  <m:grow m:val="1"/>
                  <m:ctrlPr>
                    <w:rPr>
                      <w:i/>
                    </w:rPr>
                  </m:ctrlPr>
                </m:naryPr>
                <m:sub>
                  <m:r>
                    <m:rPr>
                      <m:sty m:val="bi"/>
                    </m:rPr>
                    <m:t>j</m:t>
                  </m:r>
                  <m:r>
                    <m:rPr>
                      <m:sty m:val="bi"/>
                    </m:rPr>
                    <w:rPr>
                      <w:lang w:val="nl-BE"/>
                    </w:rPr>
                    <m:t>=</m:t>
                  </m:r>
                  <m:r>
                    <m:rPr>
                      <m:sty m:val="bi"/>
                    </m:rPr>
                    <m:t>2010</m:t>
                  </m:r>
                </m:sub>
                <m:sup>
                  <m:r>
                    <m:rPr>
                      <m:sty m:val="bi"/>
                    </m:rPr>
                    <m:t>2013</m:t>
                  </m:r>
                </m:sup>
                <m:e>
                  <m:d>
                    <m:dPr>
                      <m:ctrlPr>
                        <w:rPr>
                          <w:i/>
                        </w:rPr>
                      </m:ctrlPr>
                    </m:dPr>
                    <m:e>
                      <m:sSubSup>
                        <m:sSubSupPr>
                          <m:ctrlPr>
                            <w:rPr>
                              <w:i/>
                            </w:rPr>
                          </m:ctrlPr>
                        </m:sSubSupPr>
                        <m:e>
                          <m:r>
                            <m:rPr>
                              <m:sty m:val="bi"/>
                            </m:rPr>
                            <m:t>TK</m:t>
                          </m:r>
                        </m:e>
                        <m:sub>
                          <m:r>
                            <m:rPr>
                              <m:sty m:val="bi"/>
                            </m:rPr>
                            <m:t>act,j,i</m:t>
                          </m:r>
                        </m:sub>
                        <m:sup/>
                      </m:sSubSup>
                    </m:e>
                  </m:d>
                </m:e>
              </m:nary>
            </m:num>
            <m:den>
              <m:nary>
                <m:naryPr>
                  <m:chr m:val="∑"/>
                  <m:limLoc m:val="undOvr"/>
                  <m:grow m:val="1"/>
                  <m:ctrlPr>
                    <w:rPr>
                      <w:i/>
                    </w:rPr>
                  </m:ctrlPr>
                </m:naryPr>
                <m:sub>
                  <m:r>
                    <m:rPr>
                      <m:sty m:val="bi"/>
                    </m:rPr>
                    <m:t xml:space="preserve">∀ dnb i  </m:t>
                  </m:r>
                </m:sub>
                <m:sup/>
                <m:e>
                  <m:d>
                    <m:dPr>
                      <m:ctrlPr>
                        <w:rPr>
                          <w:i/>
                        </w:rPr>
                      </m:ctrlPr>
                    </m:dPr>
                    <m:e>
                      <m:nary>
                        <m:naryPr>
                          <m:chr m:val="∑"/>
                          <m:limLoc m:val="undOvr"/>
                          <m:grow m:val="1"/>
                          <m:ctrlPr>
                            <w:rPr>
                              <w:i/>
                            </w:rPr>
                          </m:ctrlPr>
                        </m:naryPr>
                        <m:sub>
                          <m:r>
                            <m:rPr>
                              <m:sty m:val="bi"/>
                            </m:rPr>
                            <m:t>j=2010</m:t>
                          </m:r>
                        </m:sub>
                        <m:sup>
                          <m:r>
                            <m:rPr>
                              <m:sty m:val="bi"/>
                            </m:rPr>
                            <m:t>2013</m:t>
                          </m:r>
                        </m:sup>
                        <m:e>
                          <m:d>
                            <m:dPr>
                              <m:ctrlPr>
                                <w:rPr>
                                  <w:i/>
                                </w:rPr>
                              </m:ctrlPr>
                            </m:dPr>
                            <m:e>
                              <m:sSubSup>
                                <m:sSubSupPr>
                                  <m:ctrlPr>
                                    <w:rPr>
                                      <w:i/>
                                    </w:rPr>
                                  </m:ctrlPr>
                                </m:sSubSupPr>
                                <m:e>
                                  <m:r>
                                    <m:rPr>
                                      <m:sty m:val="bi"/>
                                    </m:rPr>
                                    <m:t>TK</m:t>
                                  </m:r>
                                </m:e>
                                <m:sub>
                                  <m:r>
                                    <m:rPr>
                                      <m:sty m:val="bi"/>
                                    </m:rPr>
                                    <m:t>act,j,i</m:t>
                                  </m:r>
                                </m:sub>
                                <m:sup/>
                              </m:sSubSup>
                            </m:e>
                          </m:d>
                        </m:e>
                      </m:nary>
                    </m:e>
                  </m:d>
                </m:e>
              </m:nary>
            </m:den>
          </m:f>
          <m:r>
            <m:rPr>
              <m:sty m:val="b"/>
            </m:rPr>
            <w:rPr>
              <w:lang w:val="nl-BE"/>
            </w:rPr>
            <w:br/>
          </m:r>
        </m:oMath>
      </m:oMathPara>
      <w:r w:rsidR="003509B8" w:rsidRPr="00043B8D">
        <w:rPr>
          <w:i/>
          <w:lang w:val="nl-BE"/>
        </w:rPr>
        <w:t xml:space="preserve"> </w:t>
      </w:r>
    </w:p>
    <w:p w14:paraId="49A802DD" w14:textId="77777777" w:rsidR="003509B8" w:rsidRPr="000D284A" w:rsidRDefault="003509B8" w:rsidP="000D284A">
      <w:pPr>
        <w:pStyle w:val="Bijschrift"/>
        <w:jc w:val="right"/>
        <w:rPr>
          <w:b w:val="0"/>
          <w:i/>
        </w:rPr>
      </w:pPr>
      <w:r w:rsidRPr="000D284A">
        <w:rPr>
          <w:b w:val="0"/>
          <w:i/>
        </w:rPr>
        <w:tab/>
        <w:t xml:space="preserve">formule </w:t>
      </w:r>
      <w:r w:rsidRPr="000D284A">
        <w:rPr>
          <w:b w:val="0"/>
          <w:i/>
        </w:rPr>
        <w:fldChar w:fldCharType="begin"/>
      </w:r>
      <w:r w:rsidRPr="000D284A">
        <w:rPr>
          <w:b w:val="0"/>
          <w:i/>
        </w:rPr>
        <w:instrText xml:space="preserve"> SEQ formule \* ARABIC </w:instrText>
      </w:r>
      <w:r w:rsidRPr="000D284A">
        <w:rPr>
          <w:b w:val="0"/>
          <w:i/>
        </w:rPr>
        <w:fldChar w:fldCharType="separate"/>
      </w:r>
      <w:r w:rsidR="00BD536B">
        <w:rPr>
          <w:b w:val="0"/>
          <w:i/>
          <w:noProof/>
        </w:rPr>
        <w:t>11</w:t>
      </w:r>
      <w:r w:rsidRPr="000D284A">
        <w:rPr>
          <w:b w:val="0"/>
          <w:i/>
        </w:rPr>
        <w:fldChar w:fldCharType="end"/>
      </w:r>
    </w:p>
    <w:p w14:paraId="4D82BE56" w14:textId="77777777" w:rsidR="003509B8" w:rsidRPr="00043B8D" w:rsidRDefault="003509B8" w:rsidP="003509B8">
      <w:pPr>
        <w:tabs>
          <w:tab w:val="left" w:pos="4820"/>
        </w:tabs>
        <w:ind w:left="1701" w:hanging="993"/>
        <w:rPr>
          <w:rFonts w:cs="Tahoma"/>
          <w:i/>
          <w:lang w:val="nl-BE"/>
        </w:rPr>
      </w:pPr>
    </w:p>
    <w:p w14:paraId="2BCCD238" w14:textId="77777777" w:rsidR="003509B8" w:rsidRPr="00043B8D" w:rsidRDefault="00553292" w:rsidP="00553292">
      <w:pPr>
        <w:tabs>
          <w:tab w:val="left" w:pos="709"/>
          <w:tab w:val="left" w:pos="1701"/>
        </w:tabs>
        <w:ind w:left="2268" w:hanging="2268"/>
        <w:rPr>
          <w:lang w:val="nl-BE"/>
        </w:rPr>
      </w:pPr>
      <w:r w:rsidRPr="00043B8D">
        <w:rPr>
          <w:lang w:val="nl-BE"/>
        </w:rPr>
        <w:tab/>
        <w:t>Met hierin:</w:t>
      </w:r>
    </w:p>
    <w:p w14:paraId="6BA9742D" w14:textId="77777777" w:rsidR="003A2AF4" w:rsidRPr="00043B8D" w:rsidRDefault="003A2AF4" w:rsidP="00553292">
      <w:pPr>
        <w:tabs>
          <w:tab w:val="left" w:pos="709"/>
          <w:tab w:val="left" w:pos="1701"/>
        </w:tabs>
        <w:ind w:left="2268" w:hanging="2268"/>
        <w:rPr>
          <w:lang w:val="nl-BE"/>
        </w:rPr>
      </w:pPr>
    </w:p>
    <w:p w14:paraId="5EDAC746" w14:textId="0877E4F1" w:rsidR="00553292" w:rsidRPr="00043B8D" w:rsidRDefault="00B414B2" w:rsidP="00553292">
      <w:pPr>
        <w:tabs>
          <w:tab w:val="left" w:pos="709"/>
          <w:tab w:val="left" w:pos="1701"/>
        </w:tabs>
        <w:ind w:left="2835" w:hanging="2268"/>
        <w:rPr>
          <w:lang w:val="nl-BE"/>
        </w:rPr>
      </w:pPr>
      <w:r w:rsidRPr="00043B8D">
        <w:rPr>
          <w:rFonts w:cs="Tahoma"/>
          <w:i/>
          <w:lang w:val="nl-BE"/>
        </w:rPr>
        <w:tab/>
      </w:r>
      <w:r w:rsidRPr="00043B8D">
        <w:rPr>
          <w:rFonts w:cs="Tahoma"/>
          <w:i/>
          <w:lang w:val="nl-BE"/>
        </w:rPr>
        <w:tab/>
        <w:t>TK</w:t>
      </w:r>
      <w:r w:rsidRPr="00043B8D">
        <w:rPr>
          <w:rFonts w:cs="Tahoma"/>
          <w:i/>
          <w:vertAlign w:val="subscript"/>
          <w:lang w:val="nl-BE"/>
        </w:rPr>
        <w:t>act,j,i</w:t>
      </w:r>
      <w:r w:rsidR="00553292" w:rsidRPr="00043B8D">
        <w:rPr>
          <w:rFonts w:cs="Tahoma"/>
          <w:i/>
          <w:lang w:val="nl-BE"/>
        </w:rPr>
        <w:tab/>
        <w:t xml:space="preserve">Zoals hierboven </w:t>
      </w:r>
      <w:r w:rsidR="00CC4019" w:rsidRPr="00043B8D">
        <w:rPr>
          <w:rFonts w:cs="Tahoma"/>
          <w:i/>
          <w:lang w:val="nl-BE"/>
        </w:rPr>
        <w:t xml:space="preserve">in </w:t>
      </w:r>
      <w:r w:rsidR="00553292" w:rsidRPr="00043B8D">
        <w:rPr>
          <w:rFonts w:cs="Tahoma"/>
          <w:i/>
          <w:lang w:val="nl-BE"/>
        </w:rPr>
        <w:fldChar w:fldCharType="begin"/>
      </w:r>
      <w:r w:rsidR="00553292" w:rsidRPr="00043B8D">
        <w:rPr>
          <w:rFonts w:cs="Tahoma"/>
          <w:i/>
          <w:lang w:val="nl-BE"/>
        </w:rPr>
        <w:instrText xml:space="preserve"> REF _Ref389570734 \h  \* MERGEFORMAT </w:instrText>
      </w:r>
      <w:r w:rsidR="00553292" w:rsidRPr="00043B8D">
        <w:rPr>
          <w:rFonts w:cs="Tahoma"/>
          <w:i/>
          <w:lang w:val="nl-BE"/>
        </w:rPr>
      </w:r>
      <w:r w:rsidR="00553292" w:rsidRPr="00043B8D">
        <w:rPr>
          <w:rFonts w:cs="Tahoma"/>
          <w:i/>
          <w:lang w:val="nl-BE"/>
        </w:rPr>
        <w:fldChar w:fldCharType="separate"/>
      </w:r>
      <w:r w:rsidR="00B30F9B" w:rsidRPr="00B30F9B">
        <w:rPr>
          <w:i/>
        </w:rPr>
        <w:t xml:space="preserve">formule </w:t>
      </w:r>
      <w:r w:rsidR="00B30F9B" w:rsidRPr="00B30F9B">
        <w:rPr>
          <w:i/>
          <w:noProof/>
        </w:rPr>
        <w:t>10</w:t>
      </w:r>
      <w:r w:rsidR="00553292" w:rsidRPr="00043B8D">
        <w:rPr>
          <w:rFonts w:cs="Tahoma"/>
          <w:i/>
          <w:lang w:val="nl-BE"/>
        </w:rPr>
        <w:fldChar w:fldCharType="end"/>
      </w:r>
      <w:r w:rsidR="00553292" w:rsidRPr="00043B8D">
        <w:rPr>
          <w:rFonts w:cs="Tahoma"/>
          <w:i/>
          <w:lang w:val="nl-BE"/>
        </w:rPr>
        <w:t>.</w:t>
      </w:r>
      <w:r w:rsidR="00151ED0" w:rsidRPr="00043B8D">
        <w:rPr>
          <w:rFonts w:cs="Tahoma"/>
          <w:i/>
          <w:lang w:val="nl-BE"/>
        </w:rPr>
        <w:t xml:space="preserve"> (EUR)</w:t>
      </w:r>
      <w:r w:rsidR="00553292" w:rsidRPr="00043B8D">
        <w:rPr>
          <w:rFonts w:cs="Tahoma"/>
          <w:i/>
          <w:lang w:val="nl-BE"/>
        </w:rPr>
        <w:t xml:space="preserve"> </w:t>
      </w:r>
    </w:p>
    <w:p w14:paraId="0A1BBC0C" w14:textId="77777777" w:rsidR="003509B8" w:rsidRPr="00043B8D" w:rsidRDefault="003509B8" w:rsidP="00C91A04">
      <w:pPr>
        <w:rPr>
          <w:lang w:val="nl-BE"/>
        </w:rPr>
      </w:pPr>
    </w:p>
    <w:p w14:paraId="6509D640" w14:textId="7E50C89B" w:rsidR="002C781D" w:rsidRPr="00043B8D" w:rsidRDefault="00E54041" w:rsidP="00613F9F">
      <w:pPr>
        <w:rPr>
          <w:lang w:val="nl-BE"/>
        </w:rPr>
      </w:pPr>
      <w:r w:rsidRPr="00043B8D">
        <w:rPr>
          <w:lang w:val="nl-BE"/>
        </w:rPr>
        <w:t>Vertrekkend</w:t>
      </w:r>
      <w:r w:rsidR="00507D18" w:rsidRPr="00043B8D">
        <w:rPr>
          <w:lang w:val="nl-BE"/>
        </w:rPr>
        <w:t>e</w:t>
      </w:r>
      <w:r w:rsidRPr="00043B8D">
        <w:rPr>
          <w:lang w:val="nl-BE"/>
        </w:rPr>
        <w:t xml:space="preserve"> van</w:t>
      </w:r>
      <w:r w:rsidR="00507D18" w:rsidRPr="00043B8D">
        <w:rPr>
          <w:lang w:val="nl-BE"/>
        </w:rPr>
        <w:t xml:space="preserve"> </w:t>
      </w:r>
      <w:r w:rsidR="00F955BF" w:rsidRPr="00043B8D">
        <w:rPr>
          <w:lang w:val="nl-BE"/>
        </w:rPr>
        <w:t xml:space="preserve">het toegelaten </w:t>
      </w:r>
      <w:r w:rsidRPr="00043B8D">
        <w:rPr>
          <w:lang w:val="nl-BE"/>
        </w:rPr>
        <w:t>inkomen</w:t>
      </w:r>
      <w:r w:rsidR="00300F4E" w:rsidRPr="00043B8D">
        <w:rPr>
          <w:lang w:val="nl-BE"/>
        </w:rPr>
        <w:t xml:space="preserve"> </w:t>
      </w:r>
      <w:r w:rsidR="00606FBD" w:rsidRPr="00043B8D">
        <w:rPr>
          <w:lang w:val="nl-BE"/>
        </w:rPr>
        <w:t xml:space="preserve">2015, </w:t>
      </w:r>
      <w:r w:rsidR="00300F4E" w:rsidRPr="00043B8D">
        <w:rPr>
          <w:lang w:val="nl-BE"/>
        </w:rPr>
        <w:t xml:space="preserve">het eerste jaar van </w:t>
      </w:r>
      <w:r w:rsidR="00606FBD" w:rsidRPr="00043B8D">
        <w:rPr>
          <w:lang w:val="nl-BE"/>
        </w:rPr>
        <w:t xml:space="preserve">de </w:t>
      </w:r>
      <w:r w:rsidR="00300F4E" w:rsidRPr="00043B8D">
        <w:rPr>
          <w:lang w:val="nl-BE"/>
        </w:rPr>
        <w:t>nieuwe reguleringsperiode</w:t>
      </w:r>
      <w:r w:rsidRPr="00043B8D">
        <w:rPr>
          <w:lang w:val="nl-BE"/>
        </w:rPr>
        <w:t xml:space="preserve">, zal </w:t>
      </w:r>
      <w:r w:rsidR="003066B1" w:rsidRPr="00043B8D">
        <w:rPr>
          <w:lang w:val="nl-BE"/>
        </w:rPr>
        <w:t xml:space="preserve">het </w:t>
      </w:r>
      <w:r w:rsidRPr="00043B8D">
        <w:rPr>
          <w:lang w:val="nl-BE"/>
        </w:rPr>
        <w:t xml:space="preserve">inkomstenniveau </w:t>
      </w:r>
      <w:r w:rsidR="00CC4019" w:rsidRPr="00043B8D">
        <w:rPr>
          <w:lang w:val="nl-BE"/>
        </w:rPr>
        <w:t xml:space="preserve">binnen de lopende reguleringsperiode </w:t>
      </w:r>
      <w:r w:rsidR="003533F6" w:rsidRPr="00043B8D">
        <w:rPr>
          <w:lang w:val="nl-BE"/>
        </w:rPr>
        <w:t xml:space="preserve">jaarlijks </w:t>
      </w:r>
      <w:r w:rsidRPr="00043B8D">
        <w:rPr>
          <w:lang w:val="nl-BE"/>
        </w:rPr>
        <w:t>evolueren volgens</w:t>
      </w:r>
      <w:r w:rsidR="00E55ADD" w:rsidRPr="00043B8D">
        <w:rPr>
          <w:lang w:val="nl-BE"/>
        </w:rPr>
        <w:t xml:space="preserve"> </w:t>
      </w:r>
      <w:r w:rsidR="00E55ADD" w:rsidRPr="00043B8D">
        <w:rPr>
          <w:lang w:val="nl-BE"/>
        </w:rPr>
        <w:fldChar w:fldCharType="begin"/>
      </w:r>
      <w:r w:rsidR="00E55ADD" w:rsidRPr="00043B8D">
        <w:rPr>
          <w:lang w:val="nl-BE"/>
        </w:rPr>
        <w:instrText xml:space="preserve"> REF _Ref388628565 \h  \* MERGEFORMAT </w:instrText>
      </w:r>
      <w:r w:rsidR="00E55ADD" w:rsidRPr="00043B8D">
        <w:rPr>
          <w:lang w:val="nl-BE"/>
        </w:rPr>
      </w:r>
      <w:r w:rsidR="00E55ADD" w:rsidRPr="00043B8D">
        <w:rPr>
          <w:lang w:val="nl-BE"/>
        </w:rPr>
        <w:fldChar w:fldCharType="separate"/>
      </w:r>
      <w:r w:rsidR="00B30F9B" w:rsidRPr="00B30F9B">
        <w:t xml:space="preserve">formule </w:t>
      </w:r>
      <w:r w:rsidR="00B30F9B" w:rsidRPr="00B30F9B">
        <w:rPr>
          <w:noProof/>
        </w:rPr>
        <w:t>2</w:t>
      </w:r>
      <w:r w:rsidR="00E55ADD" w:rsidRPr="00043B8D">
        <w:rPr>
          <w:lang w:val="nl-BE"/>
        </w:rPr>
        <w:fldChar w:fldCharType="end"/>
      </w:r>
      <w:r w:rsidRPr="00043B8D">
        <w:rPr>
          <w:lang w:val="nl-BE"/>
        </w:rPr>
        <w:t xml:space="preserve">. </w:t>
      </w:r>
      <w:r w:rsidR="00300F4E" w:rsidRPr="00043B8D">
        <w:rPr>
          <w:lang w:val="nl-BE"/>
        </w:rPr>
        <w:t>Voor de x-factor wordt</w:t>
      </w:r>
      <w:r w:rsidR="00B404D7" w:rsidRPr="00043B8D">
        <w:rPr>
          <w:lang w:val="nl-BE"/>
        </w:rPr>
        <w:t>, zoals eerder vermeld,</w:t>
      </w:r>
      <w:r w:rsidR="00CC4019" w:rsidRPr="00043B8D">
        <w:rPr>
          <w:lang w:val="nl-BE"/>
        </w:rPr>
        <w:t xml:space="preserve"> als vorm van nacalculatie </w:t>
      </w:r>
      <w:r w:rsidR="00300F4E" w:rsidRPr="00043B8D">
        <w:rPr>
          <w:lang w:val="nl-BE"/>
        </w:rPr>
        <w:t xml:space="preserve">aangesloten bij de </w:t>
      </w:r>
      <w:r w:rsidR="0047236B" w:rsidRPr="00043B8D">
        <w:rPr>
          <w:lang w:val="nl-BE"/>
        </w:rPr>
        <w:t xml:space="preserve">evolutie </w:t>
      </w:r>
      <w:r w:rsidR="00C0766E" w:rsidRPr="00043B8D">
        <w:rPr>
          <w:lang w:val="nl-BE"/>
        </w:rPr>
        <w:t xml:space="preserve">over de laatste </w:t>
      </w:r>
      <w:r w:rsidR="00E53692" w:rsidRPr="00043B8D">
        <w:rPr>
          <w:lang w:val="nl-BE"/>
        </w:rPr>
        <w:t>vier</w:t>
      </w:r>
      <w:r w:rsidR="00C0766E" w:rsidRPr="00043B8D">
        <w:rPr>
          <w:lang w:val="nl-BE"/>
        </w:rPr>
        <w:t xml:space="preserve"> jaar (20</w:t>
      </w:r>
      <w:r w:rsidR="00E53692" w:rsidRPr="00043B8D">
        <w:rPr>
          <w:lang w:val="nl-BE"/>
        </w:rPr>
        <w:t>1</w:t>
      </w:r>
      <w:r w:rsidR="00C0766E" w:rsidRPr="00043B8D">
        <w:rPr>
          <w:lang w:val="nl-BE"/>
        </w:rPr>
        <w:t xml:space="preserve">0-2013) </w:t>
      </w:r>
      <w:r w:rsidR="0047236B" w:rsidRPr="00043B8D">
        <w:rPr>
          <w:lang w:val="nl-BE"/>
        </w:rPr>
        <w:t xml:space="preserve">van de </w:t>
      </w:r>
      <w:r w:rsidR="002D79C0" w:rsidRPr="00043B8D">
        <w:rPr>
          <w:lang w:val="nl-BE"/>
        </w:rPr>
        <w:t xml:space="preserve">geactualiseerde </w:t>
      </w:r>
      <w:r w:rsidR="00CC4019" w:rsidRPr="00043B8D">
        <w:rPr>
          <w:lang w:val="nl-BE"/>
        </w:rPr>
        <w:t xml:space="preserve">niet-exogene </w:t>
      </w:r>
      <w:r w:rsidR="000E3947" w:rsidRPr="00043B8D">
        <w:rPr>
          <w:lang w:val="nl-BE"/>
        </w:rPr>
        <w:t>sector</w:t>
      </w:r>
      <w:r w:rsidR="0047236B" w:rsidRPr="00043B8D">
        <w:rPr>
          <w:lang w:val="nl-BE"/>
        </w:rPr>
        <w:t>kosten</w:t>
      </w:r>
      <w:r w:rsidR="002C781D" w:rsidRPr="00043B8D">
        <w:rPr>
          <w:lang w:val="nl-BE"/>
        </w:rPr>
        <w:t xml:space="preserve">. </w:t>
      </w:r>
      <w:r w:rsidR="001660AD" w:rsidRPr="00043B8D">
        <w:rPr>
          <w:lang w:val="nl-BE"/>
        </w:rPr>
        <w:t xml:space="preserve">De extrapolatie </w:t>
      </w:r>
      <w:r w:rsidR="0047236B" w:rsidRPr="00043B8D">
        <w:rPr>
          <w:lang w:val="nl-BE"/>
        </w:rPr>
        <w:t xml:space="preserve">door lineaire regressie van </w:t>
      </w:r>
      <w:r w:rsidR="001660AD" w:rsidRPr="00043B8D">
        <w:rPr>
          <w:lang w:val="nl-BE"/>
        </w:rPr>
        <w:t xml:space="preserve">de sectorkosten </w:t>
      </w:r>
      <w:r w:rsidR="00173433" w:rsidRPr="00043B8D">
        <w:rPr>
          <w:lang w:val="nl-BE"/>
        </w:rPr>
        <w:t xml:space="preserve">naar </w:t>
      </w:r>
      <w:r w:rsidR="00507D18" w:rsidRPr="00043B8D">
        <w:rPr>
          <w:lang w:val="nl-BE"/>
        </w:rPr>
        <w:t>sector</w:t>
      </w:r>
      <w:r w:rsidR="00691CF7" w:rsidRPr="00043B8D">
        <w:rPr>
          <w:lang w:val="nl-BE"/>
        </w:rPr>
        <w:t xml:space="preserve">inkomsten </w:t>
      </w:r>
      <w:r w:rsidR="001660AD" w:rsidRPr="00043B8D">
        <w:rPr>
          <w:lang w:val="nl-BE"/>
        </w:rPr>
        <w:t xml:space="preserve">wordt </w:t>
      </w:r>
      <w:r w:rsidR="0047236B" w:rsidRPr="00043B8D">
        <w:rPr>
          <w:lang w:val="nl-BE"/>
        </w:rPr>
        <w:t xml:space="preserve">daartoe </w:t>
      </w:r>
      <w:r w:rsidR="00691CF7" w:rsidRPr="00043B8D">
        <w:rPr>
          <w:lang w:val="nl-BE"/>
        </w:rPr>
        <w:t xml:space="preserve">omgezet in </w:t>
      </w:r>
      <w:r w:rsidR="001660AD" w:rsidRPr="00043B8D">
        <w:rPr>
          <w:lang w:val="nl-BE"/>
        </w:rPr>
        <w:t xml:space="preserve">een </w:t>
      </w:r>
      <w:r w:rsidR="00173433" w:rsidRPr="00043B8D">
        <w:rPr>
          <w:lang w:val="nl-BE"/>
        </w:rPr>
        <w:t xml:space="preserve">constante </w:t>
      </w:r>
      <w:r w:rsidR="0047236B" w:rsidRPr="00043B8D">
        <w:rPr>
          <w:lang w:val="nl-BE"/>
        </w:rPr>
        <w:t xml:space="preserve">jaarlijkse </w:t>
      </w:r>
      <w:r w:rsidR="001660AD" w:rsidRPr="00043B8D">
        <w:rPr>
          <w:lang w:val="nl-BE"/>
        </w:rPr>
        <w:t>procentuele evolutie</w:t>
      </w:r>
      <w:r w:rsidR="0047236B" w:rsidRPr="00043B8D">
        <w:rPr>
          <w:lang w:val="nl-BE"/>
        </w:rPr>
        <w:t xml:space="preserve"> van inkomsten binnen de reguleringsperiode met de factor (1-x)</w:t>
      </w:r>
      <w:r w:rsidR="001660AD" w:rsidRPr="00043B8D">
        <w:rPr>
          <w:lang w:val="nl-BE"/>
        </w:rPr>
        <w:t xml:space="preserve">. </w:t>
      </w:r>
      <w:r w:rsidR="000C0AAC" w:rsidRPr="00043B8D">
        <w:rPr>
          <w:lang w:val="nl-BE"/>
        </w:rPr>
        <w:t>Indien de</w:t>
      </w:r>
      <w:r w:rsidR="001660AD" w:rsidRPr="00043B8D">
        <w:rPr>
          <w:lang w:val="nl-BE"/>
        </w:rPr>
        <w:t xml:space="preserve"> </w:t>
      </w:r>
      <w:r w:rsidR="000C0AAC" w:rsidRPr="00043B8D">
        <w:rPr>
          <w:lang w:val="nl-BE"/>
        </w:rPr>
        <w:t xml:space="preserve">volgende </w:t>
      </w:r>
      <w:r w:rsidR="001660AD" w:rsidRPr="00043B8D">
        <w:rPr>
          <w:lang w:val="nl-BE"/>
        </w:rPr>
        <w:t xml:space="preserve">reguleringsperiode </w:t>
      </w:r>
      <w:r w:rsidR="00B404D7" w:rsidRPr="00043B8D">
        <w:rPr>
          <w:i/>
          <w:lang w:val="nl-BE"/>
        </w:rPr>
        <w:t>p</w:t>
      </w:r>
      <w:r w:rsidR="001660AD" w:rsidRPr="00043B8D">
        <w:rPr>
          <w:lang w:val="nl-BE"/>
        </w:rPr>
        <w:t xml:space="preserve"> </w:t>
      </w:r>
      <w:r w:rsidR="000C0AAC" w:rsidRPr="00043B8D">
        <w:rPr>
          <w:lang w:val="nl-BE"/>
        </w:rPr>
        <w:t xml:space="preserve">(geheel getal) </w:t>
      </w:r>
      <w:r w:rsidR="001660AD" w:rsidRPr="00043B8D">
        <w:rPr>
          <w:lang w:val="nl-BE"/>
        </w:rPr>
        <w:t>jaar</w:t>
      </w:r>
      <w:r w:rsidR="00173433" w:rsidRPr="00043B8D">
        <w:rPr>
          <w:lang w:val="nl-BE"/>
        </w:rPr>
        <w:t xml:space="preserve"> duurt</w:t>
      </w:r>
      <w:r w:rsidR="002D7AC9" w:rsidRPr="00043B8D">
        <w:rPr>
          <w:lang w:val="nl-BE"/>
        </w:rPr>
        <w:t xml:space="preserve"> (m.a.w. van jaar 2015 t.e.m. het jaar 2015+p-1)</w:t>
      </w:r>
      <w:r w:rsidR="001660AD" w:rsidRPr="00043B8D">
        <w:rPr>
          <w:lang w:val="nl-BE"/>
        </w:rPr>
        <w:t xml:space="preserve">, wordt de waarde van x berekend </w:t>
      </w:r>
      <w:r w:rsidR="00173433" w:rsidRPr="00043B8D">
        <w:rPr>
          <w:lang w:val="nl-BE"/>
        </w:rPr>
        <w:t xml:space="preserve">volgens </w:t>
      </w:r>
      <w:r w:rsidR="001660AD" w:rsidRPr="00043B8D">
        <w:rPr>
          <w:lang w:val="nl-BE"/>
        </w:rPr>
        <w:fldChar w:fldCharType="begin"/>
      </w:r>
      <w:r w:rsidR="001660AD" w:rsidRPr="00043B8D">
        <w:rPr>
          <w:lang w:val="nl-BE"/>
        </w:rPr>
        <w:instrText xml:space="preserve"> REF _Ref389573043 \h  \* MERGEFORMAT </w:instrText>
      </w:r>
      <w:r w:rsidR="001660AD" w:rsidRPr="00043B8D">
        <w:rPr>
          <w:lang w:val="nl-BE"/>
        </w:rPr>
      </w:r>
      <w:r w:rsidR="001660AD" w:rsidRPr="00043B8D">
        <w:rPr>
          <w:lang w:val="nl-BE"/>
        </w:rPr>
        <w:fldChar w:fldCharType="separate"/>
      </w:r>
      <w:r w:rsidR="00B30F9B" w:rsidRPr="00B30F9B">
        <w:t xml:space="preserve">formule </w:t>
      </w:r>
      <w:r w:rsidR="00B30F9B" w:rsidRPr="00B30F9B">
        <w:rPr>
          <w:noProof/>
        </w:rPr>
        <w:t>12</w:t>
      </w:r>
      <w:r w:rsidR="001660AD" w:rsidRPr="00043B8D">
        <w:rPr>
          <w:lang w:val="nl-BE"/>
        </w:rPr>
        <w:fldChar w:fldCharType="end"/>
      </w:r>
      <w:r w:rsidR="001660AD" w:rsidRPr="00043B8D">
        <w:rPr>
          <w:lang w:val="nl-BE"/>
        </w:rPr>
        <w:t>.</w:t>
      </w:r>
    </w:p>
    <w:p w14:paraId="456D3070" w14:textId="77777777" w:rsidR="00300F4E" w:rsidRPr="00043B8D" w:rsidRDefault="00300F4E" w:rsidP="00613F9F">
      <w:pPr>
        <w:rPr>
          <w:lang w:val="nl-BE"/>
        </w:rPr>
      </w:pPr>
    </w:p>
    <w:p w14:paraId="08E814B4" w14:textId="77777777" w:rsidR="0079765E" w:rsidRPr="00043B8D" w:rsidRDefault="0079765E" w:rsidP="0079765E">
      <w:pPr>
        <w:pStyle w:val="StijlStijlBijschriftCambriaMathNietVetCursiefVet"/>
        <w:pBdr>
          <w:top w:val="dotted" w:sz="4" w:space="1" w:color="auto"/>
          <w:left w:val="dotted" w:sz="4" w:space="4" w:color="auto"/>
          <w:bottom w:val="dotted" w:sz="4" w:space="1" w:color="auto"/>
          <w:right w:val="dotted" w:sz="4" w:space="4" w:color="auto"/>
        </w:pBdr>
        <w:jc w:val="center"/>
        <w:rPr>
          <w:i/>
        </w:rPr>
      </w:pPr>
      <m:oMathPara>
        <m:oMath>
          <m:r>
            <m:rPr>
              <m:sty m:val="bi"/>
            </m:rPr>
            <m:t>x=1-</m:t>
          </m:r>
          <m:rad>
            <m:radPr>
              <m:ctrlPr>
                <w:rPr>
                  <w:i/>
                </w:rPr>
              </m:ctrlPr>
            </m:radPr>
            <m:deg>
              <m:r>
                <m:rPr>
                  <m:sty m:val="bi"/>
                </m:rPr>
                <m:t>p-1</m:t>
              </m:r>
            </m:deg>
            <m:e>
              <m:f>
                <m:fPr>
                  <m:ctrlPr>
                    <w:rPr>
                      <w:i/>
                    </w:rPr>
                  </m:ctrlPr>
                </m:fPr>
                <m:num>
                  <m:sSub>
                    <m:sSubPr>
                      <m:ctrlPr>
                        <w:rPr>
                          <w:b w:val="0"/>
                          <w:i/>
                        </w:rPr>
                      </m:ctrlPr>
                    </m:sSubPr>
                    <m:e>
                      <m:r>
                        <m:rPr>
                          <m:sty m:val="bi"/>
                        </m:rPr>
                        <m:t>TK</m:t>
                      </m:r>
                    </m:e>
                    <m:sub>
                      <m:r>
                        <m:rPr>
                          <m:sty m:val="bi"/>
                        </m:rPr>
                        <m:t>trend,2015+p-1</m:t>
                      </m:r>
                    </m:sub>
                  </m:sSub>
                </m:num>
                <m:den>
                  <m:sSub>
                    <m:sSubPr>
                      <m:ctrlPr>
                        <w:rPr>
                          <w:b w:val="0"/>
                          <w:i/>
                        </w:rPr>
                      </m:ctrlPr>
                    </m:sSubPr>
                    <m:e>
                      <m:r>
                        <m:rPr>
                          <m:sty m:val="bi"/>
                        </m:rPr>
                        <m:t>TK</m:t>
                      </m:r>
                    </m:e>
                    <m:sub>
                      <m:r>
                        <m:rPr>
                          <m:sty m:val="bi"/>
                        </m:rPr>
                        <m:t>trend,2015</m:t>
                      </m:r>
                    </m:sub>
                  </m:sSub>
                </m:den>
              </m:f>
            </m:e>
          </m:rad>
        </m:oMath>
      </m:oMathPara>
    </w:p>
    <w:p w14:paraId="4A6EF2F7" w14:textId="77777777" w:rsidR="0079765E" w:rsidRPr="000D284A" w:rsidRDefault="0079765E" w:rsidP="000D284A">
      <w:pPr>
        <w:pStyle w:val="Bijschrift"/>
        <w:jc w:val="right"/>
        <w:rPr>
          <w:rFonts w:cs="Tahoma"/>
          <w:b w:val="0"/>
          <w:i/>
        </w:rPr>
      </w:pPr>
      <w:bookmarkStart w:id="376" w:name="_Ref389573043"/>
      <w:r w:rsidRPr="000D284A">
        <w:rPr>
          <w:b w:val="0"/>
          <w:i/>
        </w:rPr>
        <w:t xml:space="preserve">formule </w:t>
      </w:r>
      <w:r w:rsidRPr="000D284A">
        <w:rPr>
          <w:b w:val="0"/>
          <w:i/>
        </w:rPr>
        <w:fldChar w:fldCharType="begin"/>
      </w:r>
      <w:r w:rsidRPr="000D284A">
        <w:rPr>
          <w:b w:val="0"/>
          <w:i/>
        </w:rPr>
        <w:instrText xml:space="preserve"> SEQ formule \* ARABIC </w:instrText>
      </w:r>
      <w:r w:rsidRPr="000D284A">
        <w:rPr>
          <w:b w:val="0"/>
          <w:i/>
        </w:rPr>
        <w:fldChar w:fldCharType="separate"/>
      </w:r>
      <w:r w:rsidR="00BD536B">
        <w:rPr>
          <w:b w:val="0"/>
          <w:i/>
          <w:noProof/>
        </w:rPr>
        <w:t>12</w:t>
      </w:r>
      <w:r w:rsidRPr="000D284A">
        <w:rPr>
          <w:b w:val="0"/>
          <w:i/>
        </w:rPr>
        <w:fldChar w:fldCharType="end"/>
      </w:r>
      <w:bookmarkEnd w:id="376"/>
    </w:p>
    <w:p w14:paraId="1D6BC2B4" w14:textId="77777777" w:rsidR="00300F4E" w:rsidRPr="00043B8D" w:rsidRDefault="00300F4E" w:rsidP="00613F9F">
      <w:pPr>
        <w:rPr>
          <w:lang w:val="nl-BE"/>
        </w:rPr>
      </w:pPr>
    </w:p>
    <w:p w14:paraId="4A19261E" w14:textId="77777777" w:rsidR="00173433" w:rsidRPr="00043B8D" w:rsidRDefault="00173433" w:rsidP="00613F9F">
      <w:pPr>
        <w:rPr>
          <w:lang w:val="nl-BE"/>
        </w:rPr>
      </w:pPr>
      <w:r w:rsidRPr="00043B8D">
        <w:rPr>
          <w:lang w:val="nl-BE"/>
        </w:rPr>
        <w:t>Met hierin:</w:t>
      </w:r>
    </w:p>
    <w:p w14:paraId="41D8259D" w14:textId="77777777" w:rsidR="00173433" w:rsidRPr="00043B8D" w:rsidRDefault="00173433" w:rsidP="00613F9F">
      <w:pPr>
        <w:rPr>
          <w:lang w:val="nl-BE"/>
        </w:rPr>
      </w:pPr>
    </w:p>
    <w:p w14:paraId="1C27D446" w14:textId="5FCF9AC9" w:rsidR="00173433" w:rsidRPr="00043B8D" w:rsidRDefault="00173433" w:rsidP="008D70EA">
      <w:pPr>
        <w:tabs>
          <w:tab w:val="left" w:pos="709"/>
          <w:tab w:val="left" w:pos="2127"/>
          <w:tab w:val="left" w:pos="2410"/>
        </w:tabs>
        <w:ind w:left="2127" w:hanging="1418"/>
        <w:rPr>
          <w:rFonts w:cs="Tahoma"/>
          <w:i/>
          <w:lang w:val="nl-BE"/>
        </w:rPr>
      </w:pPr>
      <w:r w:rsidRPr="00043B8D">
        <w:rPr>
          <w:rFonts w:cs="Tahoma"/>
          <w:i/>
          <w:lang w:val="nl-BE"/>
        </w:rPr>
        <w:t>x</w:t>
      </w:r>
      <w:r w:rsidRPr="00043B8D">
        <w:rPr>
          <w:rFonts w:cs="Tahoma"/>
          <w:i/>
          <w:lang w:val="nl-BE"/>
        </w:rPr>
        <w:tab/>
      </w:r>
      <w:r w:rsidR="006733F9" w:rsidRPr="00043B8D">
        <w:rPr>
          <w:rFonts w:cs="Tahoma"/>
          <w:i/>
          <w:lang w:val="nl-BE"/>
        </w:rPr>
        <w:t xml:space="preserve">Idem als </w:t>
      </w:r>
      <w:r w:rsidRPr="00043B8D">
        <w:rPr>
          <w:rFonts w:cs="Tahoma"/>
          <w:i/>
          <w:lang w:val="nl-BE"/>
        </w:rPr>
        <w:t xml:space="preserve">in </w:t>
      </w:r>
      <w:r w:rsidRPr="00043B8D">
        <w:rPr>
          <w:rFonts w:cs="Tahoma"/>
          <w:i/>
          <w:lang w:val="nl-BE"/>
        </w:rPr>
        <w:fldChar w:fldCharType="begin"/>
      </w:r>
      <w:r w:rsidRPr="00043B8D">
        <w:rPr>
          <w:rFonts w:cs="Tahoma"/>
          <w:i/>
          <w:lang w:val="nl-BE"/>
        </w:rPr>
        <w:instrText xml:space="preserve"> REF _Ref388628565 \h  \* MERGEFORMAT </w:instrText>
      </w:r>
      <w:r w:rsidRPr="00043B8D">
        <w:rPr>
          <w:rFonts w:cs="Tahoma"/>
          <w:i/>
          <w:lang w:val="nl-BE"/>
        </w:rPr>
      </w:r>
      <w:r w:rsidRPr="00043B8D">
        <w:rPr>
          <w:rFonts w:cs="Tahoma"/>
          <w:i/>
          <w:lang w:val="nl-BE"/>
        </w:rPr>
        <w:fldChar w:fldCharType="separate"/>
      </w:r>
      <w:r w:rsidR="00B30F9B" w:rsidRPr="00B30F9B">
        <w:rPr>
          <w:i/>
        </w:rPr>
        <w:t xml:space="preserve">formule </w:t>
      </w:r>
      <w:r w:rsidR="00B30F9B" w:rsidRPr="00B30F9B">
        <w:rPr>
          <w:i/>
          <w:noProof/>
        </w:rPr>
        <w:t>2</w:t>
      </w:r>
      <w:r w:rsidRPr="00043B8D">
        <w:rPr>
          <w:rFonts w:cs="Tahoma"/>
          <w:i/>
          <w:lang w:val="nl-BE"/>
        </w:rPr>
        <w:fldChar w:fldCharType="end"/>
      </w:r>
      <w:r w:rsidRPr="00043B8D">
        <w:rPr>
          <w:rFonts w:cs="Tahoma"/>
          <w:i/>
          <w:lang w:val="nl-BE"/>
        </w:rPr>
        <w:t>.</w:t>
      </w:r>
    </w:p>
    <w:p w14:paraId="3F074BE9" w14:textId="77777777" w:rsidR="00173433" w:rsidRPr="00043B8D" w:rsidRDefault="00173433" w:rsidP="00173433">
      <w:pPr>
        <w:tabs>
          <w:tab w:val="left" w:pos="709"/>
        </w:tabs>
        <w:ind w:left="1701" w:hanging="992"/>
        <w:rPr>
          <w:rFonts w:cs="Tahoma"/>
          <w:i/>
          <w:lang w:val="nl-BE"/>
        </w:rPr>
      </w:pPr>
    </w:p>
    <w:p w14:paraId="15F7F241" w14:textId="4145B4D5" w:rsidR="00173433" w:rsidRPr="00043B8D" w:rsidRDefault="00173433" w:rsidP="008D70EA">
      <w:pPr>
        <w:tabs>
          <w:tab w:val="left" w:pos="709"/>
          <w:tab w:val="left" w:pos="2127"/>
          <w:tab w:val="left" w:pos="2410"/>
        </w:tabs>
        <w:ind w:left="2127" w:hanging="1418"/>
        <w:rPr>
          <w:rFonts w:cs="Tahoma"/>
          <w:i/>
          <w:lang w:val="nl-BE"/>
        </w:rPr>
      </w:pPr>
      <w:r w:rsidRPr="00043B8D">
        <w:rPr>
          <w:rFonts w:cs="Tahoma"/>
          <w:i/>
          <w:lang w:val="nl-BE"/>
        </w:rPr>
        <w:t>TK</w:t>
      </w:r>
      <w:r w:rsidR="000C0AAC" w:rsidRPr="00043B8D">
        <w:rPr>
          <w:rFonts w:cs="Tahoma"/>
          <w:i/>
          <w:vertAlign w:val="subscript"/>
          <w:lang w:val="nl-BE"/>
        </w:rPr>
        <w:t>trend,2015</w:t>
      </w:r>
      <w:r w:rsidRPr="00043B8D">
        <w:rPr>
          <w:rFonts w:cs="Tahoma"/>
          <w:i/>
          <w:vertAlign w:val="subscript"/>
          <w:lang w:val="nl-BE"/>
        </w:rPr>
        <w:tab/>
      </w:r>
      <w:r w:rsidR="006733F9" w:rsidRPr="00043B8D">
        <w:rPr>
          <w:rFonts w:cs="Tahoma"/>
          <w:i/>
          <w:lang w:val="nl-BE"/>
        </w:rPr>
        <w:t xml:space="preserve">Idem als in </w:t>
      </w:r>
      <w:r w:rsidR="000C0AAC" w:rsidRPr="00043B8D">
        <w:rPr>
          <w:rFonts w:cs="Tahoma"/>
          <w:i/>
          <w:lang w:val="nl-BE"/>
        </w:rPr>
        <w:fldChar w:fldCharType="begin"/>
      </w:r>
      <w:r w:rsidR="000C0AAC" w:rsidRPr="00043B8D">
        <w:rPr>
          <w:rFonts w:cs="Tahoma"/>
          <w:i/>
          <w:lang w:val="nl-BE"/>
        </w:rPr>
        <w:instrText xml:space="preserve"> REF _Ref389550363 \h  \* MERGEFORMAT </w:instrText>
      </w:r>
      <w:r w:rsidR="000C0AAC" w:rsidRPr="00043B8D">
        <w:rPr>
          <w:rFonts w:cs="Tahoma"/>
          <w:i/>
          <w:lang w:val="nl-BE"/>
        </w:rPr>
      </w:r>
      <w:r w:rsidR="000C0AAC" w:rsidRPr="00043B8D">
        <w:rPr>
          <w:rFonts w:cs="Tahoma"/>
          <w:i/>
          <w:lang w:val="nl-BE"/>
        </w:rPr>
        <w:fldChar w:fldCharType="separate"/>
      </w:r>
      <w:r w:rsidR="00B30F9B" w:rsidRPr="00B30F9B">
        <w:rPr>
          <w:i/>
        </w:rPr>
        <w:t xml:space="preserve">formule </w:t>
      </w:r>
      <w:r w:rsidR="00B30F9B" w:rsidRPr="00B30F9B">
        <w:rPr>
          <w:i/>
          <w:noProof/>
        </w:rPr>
        <w:t>8</w:t>
      </w:r>
      <w:r w:rsidR="000C0AAC" w:rsidRPr="00043B8D">
        <w:rPr>
          <w:rFonts w:cs="Tahoma"/>
          <w:i/>
          <w:lang w:val="nl-BE"/>
        </w:rPr>
        <w:fldChar w:fldCharType="end"/>
      </w:r>
      <w:r w:rsidR="000C0AAC" w:rsidRPr="00043B8D">
        <w:rPr>
          <w:rFonts w:cs="Tahoma"/>
          <w:i/>
          <w:lang w:val="nl-BE"/>
        </w:rPr>
        <w:t>.</w:t>
      </w:r>
    </w:p>
    <w:p w14:paraId="64155B76" w14:textId="77777777" w:rsidR="00D62FB5" w:rsidRPr="00043B8D" w:rsidRDefault="00D62FB5" w:rsidP="00173433">
      <w:pPr>
        <w:tabs>
          <w:tab w:val="left" w:pos="709"/>
        </w:tabs>
        <w:ind w:left="1701" w:hanging="992"/>
        <w:rPr>
          <w:rFonts w:cs="Tahoma"/>
          <w:i/>
          <w:lang w:val="nl-BE"/>
        </w:rPr>
      </w:pPr>
    </w:p>
    <w:p w14:paraId="2262B262" w14:textId="21ADD596" w:rsidR="000F1832" w:rsidRPr="00043B8D" w:rsidRDefault="00D62FB5" w:rsidP="006733F9">
      <w:pPr>
        <w:tabs>
          <w:tab w:val="left" w:pos="709"/>
          <w:tab w:val="left" w:pos="2127"/>
          <w:tab w:val="left" w:pos="2410"/>
        </w:tabs>
        <w:ind w:left="2127" w:hanging="1418"/>
        <w:rPr>
          <w:rFonts w:cs="Tahoma"/>
          <w:i/>
          <w:lang w:val="nl-BE"/>
        </w:rPr>
      </w:pPr>
      <w:r w:rsidRPr="00043B8D">
        <w:rPr>
          <w:rFonts w:cs="Tahoma"/>
          <w:i/>
          <w:lang w:val="nl-BE"/>
        </w:rPr>
        <w:t>TK</w:t>
      </w:r>
      <w:r w:rsidRPr="00043B8D">
        <w:rPr>
          <w:rFonts w:cs="Tahoma"/>
          <w:i/>
          <w:vertAlign w:val="subscript"/>
          <w:lang w:val="nl-BE"/>
        </w:rPr>
        <w:t>trend,</w:t>
      </w:r>
      <w:r w:rsidR="00BD129B" w:rsidRPr="00043B8D">
        <w:rPr>
          <w:rFonts w:cs="Tahoma"/>
          <w:i/>
          <w:vertAlign w:val="subscript"/>
          <w:lang w:val="nl-BE"/>
        </w:rPr>
        <w:t>2015</w:t>
      </w:r>
      <w:r w:rsidRPr="00043B8D">
        <w:rPr>
          <w:rFonts w:cs="Tahoma"/>
          <w:i/>
          <w:vertAlign w:val="subscript"/>
          <w:lang w:val="nl-BE"/>
        </w:rPr>
        <w:t>+p-1</w:t>
      </w:r>
      <w:r w:rsidRPr="00043B8D">
        <w:rPr>
          <w:rFonts w:cs="Tahoma"/>
          <w:i/>
          <w:vertAlign w:val="subscript"/>
          <w:lang w:val="nl-BE"/>
        </w:rPr>
        <w:tab/>
      </w:r>
      <w:r w:rsidR="00B863E1" w:rsidRPr="00043B8D">
        <w:rPr>
          <w:rFonts w:cs="Tahoma"/>
          <w:i/>
          <w:lang w:val="nl-BE"/>
        </w:rPr>
        <w:t xml:space="preserve">De </w:t>
      </w:r>
      <w:r w:rsidR="001667E1" w:rsidRPr="00043B8D">
        <w:rPr>
          <w:rFonts w:cs="Tahoma"/>
          <w:i/>
          <w:lang w:val="nl-BE"/>
        </w:rPr>
        <w:t>toegelaten</w:t>
      </w:r>
      <w:r w:rsidR="00B863E1" w:rsidRPr="00043B8D">
        <w:rPr>
          <w:rFonts w:cs="Tahoma"/>
          <w:i/>
          <w:lang w:val="nl-BE"/>
        </w:rPr>
        <w:t xml:space="preserve"> </w:t>
      </w:r>
      <w:r w:rsidR="00F955BF" w:rsidRPr="00043B8D">
        <w:rPr>
          <w:rFonts w:cs="Tahoma"/>
          <w:i/>
          <w:lang w:val="nl-BE"/>
        </w:rPr>
        <w:t>sector</w:t>
      </w:r>
      <w:r w:rsidR="00B863E1" w:rsidRPr="00043B8D">
        <w:rPr>
          <w:rFonts w:cs="Tahoma"/>
          <w:i/>
          <w:lang w:val="nl-BE"/>
        </w:rPr>
        <w:t>inkom</w:t>
      </w:r>
      <w:r w:rsidR="00F955BF" w:rsidRPr="00043B8D">
        <w:rPr>
          <w:rFonts w:cs="Tahoma"/>
          <w:i/>
          <w:lang w:val="nl-BE"/>
        </w:rPr>
        <w:t>sten</w:t>
      </w:r>
      <w:r w:rsidR="00B863E1" w:rsidRPr="00043B8D">
        <w:rPr>
          <w:rFonts w:cs="Tahoma"/>
          <w:i/>
          <w:lang w:val="nl-BE"/>
        </w:rPr>
        <w:t xml:space="preserve"> uit periodieke distributienettarieven voor niet-exogene kosten gesommeerd voor alle distributienetbeheerders in het </w:t>
      </w:r>
      <w:r w:rsidR="00DC34CB" w:rsidRPr="00043B8D">
        <w:rPr>
          <w:rFonts w:cs="Tahoma"/>
          <w:i/>
          <w:lang w:val="nl-BE"/>
        </w:rPr>
        <w:t xml:space="preserve">laatste </w:t>
      </w:r>
      <w:r w:rsidR="00B863E1" w:rsidRPr="00043B8D">
        <w:rPr>
          <w:rFonts w:cs="Tahoma"/>
          <w:i/>
          <w:lang w:val="nl-BE"/>
        </w:rPr>
        <w:t xml:space="preserve">jaar 2015+p-1 van de volgende reguleringsperiode, bepaald d.m.v. extrapolatie via lineaire regressie toegepast op de naar 2014 geactualiseerde niet-exogene sectorkosten uit de jaren 2010-2013 zoals verduidelijkt in volgende </w:t>
      </w:r>
      <w:r w:rsidR="00B863E1" w:rsidRPr="00043B8D">
        <w:rPr>
          <w:rFonts w:cs="Tahoma"/>
          <w:i/>
          <w:lang w:val="nl-BE"/>
        </w:rPr>
        <w:fldChar w:fldCharType="begin"/>
      </w:r>
      <w:r w:rsidR="00B863E1" w:rsidRPr="00043B8D">
        <w:rPr>
          <w:rFonts w:cs="Tahoma"/>
          <w:i/>
          <w:lang w:val="nl-BE"/>
        </w:rPr>
        <w:instrText xml:space="preserve"> REF _Ref391632280 \h </w:instrText>
      </w:r>
      <w:r w:rsidR="008335B3" w:rsidRPr="00043B8D">
        <w:rPr>
          <w:rFonts w:cs="Tahoma"/>
          <w:i/>
          <w:lang w:val="nl-BE"/>
        </w:rPr>
        <w:instrText xml:space="preserve"> \* MERGEFORMAT </w:instrText>
      </w:r>
      <w:r w:rsidR="00B863E1" w:rsidRPr="00043B8D">
        <w:rPr>
          <w:rFonts w:cs="Tahoma"/>
          <w:i/>
          <w:lang w:val="nl-BE"/>
        </w:rPr>
      </w:r>
      <w:r w:rsidR="00B863E1" w:rsidRPr="00043B8D">
        <w:rPr>
          <w:rFonts w:cs="Tahoma"/>
          <w:i/>
          <w:lang w:val="nl-BE"/>
        </w:rPr>
        <w:fldChar w:fldCharType="separate"/>
      </w:r>
      <w:r w:rsidR="00B30F9B" w:rsidRPr="00B30F9B">
        <w:rPr>
          <w:i/>
        </w:rPr>
        <w:t xml:space="preserve">formule </w:t>
      </w:r>
      <w:r w:rsidR="00B30F9B" w:rsidRPr="00B30F9B">
        <w:rPr>
          <w:i/>
          <w:noProof/>
        </w:rPr>
        <w:t>13</w:t>
      </w:r>
      <w:r w:rsidR="00B863E1" w:rsidRPr="00043B8D">
        <w:rPr>
          <w:rFonts w:cs="Tahoma"/>
          <w:i/>
          <w:lang w:val="nl-BE"/>
        </w:rPr>
        <w:fldChar w:fldCharType="end"/>
      </w:r>
      <w:r w:rsidR="006733F9" w:rsidRPr="00043B8D">
        <w:rPr>
          <w:rFonts w:cs="Tahoma"/>
          <w:i/>
          <w:lang w:val="nl-BE"/>
        </w:rPr>
        <w:t>.</w:t>
      </w:r>
      <w:r w:rsidR="008335B3" w:rsidRPr="00043B8D">
        <w:rPr>
          <w:rFonts w:cs="Tahoma"/>
          <w:i/>
          <w:lang w:val="nl-BE"/>
        </w:rPr>
        <w:t xml:space="preserve"> (EUR)</w:t>
      </w:r>
    </w:p>
    <w:p w14:paraId="3F621E63" w14:textId="77777777" w:rsidR="00B12B84" w:rsidRPr="00043B8D" w:rsidRDefault="00B12B84" w:rsidP="00613F9F">
      <w:pPr>
        <w:rPr>
          <w:lang w:val="nl-BE"/>
        </w:rPr>
      </w:pPr>
    </w:p>
    <w:p w14:paraId="32348C10" w14:textId="25BB3D1F" w:rsidR="00B12B84" w:rsidRPr="00043B8D" w:rsidRDefault="000937A6" w:rsidP="00B12B84">
      <w:pPr>
        <w:pStyle w:val="StijlStijlBijschriftCambriaMathNietVetCursiefVet"/>
        <w:pBdr>
          <w:top w:val="dotted" w:sz="4" w:space="1" w:color="auto"/>
          <w:left w:val="dotted" w:sz="4" w:space="4" w:color="auto"/>
          <w:bottom w:val="dotted" w:sz="4" w:space="1" w:color="auto"/>
          <w:right w:val="dotted" w:sz="4" w:space="4" w:color="auto"/>
        </w:pBdr>
        <w:jc w:val="center"/>
        <w:rPr>
          <w:i/>
        </w:rPr>
      </w:pPr>
      <m:oMathPara>
        <m:oMath>
          <m:sSub>
            <m:sSubPr>
              <m:ctrlPr>
                <w:rPr>
                  <w:b w:val="0"/>
                  <w:i/>
                </w:rPr>
              </m:ctrlPr>
            </m:sSubPr>
            <m:e>
              <m:r>
                <m:rPr>
                  <m:sty m:val="bi"/>
                </m:rPr>
                <m:t>TK</m:t>
              </m:r>
            </m:e>
            <m:sub>
              <m:r>
                <m:rPr>
                  <m:sty m:val="bi"/>
                </m:rPr>
                <m:t>trend,2015+p-1</m:t>
              </m:r>
            </m:sub>
          </m:sSub>
          <m:r>
            <m:rPr>
              <m:sty m:val="bi"/>
            </m:rPr>
            <m:t>=TREND</m:t>
          </m:r>
          <m:d>
            <m:dPr>
              <m:ctrlPr>
                <w:rPr>
                  <w:i/>
                </w:rPr>
              </m:ctrlPr>
            </m:dPr>
            <m:e>
              <m:r>
                <m:rPr>
                  <m:sty m:val="bi"/>
                </m:rPr>
                <m:t xml:space="preserve"> </m:t>
              </m:r>
              <m:nary>
                <m:naryPr>
                  <m:chr m:val="∑"/>
                  <m:limLoc m:val="undOvr"/>
                  <m:grow m:val="1"/>
                  <m:ctrlPr>
                    <w:rPr>
                      <w:i/>
                    </w:rPr>
                  </m:ctrlPr>
                </m:naryPr>
                <m:sub>
                  <m:r>
                    <m:rPr>
                      <m:sty m:val="bi"/>
                    </m:rPr>
                    <m:t>∀ dnb i</m:t>
                  </m:r>
                </m:sub>
                <m:sup/>
                <m:e>
                  <m:d>
                    <m:dPr>
                      <m:ctrlPr>
                        <w:rPr>
                          <w:i/>
                        </w:rPr>
                      </m:ctrlPr>
                    </m:dPr>
                    <m:e>
                      <m:sSubSup>
                        <m:sSubSupPr>
                          <m:ctrlPr>
                            <w:rPr>
                              <w:i/>
                            </w:rPr>
                          </m:ctrlPr>
                        </m:sSubSupPr>
                        <m:e>
                          <m:r>
                            <m:rPr>
                              <m:sty m:val="bi"/>
                            </m:rPr>
                            <m:t>TK</m:t>
                          </m:r>
                        </m:e>
                        <m:sub>
                          <m:r>
                            <m:rPr>
                              <m:sty m:val="bi"/>
                            </m:rPr>
                            <m:t>act,2010,i</m:t>
                          </m:r>
                        </m:sub>
                        <m:sup/>
                      </m:sSubSup>
                    </m:e>
                  </m:d>
                  <m:r>
                    <m:rPr>
                      <m:sty m:val="bi"/>
                    </m:rPr>
                    <m:t>…</m:t>
                  </m:r>
                </m:e>
              </m:nary>
              <m:nary>
                <m:naryPr>
                  <m:chr m:val="∑"/>
                  <m:limLoc m:val="undOvr"/>
                  <m:grow m:val="1"/>
                  <m:ctrlPr>
                    <w:rPr>
                      <w:i/>
                    </w:rPr>
                  </m:ctrlPr>
                </m:naryPr>
                <m:sub>
                  <m:r>
                    <m:rPr>
                      <m:sty m:val="bi"/>
                    </m:rPr>
                    <m:t>∀ dnb i</m:t>
                  </m:r>
                </m:sub>
                <m:sup/>
                <m:e>
                  <m:d>
                    <m:dPr>
                      <m:ctrlPr>
                        <w:rPr>
                          <w:i/>
                        </w:rPr>
                      </m:ctrlPr>
                    </m:dPr>
                    <m:e>
                      <m:sSubSup>
                        <m:sSubSupPr>
                          <m:ctrlPr>
                            <w:rPr>
                              <w:i/>
                            </w:rPr>
                          </m:ctrlPr>
                        </m:sSubSupPr>
                        <m:e>
                          <m:r>
                            <m:rPr>
                              <m:sty m:val="bi"/>
                            </m:rPr>
                            <m:t>TK</m:t>
                          </m:r>
                        </m:e>
                        <m:sub>
                          <m:r>
                            <m:rPr>
                              <m:sty m:val="bi"/>
                            </m:rPr>
                            <m:t>act,2013,i</m:t>
                          </m:r>
                        </m:sub>
                        <m:sup/>
                      </m:sSubSup>
                    </m:e>
                  </m:d>
                  <m:r>
                    <m:rPr>
                      <m:sty m:val="bi"/>
                    </m:rPr>
                    <m:t xml:space="preserve"> </m:t>
                  </m:r>
                </m:e>
              </m:nary>
              <m:r>
                <m:rPr>
                  <m:sty m:val="bi"/>
                </m:rPr>
                <m:t xml:space="preserve">; 2010…2013 ;  2015+p-1 </m:t>
              </m:r>
            </m:e>
          </m:d>
        </m:oMath>
      </m:oMathPara>
    </w:p>
    <w:p w14:paraId="24EE2252" w14:textId="77777777" w:rsidR="00B12B84" w:rsidRPr="000D284A" w:rsidRDefault="00B12B84" w:rsidP="000D284A">
      <w:pPr>
        <w:pStyle w:val="Bijschrift"/>
        <w:jc w:val="right"/>
        <w:rPr>
          <w:rFonts w:cs="Tahoma"/>
          <w:b w:val="0"/>
          <w:i/>
        </w:rPr>
      </w:pPr>
      <w:bookmarkStart w:id="377" w:name="_Ref391632280"/>
      <w:r w:rsidRPr="000D284A">
        <w:rPr>
          <w:b w:val="0"/>
          <w:i/>
        </w:rPr>
        <w:t xml:space="preserve">formule </w:t>
      </w:r>
      <w:r w:rsidRPr="000D284A">
        <w:rPr>
          <w:b w:val="0"/>
          <w:i/>
        </w:rPr>
        <w:fldChar w:fldCharType="begin"/>
      </w:r>
      <w:r w:rsidRPr="000D284A">
        <w:rPr>
          <w:b w:val="0"/>
          <w:i/>
        </w:rPr>
        <w:instrText xml:space="preserve"> SEQ formule \* ARABIC </w:instrText>
      </w:r>
      <w:r w:rsidRPr="000D284A">
        <w:rPr>
          <w:b w:val="0"/>
          <w:i/>
        </w:rPr>
        <w:fldChar w:fldCharType="separate"/>
      </w:r>
      <w:r w:rsidR="00BD536B">
        <w:rPr>
          <w:b w:val="0"/>
          <w:i/>
          <w:noProof/>
        </w:rPr>
        <w:t>13</w:t>
      </w:r>
      <w:r w:rsidRPr="000D284A">
        <w:rPr>
          <w:b w:val="0"/>
          <w:i/>
        </w:rPr>
        <w:fldChar w:fldCharType="end"/>
      </w:r>
      <w:bookmarkEnd w:id="377"/>
    </w:p>
    <w:p w14:paraId="5EA77BD4" w14:textId="77777777" w:rsidR="00B12B84" w:rsidRPr="00043B8D" w:rsidRDefault="00B12B84" w:rsidP="00613F9F">
      <w:pPr>
        <w:rPr>
          <w:lang w:val="nl-BE"/>
        </w:rPr>
      </w:pPr>
    </w:p>
    <w:p w14:paraId="5A465E43" w14:textId="6521F235" w:rsidR="00B12B84" w:rsidRPr="00043B8D" w:rsidRDefault="00B12B84" w:rsidP="00B81F8B">
      <w:pPr>
        <w:tabs>
          <w:tab w:val="left" w:pos="709"/>
          <w:tab w:val="left" w:pos="1701"/>
        </w:tabs>
        <w:ind w:left="1701" w:hanging="1701"/>
        <w:rPr>
          <w:rFonts w:cs="Tahoma"/>
          <w:lang w:val="nl-BE"/>
        </w:rPr>
      </w:pPr>
      <w:r w:rsidRPr="00043B8D">
        <w:rPr>
          <w:rFonts w:cs="Tahoma"/>
          <w:i/>
          <w:lang w:val="nl-BE"/>
        </w:rPr>
        <w:tab/>
      </w:r>
      <w:r w:rsidR="00B81F8B" w:rsidRPr="00043B8D">
        <w:rPr>
          <w:rFonts w:cs="Tahoma"/>
          <w:i/>
          <w:lang w:val="nl-BE"/>
        </w:rPr>
        <w:tab/>
      </w:r>
      <w:r w:rsidR="00B81F8B" w:rsidRPr="00043B8D">
        <w:rPr>
          <w:rFonts w:cs="Tahoma"/>
          <w:lang w:val="nl-BE"/>
        </w:rPr>
        <w:t xml:space="preserve">Met hierin </w:t>
      </w:r>
      <w:r w:rsidRPr="00043B8D">
        <w:rPr>
          <w:rFonts w:cs="Tahoma"/>
          <w:i/>
          <w:lang w:val="nl-BE"/>
        </w:rPr>
        <w:t>TREND(y-waarden; x-waarden; nieuwe x-waarde) en TK</w:t>
      </w:r>
      <w:r w:rsidRPr="00043B8D">
        <w:rPr>
          <w:rFonts w:cs="Tahoma"/>
          <w:i/>
          <w:vertAlign w:val="subscript"/>
          <w:lang w:val="nl-BE"/>
        </w:rPr>
        <w:t xml:space="preserve">act,j,i </w:t>
      </w:r>
      <w:r w:rsidRPr="00043B8D">
        <w:rPr>
          <w:rFonts w:cs="Tahoma"/>
          <w:i/>
          <w:lang w:val="nl-BE"/>
        </w:rPr>
        <w:t>zoals</w:t>
      </w:r>
      <w:r w:rsidR="00257D0E" w:rsidRPr="00043B8D">
        <w:rPr>
          <w:rFonts w:cs="Tahoma"/>
          <w:i/>
          <w:lang w:val="nl-BE"/>
        </w:rPr>
        <w:t xml:space="preserve"> hierboven voor </w:t>
      </w:r>
      <w:r w:rsidRPr="00043B8D">
        <w:rPr>
          <w:rFonts w:cs="Tahoma"/>
          <w:i/>
          <w:lang w:val="nl-BE"/>
        </w:rPr>
        <w:fldChar w:fldCharType="begin"/>
      </w:r>
      <w:r w:rsidRPr="00043B8D">
        <w:rPr>
          <w:rFonts w:cs="Tahoma"/>
          <w:i/>
          <w:lang w:val="nl-BE"/>
        </w:rPr>
        <w:instrText xml:space="preserve"> REF _Ref389573978 \h  \* MERGEFORMAT </w:instrText>
      </w:r>
      <w:r w:rsidRPr="00043B8D">
        <w:rPr>
          <w:rFonts w:cs="Tahoma"/>
          <w:i/>
          <w:lang w:val="nl-BE"/>
        </w:rPr>
      </w:r>
      <w:r w:rsidRPr="00043B8D">
        <w:rPr>
          <w:rFonts w:cs="Tahoma"/>
          <w:i/>
          <w:lang w:val="nl-BE"/>
        </w:rPr>
        <w:fldChar w:fldCharType="separate"/>
      </w:r>
      <w:r w:rsidR="00B30F9B" w:rsidRPr="00B30F9B">
        <w:rPr>
          <w:i/>
        </w:rPr>
        <w:t xml:space="preserve">formule </w:t>
      </w:r>
      <w:r w:rsidR="00B30F9B" w:rsidRPr="00B30F9B">
        <w:rPr>
          <w:i/>
          <w:noProof/>
        </w:rPr>
        <w:t>9</w:t>
      </w:r>
      <w:r w:rsidRPr="00043B8D">
        <w:rPr>
          <w:rFonts w:cs="Tahoma"/>
          <w:i/>
          <w:lang w:val="nl-BE"/>
        </w:rPr>
        <w:fldChar w:fldCharType="end"/>
      </w:r>
      <w:r w:rsidRPr="00043B8D">
        <w:rPr>
          <w:rFonts w:cs="Tahoma"/>
          <w:i/>
          <w:lang w:val="nl-BE"/>
        </w:rPr>
        <w:t>.</w:t>
      </w:r>
    </w:p>
    <w:p w14:paraId="589B1FE8" w14:textId="77777777" w:rsidR="00B12B84" w:rsidRPr="00043B8D" w:rsidRDefault="00B12B84" w:rsidP="00613F9F">
      <w:pPr>
        <w:rPr>
          <w:lang w:val="nl-BE"/>
        </w:rPr>
      </w:pPr>
    </w:p>
    <w:p w14:paraId="5223F2E1" w14:textId="77777777" w:rsidR="00300F4E" w:rsidRPr="00043B8D" w:rsidRDefault="001660AD" w:rsidP="00613F9F">
      <w:pPr>
        <w:rPr>
          <w:lang w:val="nl-BE"/>
        </w:rPr>
      </w:pPr>
      <w:r w:rsidRPr="00043B8D">
        <w:rPr>
          <w:lang w:val="nl-BE"/>
        </w:rPr>
        <w:t xml:space="preserve">Voor </w:t>
      </w:r>
      <w:r w:rsidR="00173433" w:rsidRPr="00043B8D">
        <w:rPr>
          <w:lang w:val="nl-BE"/>
        </w:rPr>
        <w:t xml:space="preserve">een </w:t>
      </w:r>
      <w:r w:rsidR="00B36899" w:rsidRPr="00043B8D">
        <w:rPr>
          <w:lang w:val="nl-BE"/>
        </w:rPr>
        <w:t xml:space="preserve">volgende </w:t>
      </w:r>
      <w:r w:rsidR="00173433" w:rsidRPr="00043B8D">
        <w:rPr>
          <w:lang w:val="nl-BE"/>
        </w:rPr>
        <w:t>reguleringsperiode van twee jaar</w:t>
      </w:r>
      <w:r w:rsidR="00304D30" w:rsidRPr="00043B8D">
        <w:rPr>
          <w:lang w:val="nl-BE"/>
        </w:rPr>
        <w:t xml:space="preserve"> (p=2)</w:t>
      </w:r>
      <w:r w:rsidR="00173433" w:rsidRPr="00043B8D">
        <w:rPr>
          <w:lang w:val="nl-BE"/>
        </w:rPr>
        <w:t xml:space="preserve">, </w:t>
      </w:r>
      <w:r w:rsidRPr="00043B8D">
        <w:rPr>
          <w:lang w:val="nl-BE"/>
        </w:rPr>
        <w:t>2015-2016</w:t>
      </w:r>
      <w:r w:rsidR="00173433" w:rsidRPr="00043B8D">
        <w:rPr>
          <w:lang w:val="nl-BE"/>
        </w:rPr>
        <w:t>,</w:t>
      </w:r>
      <w:r w:rsidRPr="00043B8D">
        <w:rPr>
          <w:lang w:val="nl-BE"/>
        </w:rPr>
        <w:t xml:space="preserve"> wordt de x-waarde bijgevolg als volgt berekend:</w:t>
      </w:r>
    </w:p>
    <w:p w14:paraId="48297548" w14:textId="77777777" w:rsidR="001660AD" w:rsidRPr="00043B8D" w:rsidRDefault="001660AD" w:rsidP="001660AD">
      <w:pPr>
        <w:rPr>
          <w:lang w:val="nl-BE"/>
        </w:rPr>
      </w:pPr>
    </w:p>
    <w:p w14:paraId="7985394C" w14:textId="77777777" w:rsidR="001660AD" w:rsidRPr="00043B8D" w:rsidRDefault="001660AD" w:rsidP="001660AD">
      <w:pPr>
        <w:pStyle w:val="StijlStijlBijschriftCambriaMathNietVetCursiefVet"/>
        <w:pBdr>
          <w:top w:val="dotted" w:sz="4" w:space="1" w:color="auto"/>
          <w:left w:val="dotted" w:sz="4" w:space="4" w:color="auto"/>
          <w:bottom w:val="dotted" w:sz="4" w:space="1" w:color="auto"/>
          <w:right w:val="dotted" w:sz="4" w:space="4" w:color="auto"/>
        </w:pBdr>
        <w:jc w:val="center"/>
        <w:rPr>
          <w:i/>
        </w:rPr>
      </w:pPr>
      <m:oMathPara>
        <m:oMath>
          <m:r>
            <m:rPr>
              <m:sty m:val="bi"/>
            </m:rPr>
            <m:t>x=1-</m:t>
          </m:r>
          <m:f>
            <m:fPr>
              <m:ctrlPr>
                <w:rPr>
                  <w:i/>
                </w:rPr>
              </m:ctrlPr>
            </m:fPr>
            <m:num>
              <m:sSub>
                <m:sSubPr>
                  <m:ctrlPr>
                    <w:rPr>
                      <w:b w:val="0"/>
                      <w:i/>
                    </w:rPr>
                  </m:ctrlPr>
                </m:sSubPr>
                <m:e>
                  <m:r>
                    <m:rPr>
                      <m:sty m:val="bi"/>
                    </m:rPr>
                    <m:t>TK</m:t>
                  </m:r>
                </m:e>
                <m:sub>
                  <m:r>
                    <m:rPr>
                      <m:sty m:val="bi"/>
                    </m:rPr>
                    <m:t>trend,2016</m:t>
                  </m:r>
                </m:sub>
              </m:sSub>
            </m:num>
            <m:den>
              <m:sSub>
                <m:sSubPr>
                  <m:ctrlPr>
                    <w:rPr>
                      <w:b w:val="0"/>
                      <w:i/>
                    </w:rPr>
                  </m:ctrlPr>
                </m:sSubPr>
                <m:e>
                  <m:r>
                    <m:rPr>
                      <m:sty m:val="bi"/>
                    </m:rPr>
                    <m:t>TK</m:t>
                  </m:r>
                </m:e>
                <m:sub>
                  <m:r>
                    <m:rPr>
                      <m:sty m:val="bi"/>
                    </m:rPr>
                    <m:t>trend,2015</m:t>
                  </m:r>
                </m:sub>
              </m:sSub>
            </m:den>
          </m:f>
        </m:oMath>
      </m:oMathPara>
    </w:p>
    <w:p w14:paraId="06F41944" w14:textId="77777777" w:rsidR="001660AD" w:rsidRPr="000D284A" w:rsidRDefault="001660AD" w:rsidP="000D284A">
      <w:pPr>
        <w:pStyle w:val="Bijschrift"/>
        <w:jc w:val="right"/>
        <w:rPr>
          <w:rFonts w:cs="Tahoma"/>
          <w:b w:val="0"/>
          <w:i/>
        </w:rPr>
      </w:pPr>
      <w:bookmarkStart w:id="378" w:name="_Ref389574871"/>
      <w:r w:rsidRPr="000D284A">
        <w:rPr>
          <w:b w:val="0"/>
          <w:i/>
        </w:rPr>
        <w:t xml:space="preserve">formule </w:t>
      </w:r>
      <w:r w:rsidRPr="000D284A">
        <w:rPr>
          <w:b w:val="0"/>
          <w:i/>
        </w:rPr>
        <w:fldChar w:fldCharType="begin"/>
      </w:r>
      <w:r w:rsidRPr="000D284A">
        <w:rPr>
          <w:b w:val="0"/>
          <w:i/>
        </w:rPr>
        <w:instrText xml:space="preserve"> SEQ formule \* ARABIC </w:instrText>
      </w:r>
      <w:r w:rsidRPr="000D284A">
        <w:rPr>
          <w:b w:val="0"/>
          <w:i/>
        </w:rPr>
        <w:fldChar w:fldCharType="separate"/>
      </w:r>
      <w:r w:rsidR="00BD536B">
        <w:rPr>
          <w:b w:val="0"/>
          <w:i/>
          <w:noProof/>
        </w:rPr>
        <w:t>14</w:t>
      </w:r>
      <w:r w:rsidRPr="000D284A">
        <w:rPr>
          <w:b w:val="0"/>
          <w:i/>
        </w:rPr>
        <w:fldChar w:fldCharType="end"/>
      </w:r>
      <w:bookmarkEnd w:id="378"/>
    </w:p>
    <w:p w14:paraId="5D79F488" w14:textId="77777777" w:rsidR="00280580" w:rsidRPr="00043B8D" w:rsidRDefault="00280580" w:rsidP="00280580">
      <w:pPr>
        <w:tabs>
          <w:tab w:val="left" w:pos="709"/>
        </w:tabs>
        <w:rPr>
          <w:rFonts w:cs="Tahoma"/>
          <w:i/>
          <w:lang w:val="nl-BE"/>
        </w:rPr>
      </w:pPr>
    </w:p>
    <w:p w14:paraId="2AA6F367" w14:textId="77777777" w:rsidR="00280580" w:rsidRPr="00043B8D" w:rsidRDefault="00280580" w:rsidP="00280580">
      <w:pPr>
        <w:rPr>
          <w:lang w:val="nl-BE"/>
        </w:rPr>
      </w:pPr>
      <w:r w:rsidRPr="00043B8D">
        <w:rPr>
          <w:lang w:val="nl-BE"/>
        </w:rPr>
        <w:t>Met hierin:</w:t>
      </w:r>
    </w:p>
    <w:p w14:paraId="61D482C5" w14:textId="77777777" w:rsidR="00280580" w:rsidRPr="00043B8D" w:rsidRDefault="00280580" w:rsidP="00280580">
      <w:pPr>
        <w:tabs>
          <w:tab w:val="left" w:pos="709"/>
        </w:tabs>
        <w:ind w:left="1701" w:hanging="992"/>
        <w:rPr>
          <w:rFonts w:cs="Tahoma"/>
          <w:i/>
          <w:lang w:val="nl-BE"/>
        </w:rPr>
      </w:pPr>
    </w:p>
    <w:p w14:paraId="30A99CEE" w14:textId="118937EC" w:rsidR="00280580" w:rsidRPr="00043B8D" w:rsidRDefault="00280580" w:rsidP="00280580">
      <w:pPr>
        <w:tabs>
          <w:tab w:val="left" w:pos="709"/>
        </w:tabs>
        <w:ind w:left="1701" w:hanging="992"/>
        <w:rPr>
          <w:rFonts w:cs="Tahoma"/>
          <w:i/>
          <w:lang w:val="nl-BE"/>
        </w:rPr>
      </w:pPr>
      <w:r w:rsidRPr="00043B8D">
        <w:rPr>
          <w:rFonts w:cs="Tahoma"/>
          <w:i/>
          <w:lang w:val="nl-BE"/>
        </w:rPr>
        <w:t>x</w:t>
      </w:r>
      <w:r w:rsidRPr="00043B8D">
        <w:rPr>
          <w:rFonts w:cs="Tahoma"/>
          <w:i/>
          <w:lang w:val="nl-BE"/>
        </w:rPr>
        <w:tab/>
        <w:t xml:space="preserve">De x-waarde </w:t>
      </w:r>
      <w:r w:rsidR="00872A76" w:rsidRPr="00043B8D">
        <w:rPr>
          <w:rFonts w:cs="Tahoma"/>
          <w:i/>
          <w:lang w:val="nl-BE"/>
        </w:rPr>
        <w:t xml:space="preserve">van toepassing </w:t>
      </w:r>
      <w:r w:rsidRPr="00043B8D">
        <w:rPr>
          <w:rFonts w:cs="Tahoma"/>
          <w:i/>
          <w:lang w:val="nl-BE"/>
        </w:rPr>
        <w:t xml:space="preserve">in </w:t>
      </w:r>
      <w:r w:rsidRPr="00043B8D">
        <w:rPr>
          <w:rFonts w:cs="Tahoma"/>
          <w:i/>
          <w:lang w:val="nl-BE"/>
        </w:rPr>
        <w:fldChar w:fldCharType="begin"/>
      </w:r>
      <w:r w:rsidRPr="00043B8D">
        <w:rPr>
          <w:rFonts w:cs="Tahoma"/>
          <w:i/>
          <w:lang w:val="nl-BE"/>
        </w:rPr>
        <w:instrText xml:space="preserve"> REF _Ref388628565 \h  \* MERGEFORMAT </w:instrText>
      </w:r>
      <w:r w:rsidRPr="00043B8D">
        <w:rPr>
          <w:rFonts w:cs="Tahoma"/>
          <w:i/>
          <w:lang w:val="nl-BE"/>
        </w:rPr>
      </w:r>
      <w:r w:rsidRPr="00043B8D">
        <w:rPr>
          <w:rFonts w:cs="Tahoma"/>
          <w:i/>
          <w:lang w:val="nl-BE"/>
        </w:rPr>
        <w:fldChar w:fldCharType="separate"/>
      </w:r>
      <w:r w:rsidR="00B30F9B" w:rsidRPr="00B30F9B">
        <w:rPr>
          <w:i/>
        </w:rPr>
        <w:t xml:space="preserve">formule </w:t>
      </w:r>
      <w:r w:rsidR="00B30F9B" w:rsidRPr="00B30F9B">
        <w:rPr>
          <w:i/>
          <w:noProof/>
        </w:rPr>
        <w:t>2</w:t>
      </w:r>
      <w:r w:rsidRPr="00043B8D">
        <w:rPr>
          <w:rFonts w:cs="Tahoma"/>
          <w:i/>
          <w:lang w:val="nl-BE"/>
        </w:rPr>
        <w:fldChar w:fldCharType="end"/>
      </w:r>
      <w:r w:rsidRPr="00043B8D">
        <w:rPr>
          <w:rFonts w:cs="Tahoma"/>
          <w:i/>
          <w:lang w:val="nl-BE"/>
        </w:rPr>
        <w:t>.</w:t>
      </w:r>
    </w:p>
    <w:p w14:paraId="75F6165F" w14:textId="77777777" w:rsidR="00280580" w:rsidRPr="00043B8D" w:rsidRDefault="00280580" w:rsidP="00280580">
      <w:pPr>
        <w:tabs>
          <w:tab w:val="left" w:pos="709"/>
        </w:tabs>
        <w:ind w:left="1701" w:hanging="992"/>
        <w:rPr>
          <w:rFonts w:cs="Tahoma"/>
          <w:i/>
          <w:lang w:val="nl-BE"/>
        </w:rPr>
      </w:pPr>
    </w:p>
    <w:p w14:paraId="7CC53863" w14:textId="2138A427" w:rsidR="00280580" w:rsidRPr="00043B8D" w:rsidRDefault="00280580" w:rsidP="00280580">
      <w:pPr>
        <w:tabs>
          <w:tab w:val="left" w:pos="709"/>
        </w:tabs>
        <w:ind w:left="1701" w:hanging="992"/>
        <w:rPr>
          <w:rFonts w:cs="Tahoma"/>
          <w:i/>
          <w:lang w:val="nl-BE"/>
        </w:rPr>
      </w:pPr>
      <w:r w:rsidRPr="00043B8D">
        <w:rPr>
          <w:rFonts w:cs="Tahoma"/>
          <w:i/>
          <w:lang w:val="nl-BE"/>
        </w:rPr>
        <w:t>TK</w:t>
      </w:r>
      <w:r w:rsidRPr="00043B8D">
        <w:rPr>
          <w:rFonts w:cs="Tahoma"/>
          <w:i/>
          <w:vertAlign w:val="subscript"/>
          <w:lang w:val="nl-BE"/>
        </w:rPr>
        <w:t>trend,2015</w:t>
      </w:r>
      <w:r w:rsidRPr="00043B8D">
        <w:rPr>
          <w:rFonts w:cs="Tahoma"/>
          <w:i/>
          <w:vertAlign w:val="subscript"/>
          <w:lang w:val="nl-BE"/>
        </w:rPr>
        <w:tab/>
      </w:r>
      <w:r w:rsidR="00897598" w:rsidRPr="00043B8D">
        <w:rPr>
          <w:rFonts w:cs="Tahoma"/>
          <w:i/>
          <w:lang w:val="nl-BE"/>
        </w:rPr>
        <w:t xml:space="preserve">Idem als in </w:t>
      </w:r>
      <w:r w:rsidR="00897598" w:rsidRPr="00043B8D">
        <w:rPr>
          <w:rFonts w:cs="Tahoma"/>
          <w:i/>
          <w:lang w:val="nl-BE"/>
        </w:rPr>
        <w:fldChar w:fldCharType="begin"/>
      </w:r>
      <w:r w:rsidR="00897598" w:rsidRPr="00043B8D">
        <w:rPr>
          <w:rFonts w:cs="Tahoma"/>
          <w:i/>
          <w:lang w:val="nl-BE"/>
        </w:rPr>
        <w:instrText xml:space="preserve"> REF _Ref389550363 \h  \* MERGEFORMAT </w:instrText>
      </w:r>
      <w:r w:rsidR="00897598" w:rsidRPr="00043B8D">
        <w:rPr>
          <w:rFonts w:cs="Tahoma"/>
          <w:i/>
          <w:lang w:val="nl-BE"/>
        </w:rPr>
      </w:r>
      <w:r w:rsidR="00897598" w:rsidRPr="00043B8D">
        <w:rPr>
          <w:rFonts w:cs="Tahoma"/>
          <w:i/>
          <w:lang w:val="nl-BE"/>
        </w:rPr>
        <w:fldChar w:fldCharType="separate"/>
      </w:r>
      <w:r w:rsidR="00B30F9B" w:rsidRPr="00B30F9B">
        <w:rPr>
          <w:i/>
        </w:rPr>
        <w:t xml:space="preserve">formule </w:t>
      </w:r>
      <w:r w:rsidR="00B30F9B" w:rsidRPr="00B30F9B">
        <w:rPr>
          <w:i/>
          <w:noProof/>
        </w:rPr>
        <w:t>8</w:t>
      </w:r>
      <w:r w:rsidR="00897598" w:rsidRPr="00043B8D">
        <w:rPr>
          <w:rFonts w:cs="Tahoma"/>
          <w:i/>
          <w:lang w:val="nl-BE"/>
        </w:rPr>
        <w:fldChar w:fldCharType="end"/>
      </w:r>
      <w:r w:rsidR="00897598" w:rsidRPr="00043B8D">
        <w:rPr>
          <w:rFonts w:cs="Tahoma"/>
          <w:i/>
          <w:lang w:val="nl-BE"/>
        </w:rPr>
        <w:t>.</w:t>
      </w:r>
    </w:p>
    <w:p w14:paraId="3511342A" w14:textId="77777777" w:rsidR="00280580" w:rsidRPr="00043B8D" w:rsidRDefault="00280580" w:rsidP="00280580">
      <w:pPr>
        <w:tabs>
          <w:tab w:val="left" w:pos="709"/>
        </w:tabs>
        <w:ind w:left="1701" w:hanging="992"/>
        <w:rPr>
          <w:rFonts w:cs="Tahoma"/>
          <w:i/>
          <w:lang w:val="nl-BE"/>
        </w:rPr>
      </w:pPr>
    </w:p>
    <w:p w14:paraId="700AEF05" w14:textId="790FF50F" w:rsidR="00C376E8" w:rsidRPr="00043B8D" w:rsidRDefault="00280580" w:rsidP="00C376E8">
      <w:pPr>
        <w:tabs>
          <w:tab w:val="left" w:pos="709"/>
          <w:tab w:val="left" w:pos="5245"/>
        </w:tabs>
        <w:ind w:left="1701" w:hanging="992"/>
        <w:rPr>
          <w:rFonts w:cs="Tahoma"/>
          <w:i/>
          <w:lang w:val="nl-BE"/>
        </w:rPr>
      </w:pPr>
      <w:r w:rsidRPr="00043B8D">
        <w:rPr>
          <w:rFonts w:cs="Tahoma"/>
          <w:i/>
          <w:lang w:val="nl-BE"/>
        </w:rPr>
        <w:t>TK</w:t>
      </w:r>
      <w:r w:rsidRPr="00043B8D">
        <w:rPr>
          <w:rFonts w:cs="Tahoma"/>
          <w:i/>
          <w:vertAlign w:val="subscript"/>
          <w:lang w:val="nl-BE"/>
        </w:rPr>
        <w:t>trend,2016</w:t>
      </w:r>
      <w:r w:rsidRPr="00043B8D">
        <w:rPr>
          <w:rFonts w:cs="Tahoma"/>
          <w:i/>
          <w:vertAlign w:val="subscript"/>
          <w:lang w:val="nl-BE"/>
        </w:rPr>
        <w:tab/>
      </w:r>
      <w:r w:rsidR="00C376E8" w:rsidRPr="00043B8D">
        <w:rPr>
          <w:rFonts w:cs="Tahoma"/>
          <w:i/>
          <w:lang w:val="nl-BE"/>
        </w:rPr>
        <w:t xml:space="preserve">De </w:t>
      </w:r>
      <w:r w:rsidR="001667E1" w:rsidRPr="00043B8D">
        <w:rPr>
          <w:rFonts w:cs="Tahoma"/>
          <w:i/>
          <w:lang w:val="nl-BE"/>
        </w:rPr>
        <w:t>toegelaten</w:t>
      </w:r>
      <w:r w:rsidR="00C376E8" w:rsidRPr="00043B8D">
        <w:rPr>
          <w:rFonts w:cs="Tahoma"/>
          <w:i/>
          <w:lang w:val="nl-BE"/>
        </w:rPr>
        <w:t xml:space="preserve"> </w:t>
      </w:r>
      <w:r w:rsidR="00277D89" w:rsidRPr="00043B8D">
        <w:rPr>
          <w:rFonts w:cs="Tahoma"/>
          <w:i/>
          <w:lang w:val="nl-BE"/>
        </w:rPr>
        <w:t xml:space="preserve">sectorinkomsten </w:t>
      </w:r>
      <w:r w:rsidR="00897598" w:rsidRPr="00043B8D">
        <w:rPr>
          <w:rFonts w:cs="Tahoma"/>
          <w:i/>
          <w:lang w:val="nl-BE"/>
        </w:rPr>
        <w:t xml:space="preserve">uit periodieke distributienettarieven </w:t>
      </w:r>
      <w:r w:rsidR="00C376E8" w:rsidRPr="00043B8D">
        <w:rPr>
          <w:rFonts w:cs="Tahoma"/>
          <w:i/>
          <w:lang w:val="nl-BE"/>
        </w:rPr>
        <w:t xml:space="preserve">voor niet-exogene kosten in het </w:t>
      </w:r>
      <w:r w:rsidR="00277D89" w:rsidRPr="00043B8D">
        <w:rPr>
          <w:rFonts w:cs="Tahoma"/>
          <w:i/>
          <w:lang w:val="nl-BE"/>
        </w:rPr>
        <w:t xml:space="preserve">laatste </w:t>
      </w:r>
      <w:r w:rsidR="00C376E8" w:rsidRPr="00043B8D">
        <w:rPr>
          <w:rFonts w:cs="Tahoma"/>
          <w:i/>
          <w:lang w:val="nl-BE"/>
        </w:rPr>
        <w:t xml:space="preserve">jaar 2016 van de volgende reguleringsperiode, bepaald </w:t>
      </w:r>
      <w:r w:rsidR="00897598" w:rsidRPr="00043B8D">
        <w:rPr>
          <w:rFonts w:cs="Tahoma"/>
          <w:i/>
          <w:lang w:val="nl-BE"/>
        </w:rPr>
        <w:t xml:space="preserve">d.m.v. </w:t>
      </w:r>
      <w:r w:rsidR="00C376E8" w:rsidRPr="00043B8D">
        <w:rPr>
          <w:rFonts w:cs="Tahoma"/>
          <w:i/>
          <w:lang w:val="nl-BE"/>
        </w:rPr>
        <w:t xml:space="preserve">extrapolatie via lineaire regressie </w:t>
      </w:r>
      <w:r w:rsidR="00364F6F" w:rsidRPr="00043B8D">
        <w:rPr>
          <w:rFonts w:cs="Tahoma"/>
          <w:i/>
          <w:lang w:val="nl-BE"/>
        </w:rPr>
        <w:t xml:space="preserve">naar het jaar 2016 </w:t>
      </w:r>
      <w:r w:rsidR="00897598" w:rsidRPr="00043B8D">
        <w:rPr>
          <w:rFonts w:cs="Tahoma"/>
          <w:i/>
          <w:lang w:val="nl-BE"/>
        </w:rPr>
        <w:t xml:space="preserve">toegepast op de </w:t>
      </w:r>
      <w:r w:rsidR="00C376E8" w:rsidRPr="00043B8D">
        <w:rPr>
          <w:rFonts w:cs="Tahoma"/>
          <w:i/>
          <w:lang w:val="nl-BE"/>
        </w:rPr>
        <w:t xml:space="preserve">naar 2014 geactualiseerde niet-exogene </w:t>
      </w:r>
      <w:r w:rsidR="00897598" w:rsidRPr="00043B8D">
        <w:rPr>
          <w:rFonts w:cs="Tahoma"/>
          <w:i/>
          <w:lang w:val="nl-BE"/>
        </w:rPr>
        <w:t>sector</w:t>
      </w:r>
      <w:r w:rsidR="00C376E8" w:rsidRPr="00043B8D">
        <w:rPr>
          <w:rFonts w:cs="Tahoma"/>
          <w:i/>
          <w:lang w:val="nl-BE"/>
        </w:rPr>
        <w:t xml:space="preserve">kosten uit de jaren 2010-2013 </w:t>
      </w:r>
      <w:r w:rsidR="00897598" w:rsidRPr="00043B8D">
        <w:rPr>
          <w:rFonts w:cs="Tahoma"/>
          <w:i/>
          <w:lang w:val="nl-BE"/>
        </w:rPr>
        <w:t xml:space="preserve">zoals verduidelijkt in </w:t>
      </w:r>
      <w:r w:rsidR="00C376E8" w:rsidRPr="00043B8D">
        <w:rPr>
          <w:rFonts w:cs="Tahoma"/>
          <w:i/>
          <w:lang w:val="nl-BE"/>
        </w:rPr>
        <w:t>volgen</w:t>
      </w:r>
      <w:r w:rsidR="00897598" w:rsidRPr="00043B8D">
        <w:rPr>
          <w:rFonts w:cs="Tahoma"/>
          <w:i/>
          <w:lang w:val="nl-BE"/>
        </w:rPr>
        <w:t>de</w:t>
      </w:r>
      <w:r w:rsidR="00C376E8" w:rsidRPr="00043B8D">
        <w:rPr>
          <w:rFonts w:cs="Tahoma"/>
          <w:i/>
          <w:lang w:val="nl-BE"/>
        </w:rPr>
        <w:t xml:space="preserve"> </w:t>
      </w:r>
      <w:r w:rsidR="00C376E8" w:rsidRPr="00043B8D">
        <w:rPr>
          <w:rFonts w:cs="Tahoma"/>
          <w:i/>
          <w:lang w:val="nl-BE"/>
        </w:rPr>
        <w:fldChar w:fldCharType="begin"/>
      </w:r>
      <w:r w:rsidR="00C376E8" w:rsidRPr="00043B8D">
        <w:rPr>
          <w:rFonts w:cs="Tahoma"/>
          <w:i/>
          <w:lang w:val="nl-BE"/>
        </w:rPr>
        <w:instrText xml:space="preserve"> REF _Ref389660218 \h  \* MERGEFORMAT </w:instrText>
      </w:r>
      <w:r w:rsidR="00C376E8" w:rsidRPr="00043B8D">
        <w:rPr>
          <w:rFonts w:cs="Tahoma"/>
          <w:i/>
          <w:lang w:val="nl-BE"/>
        </w:rPr>
      </w:r>
      <w:r w:rsidR="00C376E8" w:rsidRPr="00043B8D">
        <w:rPr>
          <w:rFonts w:cs="Tahoma"/>
          <w:i/>
          <w:lang w:val="nl-BE"/>
        </w:rPr>
        <w:fldChar w:fldCharType="separate"/>
      </w:r>
      <w:r w:rsidR="00B30F9B" w:rsidRPr="00B30F9B">
        <w:rPr>
          <w:i/>
        </w:rPr>
        <w:t xml:space="preserve">formule </w:t>
      </w:r>
      <w:r w:rsidR="00B30F9B" w:rsidRPr="00B30F9B">
        <w:rPr>
          <w:i/>
          <w:noProof/>
        </w:rPr>
        <w:t>15</w:t>
      </w:r>
      <w:r w:rsidR="00C376E8" w:rsidRPr="00043B8D">
        <w:rPr>
          <w:rFonts w:cs="Tahoma"/>
          <w:i/>
          <w:lang w:val="nl-BE"/>
        </w:rPr>
        <w:fldChar w:fldCharType="end"/>
      </w:r>
      <w:r w:rsidR="00C376E8" w:rsidRPr="00043B8D">
        <w:rPr>
          <w:rFonts w:cs="Tahoma"/>
          <w:i/>
          <w:lang w:val="nl-BE"/>
        </w:rPr>
        <w:t>.</w:t>
      </w:r>
      <w:r w:rsidR="008335B3" w:rsidRPr="00043B8D">
        <w:rPr>
          <w:rFonts w:cs="Tahoma"/>
          <w:i/>
          <w:lang w:val="nl-BE"/>
        </w:rPr>
        <w:t xml:space="preserve"> (EUR)</w:t>
      </w:r>
    </w:p>
    <w:p w14:paraId="6E8082C2" w14:textId="77777777" w:rsidR="00873918" w:rsidRPr="00043B8D" w:rsidRDefault="00873918" w:rsidP="00E37232">
      <w:pPr>
        <w:tabs>
          <w:tab w:val="left" w:pos="709"/>
          <w:tab w:val="left" w:pos="5245"/>
        </w:tabs>
        <w:ind w:left="1701" w:hanging="992"/>
        <w:rPr>
          <w:rFonts w:cs="Tahoma"/>
          <w:i/>
          <w:lang w:val="nl-BE"/>
        </w:rPr>
      </w:pPr>
    </w:p>
    <w:p w14:paraId="532534B3" w14:textId="1B248A35" w:rsidR="00873918" w:rsidRPr="00043B8D" w:rsidRDefault="000937A6" w:rsidP="00873918">
      <w:pPr>
        <w:pStyle w:val="StijlStijlBijschriftCambriaMathNietVetCursiefVet"/>
        <w:pBdr>
          <w:top w:val="dotted" w:sz="4" w:space="1" w:color="auto"/>
          <w:left w:val="dotted" w:sz="4" w:space="4" w:color="auto"/>
          <w:bottom w:val="dotted" w:sz="4" w:space="1" w:color="auto"/>
          <w:right w:val="dotted" w:sz="4" w:space="4" w:color="auto"/>
        </w:pBdr>
        <w:jc w:val="center"/>
        <w:rPr>
          <w:i/>
        </w:rPr>
      </w:pPr>
      <m:oMathPara>
        <m:oMath>
          <m:sSub>
            <m:sSubPr>
              <m:ctrlPr>
                <w:rPr>
                  <w:b w:val="0"/>
                  <w:i/>
                </w:rPr>
              </m:ctrlPr>
            </m:sSubPr>
            <m:e>
              <m:r>
                <m:rPr>
                  <m:sty m:val="bi"/>
                </m:rPr>
                <m:t>TK</m:t>
              </m:r>
            </m:e>
            <m:sub>
              <m:r>
                <m:rPr>
                  <m:sty m:val="bi"/>
                </m:rPr>
                <m:t>trend,2016</m:t>
              </m:r>
            </m:sub>
          </m:sSub>
          <m:r>
            <m:rPr>
              <m:sty m:val="bi"/>
            </m:rPr>
            <m:t>=TREND</m:t>
          </m:r>
          <m:d>
            <m:dPr>
              <m:ctrlPr>
                <w:rPr>
                  <w:i/>
                </w:rPr>
              </m:ctrlPr>
            </m:dPr>
            <m:e>
              <m:r>
                <m:rPr>
                  <m:sty m:val="bi"/>
                </m:rPr>
                <m:t xml:space="preserve"> </m:t>
              </m:r>
              <m:nary>
                <m:naryPr>
                  <m:chr m:val="∑"/>
                  <m:limLoc m:val="undOvr"/>
                  <m:grow m:val="1"/>
                  <m:ctrlPr>
                    <w:rPr>
                      <w:i/>
                    </w:rPr>
                  </m:ctrlPr>
                </m:naryPr>
                <m:sub>
                  <m:r>
                    <m:rPr>
                      <m:sty m:val="bi"/>
                    </m:rPr>
                    <m:t>∀ dnb i</m:t>
                  </m:r>
                </m:sub>
                <m:sup/>
                <m:e>
                  <m:d>
                    <m:dPr>
                      <m:ctrlPr>
                        <w:rPr>
                          <w:i/>
                        </w:rPr>
                      </m:ctrlPr>
                    </m:dPr>
                    <m:e>
                      <m:sSubSup>
                        <m:sSubSupPr>
                          <m:ctrlPr>
                            <w:rPr>
                              <w:i/>
                            </w:rPr>
                          </m:ctrlPr>
                        </m:sSubSupPr>
                        <m:e>
                          <m:r>
                            <m:rPr>
                              <m:sty m:val="bi"/>
                            </m:rPr>
                            <m:t>TK</m:t>
                          </m:r>
                        </m:e>
                        <m:sub>
                          <m:r>
                            <m:rPr>
                              <m:sty m:val="bi"/>
                            </m:rPr>
                            <m:t>act,2010,i</m:t>
                          </m:r>
                        </m:sub>
                        <m:sup/>
                      </m:sSubSup>
                    </m:e>
                  </m:d>
                  <m:r>
                    <m:rPr>
                      <m:sty m:val="bi"/>
                    </m:rPr>
                    <m:t>…</m:t>
                  </m:r>
                </m:e>
              </m:nary>
              <m:nary>
                <m:naryPr>
                  <m:chr m:val="∑"/>
                  <m:limLoc m:val="undOvr"/>
                  <m:grow m:val="1"/>
                  <m:ctrlPr>
                    <w:rPr>
                      <w:i/>
                    </w:rPr>
                  </m:ctrlPr>
                </m:naryPr>
                <m:sub>
                  <m:r>
                    <m:rPr>
                      <m:sty m:val="bi"/>
                    </m:rPr>
                    <m:t>∀ dnb i</m:t>
                  </m:r>
                </m:sub>
                <m:sup/>
                <m:e>
                  <m:d>
                    <m:dPr>
                      <m:ctrlPr>
                        <w:rPr>
                          <w:i/>
                        </w:rPr>
                      </m:ctrlPr>
                    </m:dPr>
                    <m:e>
                      <m:sSubSup>
                        <m:sSubSupPr>
                          <m:ctrlPr>
                            <w:rPr>
                              <w:i/>
                            </w:rPr>
                          </m:ctrlPr>
                        </m:sSubSupPr>
                        <m:e>
                          <m:r>
                            <m:rPr>
                              <m:sty m:val="bi"/>
                            </m:rPr>
                            <m:t>TK</m:t>
                          </m:r>
                        </m:e>
                        <m:sub>
                          <m:r>
                            <m:rPr>
                              <m:sty m:val="bi"/>
                            </m:rPr>
                            <m:t>act,2013,i</m:t>
                          </m:r>
                        </m:sub>
                        <m:sup/>
                      </m:sSubSup>
                    </m:e>
                  </m:d>
                  <m:r>
                    <m:rPr>
                      <m:sty m:val="bi"/>
                    </m:rPr>
                    <m:t xml:space="preserve"> </m:t>
                  </m:r>
                </m:e>
              </m:nary>
              <m:r>
                <m:rPr>
                  <m:sty m:val="bi"/>
                </m:rPr>
                <m:t xml:space="preserve">; 2010…2013 ; 2016 </m:t>
              </m:r>
            </m:e>
          </m:d>
        </m:oMath>
      </m:oMathPara>
    </w:p>
    <w:p w14:paraId="5563AA57" w14:textId="77777777" w:rsidR="00873918" w:rsidRPr="000D284A" w:rsidRDefault="00873918" w:rsidP="000D284A">
      <w:pPr>
        <w:pStyle w:val="Bijschrift"/>
        <w:jc w:val="right"/>
        <w:rPr>
          <w:rFonts w:cs="Tahoma"/>
          <w:b w:val="0"/>
          <w:i/>
        </w:rPr>
      </w:pPr>
      <w:bookmarkStart w:id="379" w:name="_Ref389660218"/>
      <w:r w:rsidRPr="000D284A">
        <w:rPr>
          <w:b w:val="0"/>
          <w:i/>
        </w:rPr>
        <w:t xml:space="preserve">formule </w:t>
      </w:r>
      <w:r w:rsidRPr="000D284A">
        <w:rPr>
          <w:b w:val="0"/>
          <w:i/>
        </w:rPr>
        <w:fldChar w:fldCharType="begin"/>
      </w:r>
      <w:r w:rsidRPr="000D284A">
        <w:rPr>
          <w:b w:val="0"/>
          <w:i/>
        </w:rPr>
        <w:instrText xml:space="preserve"> SEQ formule \* ARABIC </w:instrText>
      </w:r>
      <w:r w:rsidRPr="000D284A">
        <w:rPr>
          <w:b w:val="0"/>
          <w:i/>
        </w:rPr>
        <w:fldChar w:fldCharType="separate"/>
      </w:r>
      <w:r w:rsidR="00BD536B">
        <w:rPr>
          <w:b w:val="0"/>
          <w:i/>
          <w:noProof/>
        </w:rPr>
        <w:t>15</w:t>
      </w:r>
      <w:r w:rsidRPr="000D284A">
        <w:rPr>
          <w:b w:val="0"/>
          <w:i/>
        </w:rPr>
        <w:fldChar w:fldCharType="end"/>
      </w:r>
      <w:bookmarkEnd w:id="379"/>
    </w:p>
    <w:p w14:paraId="6B8ABA59" w14:textId="77777777" w:rsidR="00980015" w:rsidRPr="00043B8D" w:rsidRDefault="00970E17" w:rsidP="00970E17">
      <w:pPr>
        <w:tabs>
          <w:tab w:val="left" w:pos="709"/>
          <w:tab w:val="left" w:pos="1701"/>
        </w:tabs>
        <w:ind w:left="1701" w:hanging="1701"/>
        <w:rPr>
          <w:rFonts w:cs="Tahoma"/>
          <w:i/>
          <w:lang w:val="nl-BE"/>
        </w:rPr>
      </w:pPr>
      <w:r w:rsidRPr="00043B8D">
        <w:rPr>
          <w:rFonts w:cs="Tahoma"/>
          <w:i/>
          <w:lang w:val="nl-BE"/>
        </w:rPr>
        <w:tab/>
      </w:r>
      <w:r w:rsidRPr="00043B8D">
        <w:rPr>
          <w:rFonts w:cs="Tahoma"/>
          <w:i/>
          <w:lang w:val="nl-BE"/>
        </w:rPr>
        <w:tab/>
      </w:r>
    </w:p>
    <w:p w14:paraId="441BD401" w14:textId="54832C0E" w:rsidR="00970E17" w:rsidRDefault="00980015" w:rsidP="00970E17">
      <w:pPr>
        <w:tabs>
          <w:tab w:val="left" w:pos="709"/>
          <w:tab w:val="left" w:pos="1701"/>
        </w:tabs>
        <w:ind w:left="1701" w:hanging="1701"/>
        <w:rPr>
          <w:rFonts w:cs="Tahoma"/>
          <w:i/>
          <w:lang w:val="nl-BE"/>
        </w:rPr>
      </w:pPr>
      <w:r w:rsidRPr="00043B8D">
        <w:rPr>
          <w:rFonts w:cs="Tahoma"/>
          <w:i/>
          <w:lang w:val="nl-BE"/>
        </w:rPr>
        <w:tab/>
      </w:r>
      <w:r w:rsidRPr="00043B8D">
        <w:rPr>
          <w:rFonts w:cs="Tahoma"/>
          <w:i/>
          <w:lang w:val="nl-BE"/>
        </w:rPr>
        <w:tab/>
      </w:r>
      <w:r w:rsidR="00970E17" w:rsidRPr="00043B8D">
        <w:rPr>
          <w:rFonts w:cs="Tahoma"/>
          <w:lang w:val="nl-BE"/>
        </w:rPr>
        <w:t xml:space="preserve">Met hierin </w:t>
      </w:r>
      <w:r w:rsidR="00970E17" w:rsidRPr="00043B8D">
        <w:rPr>
          <w:rFonts w:cs="Tahoma"/>
          <w:i/>
          <w:lang w:val="nl-BE"/>
        </w:rPr>
        <w:t xml:space="preserve">TREND(y-waarden; x-waarden; nieuwe x-waarde) </w:t>
      </w:r>
      <w:r w:rsidR="00970E17" w:rsidRPr="00043B8D">
        <w:rPr>
          <w:rFonts w:cs="Tahoma"/>
          <w:lang w:val="nl-BE"/>
        </w:rPr>
        <w:t>en</w:t>
      </w:r>
      <w:r w:rsidR="00970E17" w:rsidRPr="00043B8D">
        <w:rPr>
          <w:rFonts w:cs="Tahoma"/>
          <w:i/>
          <w:lang w:val="nl-BE"/>
        </w:rPr>
        <w:t xml:space="preserve"> TK</w:t>
      </w:r>
      <w:r w:rsidR="00970E17" w:rsidRPr="00043B8D">
        <w:rPr>
          <w:rFonts w:cs="Tahoma"/>
          <w:i/>
          <w:vertAlign w:val="subscript"/>
          <w:lang w:val="nl-BE"/>
        </w:rPr>
        <w:t xml:space="preserve">act,j,i </w:t>
      </w:r>
      <w:r w:rsidR="00970E17" w:rsidRPr="00043B8D">
        <w:rPr>
          <w:rFonts w:cs="Tahoma"/>
          <w:lang w:val="nl-BE"/>
        </w:rPr>
        <w:t>zoals hierboven voor</w:t>
      </w:r>
      <w:r w:rsidR="00970E17" w:rsidRPr="00043B8D">
        <w:rPr>
          <w:rFonts w:cs="Tahoma"/>
          <w:i/>
          <w:lang w:val="nl-BE"/>
        </w:rPr>
        <w:t xml:space="preserve"> </w:t>
      </w:r>
      <w:r w:rsidR="00970E17" w:rsidRPr="00043B8D">
        <w:rPr>
          <w:rFonts w:cs="Tahoma"/>
          <w:i/>
          <w:lang w:val="nl-BE"/>
        </w:rPr>
        <w:fldChar w:fldCharType="begin"/>
      </w:r>
      <w:r w:rsidR="00970E17" w:rsidRPr="00043B8D">
        <w:rPr>
          <w:rFonts w:cs="Tahoma"/>
          <w:i/>
          <w:lang w:val="nl-BE"/>
        </w:rPr>
        <w:instrText xml:space="preserve"> REF _Ref389573978 \h  \* MERGEFORMAT </w:instrText>
      </w:r>
      <w:r w:rsidR="00970E17" w:rsidRPr="00043B8D">
        <w:rPr>
          <w:rFonts w:cs="Tahoma"/>
          <w:i/>
          <w:lang w:val="nl-BE"/>
        </w:rPr>
      </w:r>
      <w:r w:rsidR="00970E17" w:rsidRPr="00043B8D">
        <w:rPr>
          <w:rFonts w:cs="Tahoma"/>
          <w:i/>
          <w:lang w:val="nl-BE"/>
        </w:rPr>
        <w:fldChar w:fldCharType="separate"/>
      </w:r>
      <w:r w:rsidR="00B30F9B" w:rsidRPr="00B30F9B">
        <w:rPr>
          <w:i/>
        </w:rPr>
        <w:t xml:space="preserve">formule </w:t>
      </w:r>
      <w:r w:rsidR="00B30F9B" w:rsidRPr="00B30F9B">
        <w:rPr>
          <w:i/>
          <w:noProof/>
        </w:rPr>
        <w:t>9</w:t>
      </w:r>
      <w:r w:rsidR="00970E17" w:rsidRPr="00043B8D">
        <w:rPr>
          <w:rFonts w:cs="Tahoma"/>
          <w:i/>
          <w:lang w:val="nl-BE"/>
        </w:rPr>
        <w:fldChar w:fldCharType="end"/>
      </w:r>
      <w:r w:rsidR="00970E17" w:rsidRPr="00043B8D">
        <w:rPr>
          <w:rFonts w:cs="Tahoma"/>
          <w:i/>
          <w:lang w:val="nl-BE"/>
        </w:rPr>
        <w:t>.</w:t>
      </w:r>
    </w:p>
    <w:p w14:paraId="3DC98157" w14:textId="77777777" w:rsidR="00C8462C" w:rsidRDefault="00C8462C" w:rsidP="00970E17">
      <w:pPr>
        <w:tabs>
          <w:tab w:val="left" w:pos="709"/>
          <w:tab w:val="left" w:pos="1701"/>
        </w:tabs>
        <w:ind w:left="1701" w:hanging="1701"/>
        <w:rPr>
          <w:rFonts w:cs="Tahoma"/>
          <w:lang w:val="nl-BE"/>
        </w:rPr>
      </w:pPr>
    </w:p>
    <w:p w14:paraId="16428201" w14:textId="10820D8C" w:rsidR="0043573F" w:rsidRPr="000D284A" w:rsidRDefault="0043573F" w:rsidP="00970E17">
      <w:pPr>
        <w:tabs>
          <w:tab w:val="left" w:pos="709"/>
          <w:tab w:val="left" w:pos="1701"/>
        </w:tabs>
        <w:ind w:left="1701" w:hanging="1701"/>
        <w:rPr>
          <w:rFonts w:cs="Tahoma"/>
          <w:lang w:val="nl-BE"/>
        </w:rPr>
      </w:pPr>
      <w:r w:rsidRPr="000D284A">
        <w:rPr>
          <w:rFonts w:cs="Tahoma"/>
          <w:lang w:val="nl-BE"/>
        </w:rPr>
        <w:t>[</w:t>
      </w:r>
    </w:p>
    <w:p w14:paraId="082765FF" w14:textId="03A3CDFB" w:rsidR="000946DE" w:rsidRPr="000D284A" w:rsidRDefault="000946DE" w:rsidP="000946DE">
      <w:pPr>
        <w:pStyle w:val="Kop2"/>
        <w:numPr>
          <w:ilvl w:val="3"/>
          <w:numId w:val="24"/>
        </w:numPr>
        <w:rPr>
          <w:i/>
          <w:sz w:val="22"/>
          <w:szCs w:val="22"/>
        </w:rPr>
      </w:pPr>
      <w:bookmarkStart w:id="380" w:name="_Ref447717214"/>
      <w:bookmarkStart w:id="381" w:name="_Ref447806671"/>
      <w:bookmarkStart w:id="382" w:name="_Toc454186685"/>
      <w:r w:rsidRPr="000D284A">
        <w:rPr>
          <w:i/>
          <w:sz w:val="22"/>
          <w:szCs w:val="22"/>
        </w:rPr>
        <w:t xml:space="preserve">Saldo m.b.t. </w:t>
      </w:r>
      <w:bookmarkEnd w:id="380"/>
      <w:r w:rsidR="006B4DA1" w:rsidRPr="000D284A">
        <w:rPr>
          <w:i/>
          <w:sz w:val="22"/>
          <w:szCs w:val="22"/>
        </w:rPr>
        <w:t>oplaadpunten voor elektrische voertuigen</w:t>
      </w:r>
      <w:bookmarkEnd w:id="381"/>
      <w:bookmarkEnd w:id="382"/>
    </w:p>
    <w:p w14:paraId="6A809CE9" w14:textId="77777777" w:rsidR="000946DE" w:rsidRPr="00F577D4" w:rsidRDefault="000946DE" w:rsidP="007514A4">
      <w:pPr>
        <w:tabs>
          <w:tab w:val="left" w:pos="709"/>
        </w:tabs>
        <w:rPr>
          <w:highlight w:val="yellow"/>
          <w:lang w:val="nl-BE"/>
        </w:rPr>
      </w:pPr>
    </w:p>
    <w:p w14:paraId="5CE8384C" w14:textId="77777777" w:rsidR="000D284A" w:rsidRPr="000D284A" w:rsidRDefault="000D284A" w:rsidP="000D284A">
      <w:pPr>
        <w:tabs>
          <w:tab w:val="left" w:pos="709"/>
        </w:tabs>
        <w:rPr>
          <w:rFonts w:cs="Tahoma"/>
        </w:rPr>
      </w:pPr>
      <w:r w:rsidRPr="000D284A">
        <w:rPr>
          <w:rFonts w:cs="Tahoma"/>
        </w:rPr>
        <w:t>Het Energiebesluit</w:t>
      </w:r>
      <w:r w:rsidRPr="000D284A">
        <w:rPr>
          <w:rStyle w:val="Voetnootmarkering"/>
          <w:rFonts w:cs="Tahoma"/>
        </w:rPr>
        <w:footnoteReference w:id="38"/>
      </w:r>
      <w:r w:rsidRPr="000D284A">
        <w:rPr>
          <w:rFonts w:cs="Tahoma"/>
        </w:rPr>
        <w:t xml:space="preserve"> legt aan de elektriciteitsdistributienetbeheerders openbaredienstverplichtingen op die verband houden met oplaadpunten voor elektrische voertuigen. Door deze openbaredienstverplichtingen krijgen de elektriciteitsdistributienetbeheerders er een gereguleerde activiteit bij, o.a. het organiseren van openbare aanbestedingen voor de installatie, het onderhoud en de commerciële exploitatie van elektrische laadpunten voor elektrische voertuigen. De kosten mogen daarbij de opbrengsten niet overtreffen. Een bijzonderheid en complexiteit in de regelgeving is dat de taak ook door steden en gemeenten kan uitgevoerd worden, indien zij dat wensen. De VREG voorziet daarom een bijzondere aanpak voor wat betreft eventuele kosten en opbrengsten, waarbij de saldi gedurende de eerste tien jaar, de maximale aan te besteden exploitatietermijn van de oplaadpunten, worden afgezonderd alvorens ze aan sectorgemiddelde kost per oplaadpunt plus 50% van het verschil tussen de gemiddelde kost per oplaadpunt van de distributienetbeheerder en deze sectorkost worden verrekend in de distributienettarieven. Daarbij wordt een onderscheid gemaakt tussen de oplaadpunten geplaatst overeenkomstig Art. 6.4.2 en geplaatst overeenkomstig Art. 6.4.3 van het Energiebesluit. De werkwijze omvat aldus een efficiëntieprikkel voor de distributienetbeheerder</w:t>
      </w:r>
      <w:r w:rsidRPr="000D284A">
        <w:rPr>
          <w:rStyle w:val="Voetnootmarkering"/>
          <w:rFonts w:cs="Tahoma"/>
        </w:rPr>
        <w:footnoteReference w:id="39"/>
      </w:r>
      <w:r w:rsidRPr="000D284A">
        <w:rPr>
          <w:rFonts w:cs="Tahoma"/>
        </w:rPr>
        <w:t>.</w:t>
      </w:r>
    </w:p>
    <w:p w14:paraId="53C49A78" w14:textId="77777777" w:rsidR="000D284A" w:rsidRPr="000D284A" w:rsidRDefault="000D284A" w:rsidP="000D284A">
      <w:pPr>
        <w:tabs>
          <w:tab w:val="left" w:pos="709"/>
        </w:tabs>
        <w:rPr>
          <w:rFonts w:cs="Tahoma"/>
        </w:rPr>
      </w:pPr>
    </w:p>
    <w:p w14:paraId="3866C5C9" w14:textId="77777777" w:rsidR="000D284A" w:rsidRPr="008F1DB1" w:rsidRDefault="000D284A" w:rsidP="008F1DB1">
      <w:pPr>
        <w:pStyle w:val="Kop2"/>
        <w:numPr>
          <w:ilvl w:val="4"/>
          <w:numId w:val="24"/>
        </w:numPr>
        <w:rPr>
          <w:i/>
          <w:sz w:val="22"/>
          <w:szCs w:val="22"/>
        </w:rPr>
      </w:pPr>
      <w:r w:rsidRPr="008F1DB1">
        <w:rPr>
          <w:i/>
          <w:sz w:val="22"/>
          <w:szCs w:val="22"/>
        </w:rPr>
        <w:t>Voor de oplaadpunten geïnstalleerd overeenkomstig Art. 6.4.2 van het Energiebesluit</w:t>
      </w:r>
    </w:p>
    <w:p w14:paraId="59BE81D7" w14:textId="77777777" w:rsidR="000D284A" w:rsidRPr="000D284A" w:rsidRDefault="000D284A" w:rsidP="000D284A">
      <w:pPr>
        <w:tabs>
          <w:tab w:val="left" w:pos="709"/>
        </w:tabs>
        <w:rPr>
          <w:rFonts w:cs="Tahoma"/>
        </w:rPr>
      </w:pPr>
    </w:p>
    <w:p w14:paraId="7C87FC6E" w14:textId="77777777" w:rsidR="000D284A" w:rsidRPr="000D284A" w:rsidRDefault="000D284A" w:rsidP="000D284A">
      <w:pPr>
        <w:tabs>
          <w:tab w:val="left" w:pos="709"/>
        </w:tabs>
        <w:rPr>
          <w:rFonts w:cs="Tahoma"/>
        </w:rPr>
      </w:pPr>
      <w:r w:rsidRPr="000D284A">
        <w:rPr>
          <w:rFonts w:cs="Tahoma"/>
        </w:rPr>
        <w:t xml:space="preserve">Per jaar in de periode 2016 t.e.m. 2020 waarin oplaadpunten voor elektrische voertuigen in opdracht van de elektriciteitsdistributienetbeheerder volgens art. 6.4.2. van het Energiebesluit initieel werden geïnstalleerd, houdt deze elektriciteitsdistributienetbeheer jaarlijks een saldo bij van al de kosten en opbrengsten m.b.t. de in dat jaar in opdracht van de distributienetbeheerder geïnstalleerde oplaadpunten. De kosten en opbrengsten van eventuele vervangingsinvesteringen worden rechtstreeks toegewezen aan dat initiële jaar van de eerste installatie. De distributienetbeheerder </w:t>
      </w:r>
      <w:r w:rsidRPr="008F1DB1">
        <w:rPr>
          <w:rFonts w:cs="Tahoma"/>
          <w:i/>
        </w:rPr>
        <w:t>i</w:t>
      </w:r>
      <w:r w:rsidRPr="000D284A">
        <w:rPr>
          <w:rFonts w:cs="Tahoma"/>
        </w:rPr>
        <w:t xml:space="preserve"> registreert per jaar van initiële installatie voor elk van de tien jaren </w:t>
      </w:r>
      <w:r w:rsidRPr="008F1DB1">
        <w:rPr>
          <w:rFonts w:cs="Tahoma"/>
          <w:i/>
        </w:rPr>
        <w:t>y</w:t>
      </w:r>
      <w:r w:rsidRPr="000D284A">
        <w:rPr>
          <w:rFonts w:cs="Tahoma"/>
        </w:rPr>
        <w:t xml:space="preserve"> volgend op het jaar </w:t>
      </w:r>
      <w:r w:rsidRPr="008F1DB1">
        <w:rPr>
          <w:rFonts w:cs="Tahoma"/>
          <w:i/>
        </w:rPr>
        <w:t>j</w:t>
      </w:r>
      <w:r w:rsidRPr="000D284A">
        <w:rPr>
          <w:rFonts w:cs="Tahoma"/>
        </w:rPr>
        <w:t xml:space="preserve"> van de initiële installatie het saldo </w:t>
      </w:r>
      <w:r w:rsidRPr="008F1DB1">
        <w:rPr>
          <w:rFonts w:cs="Tahoma"/>
          <w:i/>
        </w:rPr>
        <w:t>s</w:t>
      </w:r>
      <w:r w:rsidRPr="008F1DB1">
        <w:rPr>
          <w:rFonts w:cs="Tahoma"/>
          <w:i/>
          <w:vertAlign w:val="subscript"/>
        </w:rPr>
        <w:t>i,y/j,6.4.2</w:t>
      </w:r>
      <w:r w:rsidRPr="000D284A">
        <w:rPr>
          <w:rFonts w:cs="Tahoma"/>
        </w:rPr>
        <w:t xml:space="preserve"> </w:t>
      </w:r>
      <w:r w:rsidRPr="000D284A">
        <w:rPr>
          <w:rFonts w:cs="Tahoma"/>
          <w:vertAlign w:val="subscript"/>
        </w:rPr>
        <w:t xml:space="preserve"> </w:t>
      </w:r>
      <w:r w:rsidRPr="000D284A">
        <w:rPr>
          <w:rFonts w:cs="Tahoma"/>
        </w:rPr>
        <w:t>als volgt:</w:t>
      </w:r>
    </w:p>
    <w:p w14:paraId="07EBF450" w14:textId="77777777" w:rsidR="000D284A" w:rsidRPr="000D284A" w:rsidRDefault="000D284A" w:rsidP="000D284A">
      <w:pPr>
        <w:pStyle w:val="Lijstalinea"/>
        <w:numPr>
          <w:ilvl w:val="0"/>
          <w:numId w:val="26"/>
        </w:numPr>
        <w:tabs>
          <w:tab w:val="left" w:pos="709"/>
        </w:tabs>
        <w:rPr>
          <w:rFonts w:cs="Tahoma"/>
        </w:rPr>
      </w:pPr>
      <w:r w:rsidRPr="000D284A">
        <w:rPr>
          <w:rFonts w:cs="Tahoma"/>
        </w:rPr>
        <w:t>Volgende kosten, in plus:</w:t>
      </w:r>
    </w:p>
    <w:p w14:paraId="0208475B" w14:textId="77777777" w:rsidR="000D284A" w:rsidRPr="000D284A" w:rsidRDefault="000D284A" w:rsidP="000D284A">
      <w:pPr>
        <w:pStyle w:val="Lijstalinea"/>
        <w:numPr>
          <w:ilvl w:val="1"/>
          <w:numId w:val="26"/>
        </w:numPr>
        <w:tabs>
          <w:tab w:val="left" w:pos="709"/>
        </w:tabs>
        <w:rPr>
          <w:rFonts w:cs="Tahoma"/>
        </w:rPr>
      </w:pPr>
      <w:r w:rsidRPr="000D284A">
        <w:rPr>
          <w:rFonts w:cs="Tahoma"/>
        </w:rPr>
        <w:t xml:space="preserve">Een door de VREG veronderstelde kapitaalkost volgens de tariefmethodologie voor dat jaar </w:t>
      </w:r>
      <w:r w:rsidRPr="008F1DB1">
        <w:rPr>
          <w:rFonts w:cs="Tahoma"/>
          <w:i/>
        </w:rPr>
        <w:t>y</w:t>
      </w:r>
      <w:r w:rsidRPr="000D284A">
        <w:rPr>
          <w:rFonts w:cs="Tahoma"/>
        </w:rPr>
        <w:t xml:space="preserve"> en dit aan de wacc van het jaar vóór vennootschapsbelasting toegepast op de gemiddelde nettoboekwaarde van de activa van de initieel geïnstalleerde oplaadpunten</w:t>
      </w:r>
      <w:r w:rsidRPr="000D284A">
        <w:rPr>
          <w:rStyle w:val="Voetnootmarkering"/>
          <w:rFonts w:cs="Tahoma"/>
        </w:rPr>
        <w:footnoteReference w:id="40"/>
      </w:r>
      <w:r w:rsidRPr="000D284A">
        <w:rPr>
          <w:rFonts w:cs="Tahoma"/>
        </w:rPr>
        <w:t>;</w:t>
      </w:r>
    </w:p>
    <w:p w14:paraId="12A61A92" w14:textId="77777777" w:rsidR="000D284A" w:rsidRPr="000D284A" w:rsidRDefault="000D284A" w:rsidP="000D284A">
      <w:pPr>
        <w:pStyle w:val="Lijstalinea"/>
        <w:numPr>
          <w:ilvl w:val="1"/>
          <w:numId w:val="26"/>
        </w:numPr>
        <w:tabs>
          <w:tab w:val="left" w:pos="709"/>
        </w:tabs>
        <w:rPr>
          <w:rFonts w:cs="Tahoma"/>
        </w:rPr>
      </w:pPr>
      <w:r w:rsidRPr="000D284A">
        <w:rPr>
          <w:rFonts w:cs="Tahoma"/>
        </w:rPr>
        <w:t xml:space="preserve">Een door de VREG veronderstelde kapitaalkost volgens de tariefmethodologie voor dat jaar </w:t>
      </w:r>
      <w:r w:rsidRPr="008F1DB1">
        <w:rPr>
          <w:rFonts w:cs="Tahoma"/>
          <w:i/>
        </w:rPr>
        <w:t>y</w:t>
      </w:r>
      <w:r w:rsidRPr="000D284A">
        <w:rPr>
          <w:rFonts w:cs="Tahoma"/>
        </w:rPr>
        <w:t xml:space="preserve"> en dit aan de wacc van het jaar vóór vennootschapsbelasting toegepast op de gemiddelde nettoboekwaarde van de activa van de eventuele vervangingsinvestering(en)</w:t>
      </w:r>
      <w:r w:rsidRPr="000D284A">
        <w:rPr>
          <w:rStyle w:val="Voetnootmarkering"/>
          <w:rFonts w:cs="Tahoma"/>
        </w:rPr>
        <w:footnoteReference w:id="41"/>
      </w:r>
      <w:r w:rsidRPr="000D284A">
        <w:rPr>
          <w:rFonts w:cs="Tahoma"/>
        </w:rPr>
        <w:t>;</w:t>
      </w:r>
    </w:p>
    <w:p w14:paraId="0956027A" w14:textId="77777777" w:rsidR="000D284A" w:rsidRPr="000D284A" w:rsidRDefault="000D284A" w:rsidP="000D284A">
      <w:pPr>
        <w:pStyle w:val="Lijstalinea"/>
        <w:numPr>
          <w:ilvl w:val="1"/>
          <w:numId w:val="26"/>
        </w:numPr>
        <w:tabs>
          <w:tab w:val="left" w:pos="709"/>
        </w:tabs>
        <w:rPr>
          <w:rFonts w:cs="Tahoma"/>
        </w:rPr>
      </w:pPr>
      <w:r w:rsidRPr="000D284A">
        <w:rPr>
          <w:rFonts w:cs="Tahoma"/>
        </w:rPr>
        <w:t>De (uitzonderlijke) afschrijvingen van de activa van deze oplaadpunten (zowel m.b.t. de initiële installatie als vervangingsinvestering(en));</w:t>
      </w:r>
    </w:p>
    <w:p w14:paraId="43A9A59D" w14:textId="77777777" w:rsidR="000D284A" w:rsidRPr="000D284A" w:rsidRDefault="000D284A" w:rsidP="000D284A">
      <w:pPr>
        <w:pStyle w:val="Lijstalinea"/>
        <w:numPr>
          <w:ilvl w:val="1"/>
          <w:numId w:val="26"/>
        </w:numPr>
        <w:tabs>
          <w:tab w:val="left" w:pos="709"/>
        </w:tabs>
        <w:rPr>
          <w:rFonts w:cs="Tahoma"/>
        </w:rPr>
      </w:pPr>
      <w:r w:rsidRPr="000D284A">
        <w:rPr>
          <w:rFonts w:cs="Tahoma"/>
        </w:rPr>
        <w:t>De (uitzonderlijke) waardeverminderingen op deze activa (zowel m.b.t. de initiële installatie als vervangingsinvestering(en)), zoals bij een vroegtijdige uitdienstname;</w:t>
      </w:r>
    </w:p>
    <w:p w14:paraId="5E4340B7" w14:textId="77777777" w:rsidR="000D284A" w:rsidRPr="000D284A" w:rsidRDefault="000D284A" w:rsidP="000D284A">
      <w:pPr>
        <w:pStyle w:val="Lijstalinea"/>
        <w:numPr>
          <w:ilvl w:val="1"/>
          <w:numId w:val="26"/>
        </w:numPr>
        <w:tabs>
          <w:tab w:val="left" w:pos="709"/>
        </w:tabs>
        <w:rPr>
          <w:rFonts w:cs="Tahoma"/>
        </w:rPr>
      </w:pPr>
      <w:r w:rsidRPr="000D284A">
        <w:rPr>
          <w:rFonts w:cs="Tahoma"/>
        </w:rPr>
        <w:t>Minderwaarde op de realisatie van de activa (zowel m.b.t. de initiële installatie als vervangingsinvestering(en));</w:t>
      </w:r>
    </w:p>
    <w:p w14:paraId="55168DA9" w14:textId="77777777" w:rsidR="000D284A" w:rsidRPr="000D284A" w:rsidRDefault="000D284A" w:rsidP="000D284A">
      <w:pPr>
        <w:pStyle w:val="Lijstalinea"/>
        <w:numPr>
          <w:ilvl w:val="1"/>
          <w:numId w:val="26"/>
        </w:numPr>
        <w:tabs>
          <w:tab w:val="left" w:pos="709"/>
        </w:tabs>
        <w:rPr>
          <w:rFonts w:cs="Tahoma"/>
        </w:rPr>
      </w:pPr>
      <w:r w:rsidRPr="000D284A">
        <w:rPr>
          <w:rFonts w:cs="Tahoma"/>
        </w:rPr>
        <w:t>De kosten voor de distributienetbeheerder aangerekend door de opdrachtnemer voor de plaatsing en het onderhoud van de oplaadpunten, in het geval er geen gunning kon plaatsvinden voor zowel de plaatsing, het onderhoud en de exploitatie van de oplaadpunten</w:t>
      </w:r>
      <w:r w:rsidRPr="000D284A">
        <w:rPr>
          <w:rStyle w:val="Voetnootmarkering"/>
          <w:rFonts w:cs="Tahoma"/>
        </w:rPr>
        <w:footnoteReference w:id="42"/>
      </w:r>
      <w:r w:rsidRPr="000D284A">
        <w:rPr>
          <w:rFonts w:cs="Tahoma"/>
        </w:rPr>
        <w:t xml:space="preserve"> (zowel m.b.t. de initiële installatie als vervangingsinvestering(en)).</w:t>
      </w:r>
    </w:p>
    <w:p w14:paraId="5D457CC9" w14:textId="77777777" w:rsidR="000D284A" w:rsidRPr="000D284A" w:rsidRDefault="000D284A" w:rsidP="000D284A">
      <w:pPr>
        <w:pStyle w:val="Lijstalinea"/>
        <w:numPr>
          <w:ilvl w:val="0"/>
          <w:numId w:val="26"/>
        </w:numPr>
        <w:tabs>
          <w:tab w:val="left" w:pos="709"/>
        </w:tabs>
        <w:rPr>
          <w:rFonts w:cs="Tahoma"/>
        </w:rPr>
      </w:pPr>
      <w:r w:rsidRPr="000D284A">
        <w:rPr>
          <w:rFonts w:cs="Tahoma"/>
        </w:rPr>
        <w:t>Volgende opbrengsten, in min:</w:t>
      </w:r>
    </w:p>
    <w:p w14:paraId="4DD1168B" w14:textId="77777777" w:rsidR="000D284A" w:rsidRPr="000D284A" w:rsidRDefault="000D284A" w:rsidP="000D284A">
      <w:pPr>
        <w:pStyle w:val="Lijstalinea"/>
        <w:numPr>
          <w:ilvl w:val="1"/>
          <w:numId w:val="26"/>
        </w:numPr>
        <w:tabs>
          <w:tab w:val="left" w:pos="709"/>
        </w:tabs>
        <w:rPr>
          <w:rFonts w:cs="Tahoma"/>
        </w:rPr>
      </w:pPr>
      <w:r w:rsidRPr="000D284A">
        <w:rPr>
          <w:rFonts w:cs="Tahoma"/>
        </w:rPr>
        <w:t>De ontvangsten van de distributienetbeheerder van de opdrachtnemer voor de exploitatie van de oplaadpunten</w:t>
      </w:r>
      <w:r w:rsidRPr="000D284A">
        <w:rPr>
          <w:rStyle w:val="Voetnootmarkering"/>
          <w:rFonts w:cs="Tahoma"/>
        </w:rPr>
        <w:footnoteReference w:id="43"/>
      </w:r>
      <w:r w:rsidRPr="000D284A">
        <w:rPr>
          <w:rFonts w:cs="Tahoma"/>
        </w:rPr>
        <w:t xml:space="preserve"> (zowel m.b.t. de initiële installatie als vervangingsinvestering(en));</w:t>
      </w:r>
    </w:p>
    <w:p w14:paraId="695A9F12" w14:textId="77777777" w:rsidR="000D284A" w:rsidRPr="000D284A" w:rsidRDefault="000D284A" w:rsidP="000D284A">
      <w:pPr>
        <w:pStyle w:val="Lijstalinea"/>
        <w:numPr>
          <w:ilvl w:val="1"/>
          <w:numId w:val="26"/>
        </w:numPr>
        <w:tabs>
          <w:tab w:val="left" w:pos="709"/>
        </w:tabs>
        <w:rPr>
          <w:rFonts w:cs="Tahoma"/>
        </w:rPr>
      </w:pPr>
      <w:r w:rsidRPr="000D284A">
        <w:rPr>
          <w:rFonts w:cs="Tahoma"/>
        </w:rPr>
        <w:t>Meerwaarde op de realisatie van de activa (zowel m.b.t. de initiële installatie als vervangingsinvestering(en));</w:t>
      </w:r>
    </w:p>
    <w:p w14:paraId="549567CE" w14:textId="77777777" w:rsidR="000D284A" w:rsidRPr="000D284A" w:rsidRDefault="000D284A" w:rsidP="000D284A">
      <w:pPr>
        <w:pStyle w:val="Lijstalinea"/>
        <w:numPr>
          <w:ilvl w:val="1"/>
          <w:numId w:val="26"/>
        </w:numPr>
        <w:tabs>
          <w:tab w:val="left" w:pos="709"/>
        </w:tabs>
        <w:rPr>
          <w:rFonts w:cs="Tahoma"/>
        </w:rPr>
      </w:pPr>
      <w:r w:rsidRPr="000D284A">
        <w:rPr>
          <w:rFonts w:cs="Tahoma"/>
        </w:rPr>
        <w:t>De eventuele ontvangsten uit de recuperatie van herstellingskosten via de verzekering (zowel m.b.t. de initiële installatie als vervangingsinvestering(en)).</w:t>
      </w:r>
    </w:p>
    <w:p w14:paraId="02BC23C1" w14:textId="77777777" w:rsidR="000D284A" w:rsidRPr="000D284A" w:rsidRDefault="000D284A" w:rsidP="000D284A">
      <w:pPr>
        <w:tabs>
          <w:tab w:val="left" w:pos="709"/>
        </w:tabs>
        <w:rPr>
          <w:rFonts w:cs="Tahoma"/>
        </w:rPr>
      </w:pPr>
      <w:r w:rsidRPr="000D284A">
        <w:rPr>
          <w:rFonts w:cs="Tahoma"/>
        </w:rPr>
        <w:t xml:space="preserve">Het saldo van deze kosten en opbrengsten wordt door de distributienetbeheerder afgezonderd buiten de resultatenrekening in een ‘saldo m.b.t. oplaadpunten voor elektrische voertuigen’ en overgezet naar de overlopende rekeningen op de balans. Dit gebeurt per initieel installatiejaar gedurende elf opeenvolgende jaren, het initieel installatiejaar mee in beschouwing nemende. Voor de oplaadpunten initieel geplaatst in 2016 gebeurt dit aldus voor de jaren 2016 t.e.m. 2026. Voor het laatste installatiejaar 2020 gebeurt dit t.e.m. 2030. </w:t>
      </w:r>
    </w:p>
    <w:p w14:paraId="06B45565" w14:textId="77777777" w:rsidR="000D284A" w:rsidRPr="000D284A" w:rsidRDefault="000D284A" w:rsidP="000D284A">
      <w:pPr>
        <w:tabs>
          <w:tab w:val="left" w:pos="709"/>
        </w:tabs>
        <w:rPr>
          <w:rFonts w:cs="Tahoma"/>
        </w:rPr>
      </w:pPr>
    </w:p>
    <w:p w14:paraId="4F3CB299" w14:textId="49662AF8" w:rsidR="000D284A" w:rsidRPr="000D284A" w:rsidRDefault="000D284A" w:rsidP="000D284A">
      <w:pPr>
        <w:tabs>
          <w:tab w:val="left" w:pos="709"/>
        </w:tabs>
        <w:rPr>
          <w:rFonts w:cs="Tahoma"/>
        </w:rPr>
      </w:pPr>
      <w:r w:rsidRPr="000D284A">
        <w:rPr>
          <w:rFonts w:cs="Tahoma"/>
        </w:rPr>
        <w:t>De VREG berekent vervolgens elf jaar na het initiële installatiejaar het over alle oplaadpunten bij de distributienetbeheerders gewogen gemiddelde rendement per oplaadpunt geïnstalleerd in dat jaar en in opdracht van de distributienetbeheerder volgens</w:t>
      </w:r>
      <w:r w:rsidR="006069C2">
        <w:rPr>
          <w:rFonts w:cs="Tahoma"/>
        </w:rPr>
        <w:t xml:space="preserve"> </w:t>
      </w:r>
      <w:r w:rsidR="006069C2" w:rsidRPr="006069C2">
        <w:rPr>
          <w:rFonts w:cs="Tahoma"/>
        </w:rPr>
        <w:fldChar w:fldCharType="begin"/>
      </w:r>
      <w:r w:rsidR="006069C2" w:rsidRPr="006069C2">
        <w:rPr>
          <w:rFonts w:cs="Tahoma"/>
        </w:rPr>
        <w:instrText xml:space="preserve"> REF _Ref454359126 \h  \* MERGEFORMAT </w:instrText>
      </w:r>
      <w:r w:rsidR="006069C2" w:rsidRPr="006069C2">
        <w:rPr>
          <w:rFonts w:cs="Tahoma"/>
        </w:rPr>
      </w:r>
      <w:r w:rsidR="006069C2" w:rsidRPr="006069C2">
        <w:rPr>
          <w:rFonts w:cs="Tahoma"/>
        </w:rPr>
        <w:fldChar w:fldCharType="separate"/>
      </w:r>
      <w:r w:rsidR="006069C2" w:rsidRPr="006069C2">
        <w:t xml:space="preserve">formule </w:t>
      </w:r>
      <w:r w:rsidR="006069C2" w:rsidRPr="006069C2">
        <w:rPr>
          <w:noProof/>
        </w:rPr>
        <w:t>16</w:t>
      </w:r>
      <w:r w:rsidR="006069C2" w:rsidRPr="006069C2">
        <w:rPr>
          <w:rFonts w:cs="Tahoma"/>
        </w:rPr>
        <w:fldChar w:fldCharType="end"/>
      </w:r>
      <w:r w:rsidRPr="006069C2">
        <w:rPr>
          <w:rFonts w:cs="Tahoma"/>
        </w:rPr>
        <w:t>.</w:t>
      </w:r>
    </w:p>
    <w:p w14:paraId="669C7D2C" w14:textId="77777777" w:rsidR="000D284A" w:rsidRPr="000D284A" w:rsidRDefault="000D284A" w:rsidP="000D284A">
      <w:pPr>
        <w:tabs>
          <w:tab w:val="left" w:pos="709"/>
        </w:tabs>
        <w:rPr>
          <w:rFonts w:cs="Tahoma"/>
        </w:rPr>
      </w:pPr>
    </w:p>
    <w:p w14:paraId="1C7AFD98" w14:textId="77777777" w:rsidR="000D284A" w:rsidRPr="000D284A" w:rsidRDefault="000D284A" w:rsidP="000D284A">
      <w:pPr>
        <w:keepNext/>
        <w:pBdr>
          <w:top w:val="dotted" w:sz="4" w:space="1" w:color="auto"/>
          <w:left w:val="dotted" w:sz="4" w:space="4" w:color="auto"/>
          <w:bottom w:val="dotted" w:sz="4" w:space="1" w:color="auto"/>
          <w:right w:val="dotted" w:sz="4" w:space="4" w:color="auto"/>
        </w:pBdr>
        <w:tabs>
          <w:tab w:val="left" w:pos="709"/>
        </w:tabs>
        <w:jc w:val="center"/>
        <w:rPr>
          <w:rFonts w:cs="Tahoma"/>
        </w:rPr>
      </w:pPr>
      <w:r w:rsidRPr="000D284A">
        <w:rPr>
          <w:rFonts w:cs="Tahoma"/>
          <w:position w:val="-62"/>
        </w:rPr>
        <w:object w:dxaOrig="4540" w:dyaOrig="1359" w14:anchorId="6FA205FD">
          <v:shape id="_x0000_i1028" type="#_x0000_t75" style="width:227pt;height:67.95pt" o:ole="">
            <v:imagedata r:id="rId26" o:title=""/>
          </v:shape>
          <o:OLEObject Type="Embed" ProgID="Equation.3" ShapeID="_x0000_i1028" DrawAspect="Content" ObjectID="_1528638247" r:id="rId27"/>
        </w:object>
      </w:r>
    </w:p>
    <w:p w14:paraId="45E7FBB3" w14:textId="77777777" w:rsidR="000D284A" w:rsidRPr="000D284A" w:rsidRDefault="000D284A" w:rsidP="000D284A">
      <w:pPr>
        <w:pStyle w:val="Bijschrift"/>
        <w:jc w:val="right"/>
        <w:rPr>
          <w:rFonts w:cs="Tahoma"/>
          <w:b w:val="0"/>
          <w:i/>
        </w:rPr>
      </w:pPr>
      <w:bookmarkStart w:id="383" w:name="_Ref454359126"/>
      <w:r w:rsidRPr="000D284A">
        <w:rPr>
          <w:b w:val="0"/>
          <w:i/>
        </w:rPr>
        <w:t xml:space="preserve">formule </w:t>
      </w:r>
      <w:r w:rsidRPr="000D284A">
        <w:rPr>
          <w:b w:val="0"/>
          <w:i/>
        </w:rPr>
        <w:fldChar w:fldCharType="begin"/>
      </w:r>
      <w:r w:rsidRPr="000D284A">
        <w:rPr>
          <w:b w:val="0"/>
          <w:i/>
        </w:rPr>
        <w:instrText xml:space="preserve"> SEQ formule \* ARABIC </w:instrText>
      </w:r>
      <w:r w:rsidRPr="000D284A">
        <w:rPr>
          <w:b w:val="0"/>
          <w:i/>
        </w:rPr>
        <w:fldChar w:fldCharType="separate"/>
      </w:r>
      <w:r w:rsidR="00BD536B">
        <w:rPr>
          <w:b w:val="0"/>
          <w:i/>
          <w:noProof/>
        </w:rPr>
        <w:t>16</w:t>
      </w:r>
      <w:r w:rsidRPr="000D284A">
        <w:rPr>
          <w:b w:val="0"/>
          <w:i/>
        </w:rPr>
        <w:fldChar w:fldCharType="end"/>
      </w:r>
      <w:bookmarkEnd w:id="383"/>
    </w:p>
    <w:p w14:paraId="27E510D0" w14:textId="77777777" w:rsidR="000D284A" w:rsidRPr="000D284A" w:rsidRDefault="000D284A" w:rsidP="000D284A">
      <w:pPr>
        <w:tabs>
          <w:tab w:val="left" w:pos="709"/>
        </w:tabs>
        <w:rPr>
          <w:rFonts w:cs="Tahoma"/>
        </w:rPr>
      </w:pPr>
      <w:r w:rsidRPr="000D284A">
        <w:rPr>
          <w:rFonts w:cs="Tahoma"/>
        </w:rPr>
        <w:t>Met hierin:</w:t>
      </w:r>
    </w:p>
    <w:p w14:paraId="19C2B7CF" w14:textId="77777777" w:rsidR="000D284A" w:rsidRPr="000D284A" w:rsidRDefault="000D284A" w:rsidP="000D284A">
      <w:pPr>
        <w:tabs>
          <w:tab w:val="left" w:pos="709"/>
        </w:tabs>
        <w:rPr>
          <w:rFonts w:cs="Tahoma"/>
        </w:rPr>
      </w:pPr>
    </w:p>
    <w:p w14:paraId="5E12352C" w14:textId="77777777" w:rsidR="000D284A" w:rsidRPr="000D284A" w:rsidRDefault="000D284A" w:rsidP="000D284A">
      <w:pPr>
        <w:tabs>
          <w:tab w:val="left" w:pos="1418"/>
        </w:tabs>
        <w:ind w:left="1418" w:hanging="710"/>
        <w:rPr>
          <w:rFonts w:cs="Tahoma"/>
        </w:rPr>
      </w:pPr>
      <w:r w:rsidRPr="008F1DB1">
        <w:rPr>
          <w:rFonts w:cs="Tahoma"/>
          <w:i/>
        </w:rPr>
        <w:t>R</w:t>
      </w:r>
      <w:r w:rsidRPr="008F1DB1">
        <w:rPr>
          <w:rFonts w:cs="Tahoma"/>
          <w:i/>
          <w:vertAlign w:val="subscript"/>
        </w:rPr>
        <w:t>j,6.4.2</w:t>
      </w:r>
      <w:r w:rsidRPr="000D284A">
        <w:rPr>
          <w:rFonts w:cs="Tahoma"/>
        </w:rPr>
        <w:tab/>
        <w:t>Het gewogen gemiddelde rendement per oplaadpunt van de oplaadpunten initieel geïnstalleerd in opdracht van de elektriciteitsdistributienetbeheerders volgens art. 6.4.2 van het Energiebesluit in het jaar j. (EUR)</w:t>
      </w:r>
    </w:p>
    <w:p w14:paraId="7B8EC2EE" w14:textId="77777777" w:rsidR="000D284A" w:rsidRPr="000D284A" w:rsidRDefault="000D284A" w:rsidP="000D284A">
      <w:pPr>
        <w:tabs>
          <w:tab w:val="left" w:pos="1134"/>
        </w:tabs>
        <w:ind w:left="1842" w:hanging="1134"/>
        <w:rPr>
          <w:rFonts w:cs="Tahoma"/>
        </w:rPr>
      </w:pPr>
    </w:p>
    <w:p w14:paraId="2ED91E85" w14:textId="77777777" w:rsidR="000D284A" w:rsidRPr="000D284A" w:rsidRDefault="000D284A" w:rsidP="000D284A">
      <w:pPr>
        <w:tabs>
          <w:tab w:val="left" w:pos="1418"/>
        </w:tabs>
        <w:ind w:left="1418" w:hanging="710"/>
        <w:rPr>
          <w:rFonts w:cs="Tahoma"/>
        </w:rPr>
      </w:pPr>
      <w:r w:rsidRPr="008F1DB1">
        <w:rPr>
          <w:rFonts w:cs="Tahoma"/>
          <w:i/>
        </w:rPr>
        <w:t>j</w:t>
      </w:r>
      <w:r w:rsidRPr="000D284A">
        <w:rPr>
          <w:rFonts w:cs="Tahoma"/>
        </w:rPr>
        <w:tab/>
        <w:t xml:space="preserve">Het jaar </w:t>
      </w:r>
      <w:r w:rsidRPr="008F1DB1">
        <w:rPr>
          <w:rFonts w:cs="Tahoma"/>
          <w:i/>
        </w:rPr>
        <w:t>j</w:t>
      </w:r>
      <w:r w:rsidRPr="000D284A">
        <w:rPr>
          <w:rFonts w:cs="Tahoma"/>
        </w:rPr>
        <w:t xml:space="preserve"> van initiële installatie van oplaadpunten in opdracht van de elektriciteitsdistributienetbeheerder volgens art. 6.4.2 van het Energiebesluit. (-)</w:t>
      </w:r>
    </w:p>
    <w:p w14:paraId="5A74AA1C" w14:textId="77777777" w:rsidR="000D284A" w:rsidRPr="000D284A" w:rsidRDefault="000D284A" w:rsidP="000D284A">
      <w:pPr>
        <w:tabs>
          <w:tab w:val="left" w:pos="1134"/>
        </w:tabs>
        <w:ind w:left="708"/>
        <w:rPr>
          <w:rFonts w:cs="Tahoma"/>
        </w:rPr>
      </w:pPr>
    </w:p>
    <w:p w14:paraId="48AECD30" w14:textId="77777777" w:rsidR="000D284A" w:rsidRPr="000D284A" w:rsidRDefault="000D284A" w:rsidP="000D284A">
      <w:pPr>
        <w:tabs>
          <w:tab w:val="left" w:pos="1418"/>
        </w:tabs>
        <w:ind w:left="1418" w:hanging="710"/>
        <w:rPr>
          <w:rFonts w:cs="Tahoma"/>
        </w:rPr>
      </w:pPr>
      <w:r w:rsidRPr="008F1DB1">
        <w:rPr>
          <w:rFonts w:cs="Tahoma"/>
          <w:i/>
        </w:rPr>
        <w:t>n</w:t>
      </w:r>
      <w:r w:rsidRPr="000D284A">
        <w:rPr>
          <w:rFonts w:cs="Tahoma"/>
        </w:rPr>
        <w:tab/>
        <w:t>Het aantal elektriciteitsdistributienetbeheerders. (-)</w:t>
      </w:r>
    </w:p>
    <w:p w14:paraId="75027C2E" w14:textId="77777777" w:rsidR="000D284A" w:rsidRPr="000D284A" w:rsidRDefault="000D284A" w:rsidP="000D284A">
      <w:pPr>
        <w:tabs>
          <w:tab w:val="left" w:pos="1134"/>
        </w:tabs>
        <w:ind w:left="708"/>
        <w:rPr>
          <w:rFonts w:cs="Tahoma"/>
        </w:rPr>
      </w:pPr>
    </w:p>
    <w:p w14:paraId="7B62F76E" w14:textId="4C7F5F67" w:rsidR="000D284A" w:rsidRPr="006069C2" w:rsidRDefault="000D284A" w:rsidP="000D284A">
      <w:pPr>
        <w:tabs>
          <w:tab w:val="left" w:pos="1418"/>
        </w:tabs>
        <w:ind w:left="1418" w:hanging="710"/>
        <w:rPr>
          <w:rFonts w:cs="Tahoma"/>
        </w:rPr>
      </w:pPr>
      <w:r w:rsidRPr="008F1DB1">
        <w:rPr>
          <w:rFonts w:cs="Tahoma"/>
          <w:i/>
        </w:rPr>
        <w:t>S</w:t>
      </w:r>
      <w:r w:rsidRPr="008F1DB1">
        <w:rPr>
          <w:rFonts w:cs="Tahoma"/>
          <w:i/>
          <w:vertAlign w:val="subscript"/>
        </w:rPr>
        <w:t>i,j,6.4.2</w:t>
      </w:r>
      <w:r w:rsidRPr="000D284A">
        <w:rPr>
          <w:rFonts w:cs="Tahoma"/>
        </w:rPr>
        <w:tab/>
        <w:t xml:space="preserve">Het globaal saldo van distributienetbeheerder </w:t>
      </w:r>
      <w:r w:rsidRPr="008F1DB1">
        <w:rPr>
          <w:rFonts w:cs="Tahoma"/>
          <w:i/>
        </w:rPr>
        <w:t>i</w:t>
      </w:r>
      <w:r w:rsidRPr="000D284A">
        <w:rPr>
          <w:rFonts w:cs="Tahoma"/>
        </w:rPr>
        <w:t xml:space="preserve"> m.b.t. oplaadpunten voor elektrische voertuigen in zijn opdracht initieel geïnstalleerd in het jaar </w:t>
      </w:r>
      <w:r w:rsidRPr="008F1DB1">
        <w:rPr>
          <w:rFonts w:cs="Tahoma"/>
          <w:i/>
        </w:rPr>
        <w:t>j</w:t>
      </w:r>
      <w:r w:rsidRPr="000D284A">
        <w:rPr>
          <w:rFonts w:cs="Tahoma"/>
        </w:rPr>
        <w:t xml:space="preserve"> volgens art. 6.4.2 van het Energiebesluit, opgebouwd vanaf jaar </w:t>
      </w:r>
      <w:r w:rsidRPr="008F1DB1">
        <w:rPr>
          <w:rFonts w:cs="Tahoma"/>
          <w:i/>
        </w:rPr>
        <w:t>j</w:t>
      </w:r>
      <w:r w:rsidRPr="000D284A">
        <w:rPr>
          <w:rFonts w:cs="Tahoma"/>
        </w:rPr>
        <w:t xml:space="preserve"> tot en met jaar </w:t>
      </w:r>
      <w:r w:rsidRPr="008F1DB1">
        <w:rPr>
          <w:rFonts w:cs="Tahoma"/>
          <w:i/>
        </w:rPr>
        <w:t>j+10</w:t>
      </w:r>
      <w:r w:rsidRPr="000D284A">
        <w:rPr>
          <w:rFonts w:cs="Tahoma"/>
        </w:rPr>
        <w:t xml:space="preserve">. Het voor elk jaar gerapporteerde saldo (zie bijlage 6 van de tariefmethodologie) wordt daartoe eerst omgerekend naar huidige waarde volgens de consumptieprijsindex van de maand juli van dat jaar naar de index van de maand juli van het jaar </w:t>
      </w:r>
      <w:r w:rsidRPr="008F1DB1">
        <w:rPr>
          <w:rFonts w:cs="Tahoma"/>
          <w:i/>
        </w:rPr>
        <w:t>j+11</w:t>
      </w:r>
      <w:r w:rsidRPr="000D284A">
        <w:rPr>
          <w:rFonts w:cs="Tahoma"/>
        </w:rPr>
        <w:t xml:space="preserve"> volgens</w:t>
      </w:r>
      <w:r w:rsidR="006069C2">
        <w:rPr>
          <w:rFonts w:cs="Tahoma"/>
        </w:rPr>
        <w:t xml:space="preserve"> </w:t>
      </w:r>
      <w:r w:rsidR="006069C2" w:rsidRPr="006069C2">
        <w:rPr>
          <w:rFonts w:cs="Tahoma"/>
        </w:rPr>
        <w:fldChar w:fldCharType="begin"/>
      </w:r>
      <w:r w:rsidR="006069C2" w:rsidRPr="006069C2">
        <w:rPr>
          <w:rFonts w:cs="Tahoma"/>
        </w:rPr>
        <w:instrText xml:space="preserve"> REF _Ref454359107 \h  \* MERGEFORMAT </w:instrText>
      </w:r>
      <w:r w:rsidR="006069C2" w:rsidRPr="006069C2">
        <w:rPr>
          <w:rFonts w:cs="Tahoma"/>
        </w:rPr>
      </w:r>
      <w:r w:rsidR="006069C2" w:rsidRPr="006069C2">
        <w:rPr>
          <w:rFonts w:cs="Tahoma"/>
        </w:rPr>
        <w:fldChar w:fldCharType="separate"/>
      </w:r>
      <w:r w:rsidR="006069C2" w:rsidRPr="006069C2">
        <w:t xml:space="preserve">formule </w:t>
      </w:r>
      <w:r w:rsidR="006069C2" w:rsidRPr="006069C2">
        <w:rPr>
          <w:noProof/>
        </w:rPr>
        <w:t>17</w:t>
      </w:r>
      <w:r w:rsidR="006069C2" w:rsidRPr="006069C2">
        <w:rPr>
          <w:rFonts w:cs="Tahoma"/>
        </w:rPr>
        <w:fldChar w:fldCharType="end"/>
      </w:r>
      <w:r w:rsidRPr="006069C2">
        <w:rPr>
          <w:rFonts w:cs="Tahoma"/>
        </w:rPr>
        <w:t>. (EUR)</w:t>
      </w:r>
    </w:p>
    <w:p w14:paraId="1EBB2795" w14:textId="77777777" w:rsidR="000D284A" w:rsidRPr="000D284A" w:rsidRDefault="000D284A" w:rsidP="000D284A">
      <w:pPr>
        <w:tabs>
          <w:tab w:val="left" w:pos="1418"/>
        </w:tabs>
        <w:ind w:left="1418" w:hanging="710"/>
        <w:rPr>
          <w:rFonts w:cs="Tahoma"/>
        </w:rPr>
      </w:pPr>
    </w:p>
    <w:p w14:paraId="0CEA32E8" w14:textId="77777777" w:rsidR="000D284A" w:rsidRPr="000D284A" w:rsidRDefault="000D284A" w:rsidP="000D284A">
      <w:pPr>
        <w:pStyle w:val="StijlStijlBijschriftCambriaMathNietVetCursiefVet"/>
        <w:keepNext/>
        <w:pBdr>
          <w:top w:val="dotted" w:sz="4" w:space="1" w:color="auto"/>
          <w:left w:val="dotted" w:sz="4" w:space="4" w:color="auto"/>
          <w:bottom w:val="dotted" w:sz="4" w:space="1" w:color="auto"/>
          <w:right w:val="dotted" w:sz="4" w:space="4" w:color="auto"/>
        </w:pBdr>
        <w:ind w:left="1418"/>
        <w:jc w:val="center"/>
        <w:rPr>
          <w:rFonts w:ascii="Tahoma" w:hAnsi="Tahoma" w:cs="Tahoma"/>
        </w:rPr>
      </w:pPr>
      <w:r w:rsidRPr="000D284A">
        <w:rPr>
          <w:rFonts w:ascii="Tahoma" w:eastAsia="Tahoma" w:hAnsi="Tahoma" w:cs="Tahoma"/>
          <w:position w:val="-32"/>
        </w:rPr>
        <w:object w:dxaOrig="4140" w:dyaOrig="760" w14:anchorId="35CCB68B">
          <v:shape id="_x0000_i1029" type="#_x0000_t75" style="width:207pt;height:38pt" o:ole="">
            <v:imagedata r:id="rId28" o:title=""/>
          </v:shape>
          <o:OLEObject Type="Embed" ProgID="Equation.3" ShapeID="_x0000_i1029" DrawAspect="Content" ObjectID="_1528638248" r:id="rId29"/>
        </w:object>
      </w:r>
    </w:p>
    <w:p w14:paraId="6FAFEAD9" w14:textId="77777777" w:rsidR="000D284A" w:rsidRPr="000D284A" w:rsidRDefault="000D284A" w:rsidP="000D284A">
      <w:pPr>
        <w:pStyle w:val="Bijschrift"/>
        <w:jc w:val="right"/>
        <w:rPr>
          <w:rFonts w:cs="Tahoma"/>
          <w:b w:val="0"/>
          <w:i/>
        </w:rPr>
      </w:pPr>
      <w:bookmarkStart w:id="384" w:name="_Ref454359107"/>
      <w:r w:rsidRPr="000D284A">
        <w:rPr>
          <w:b w:val="0"/>
          <w:i/>
        </w:rPr>
        <w:t xml:space="preserve">formule </w:t>
      </w:r>
      <w:r w:rsidRPr="000D284A">
        <w:rPr>
          <w:b w:val="0"/>
          <w:i/>
        </w:rPr>
        <w:fldChar w:fldCharType="begin"/>
      </w:r>
      <w:r w:rsidRPr="000D284A">
        <w:rPr>
          <w:b w:val="0"/>
          <w:i/>
        </w:rPr>
        <w:instrText xml:space="preserve"> SEQ formule \* ARABIC </w:instrText>
      </w:r>
      <w:r w:rsidRPr="000D284A">
        <w:rPr>
          <w:b w:val="0"/>
          <w:i/>
        </w:rPr>
        <w:fldChar w:fldCharType="separate"/>
      </w:r>
      <w:r w:rsidR="00BD536B">
        <w:rPr>
          <w:b w:val="0"/>
          <w:i/>
          <w:noProof/>
        </w:rPr>
        <w:t>17</w:t>
      </w:r>
      <w:r w:rsidRPr="000D284A">
        <w:rPr>
          <w:b w:val="0"/>
          <w:i/>
        </w:rPr>
        <w:fldChar w:fldCharType="end"/>
      </w:r>
      <w:bookmarkEnd w:id="384"/>
    </w:p>
    <w:p w14:paraId="62D15F22" w14:textId="77777777" w:rsidR="000D284A" w:rsidRPr="000D284A" w:rsidRDefault="000D284A" w:rsidP="000D284A">
      <w:pPr>
        <w:tabs>
          <w:tab w:val="left" w:pos="709"/>
        </w:tabs>
        <w:ind w:left="1416"/>
        <w:rPr>
          <w:rFonts w:cs="Tahoma"/>
        </w:rPr>
      </w:pPr>
      <w:r w:rsidRPr="000D284A">
        <w:rPr>
          <w:rFonts w:cs="Tahoma"/>
        </w:rPr>
        <w:t xml:space="preserve">Met hierin: </w:t>
      </w:r>
    </w:p>
    <w:p w14:paraId="153B9171" w14:textId="77777777" w:rsidR="000D284A" w:rsidRPr="000D284A" w:rsidRDefault="000D284A" w:rsidP="000D284A">
      <w:pPr>
        <w:tabs>
          <w:tab w:val="left" w:pos="709"/>
        </w:tabs>
        <w:ind w:left="1416"/>
        <w:rPr>
          <w:rFonts w:cs="Tahoma"/>
        </w:rPr>
      </w:pPr>
    </w:p>
    <w:p w14:paraId="294759B8" w14:textId="77777777" w:rsidR="000D284A" w:rsidRPr="000D284A" w:rsidRDefault="000D284A" w:rsidP="000D284A">
      <w:pPr>
        <w:tabs>
          <w:tab w:val="left" w:pos="709"/>
        </w:tabs>
        <w:ind w:left="2835" w:hanging="1417"/>
        <w:rPr>
          <w:rFonts w:cs="Tahoma"/>
        </w:rPr>
      </w:pPr>
      <w:r w:rsidRPr="008F1DB1">
        <w:rPr>
          <w:rFonts w:cs="Tahoma"/>
          <w:i/>
        </w:rPr>
        <w:t>s</w:t>
      </w:r>
      <w:r w:rsidRPr="008F1DB1">
        <w:rPr>
          <w:rFonts w:cs="Tahoma"/>
          <w:i/>
          <w:vertAlign w:val="subscript"/>
        </w:rPr>
        <w:t>i,y/j,6.4.2</w:t>
      </w:r>
      <w:r w:rsidRPr="000D284A">
        <w:rPr>
          <w:rFonts w:cs="Tahoma"/>
        </w:rPr>
        <w:tab/>
        <w:t xml:space="preserve">Saldo van de kosten en opbrengsten van distributienetbeheerder </w:t>
      </w:r>
      <w:r w:rsidRPr="008F1DB1">
        <w:rPr>
          <w:rFonts w:cs="Tahoma"/>
          <w:i/>
        </w:rPr>
        <w:t>i</w:t>
      </w:r>
      <w:r w:rsidRPr="000D284A">
        <w:rPr>
          <w:rFonts w:cs="Tahoma"/>
        </w:rPr>
        <w:t xml:space="preserve"> in jaar </w:t>
      </w:r>
      <w:r w:rsidRPr="008F1DB1">
        <w:rPr>
          <w:rFonts w:cs="Tahoma"/>
          <w:i/>
        </w:rPr>
        <w:t>y</w:t>
      </w:r>
      <w:r w:rsidRPr="000D284A">
        <w:rPr>
          <w:rFonts w:cs="Tahoma"/>
        </w:rPr>
        <w:t xml:space="preserve"> m.b.t. oplaadpunten voor elektrische voertuigen in zijn opdracht initieel geïnstalleerd in jaar </w:t>
      </w:r>
      <w:r w:rsidRPr="008F1DB1">
        <w:rPr>
          <w:rFonts w:cs="Tahoma"/>
          <w:i/>
        </w:rPr>
        <w:t>j</w:t>
      </w:r>
      <w:r w:rsidRPr="000D284A">
        <w:rPr>
          <w:rFonts w:cs="Tahoma"/>
        </w:rPr>
        <w:t xml:space="preserve"> volgens art. 6.4.2 van het Energiebesluit, zoals hierboven gespecifieerd. (EUR)</w:t>
      </w:r>
    </w:p>
    <w:p w14:paraId="3149AE21" w14:textId="77777777" w:rsidR="000D284A" w:rsidRPr="000D284A" w:rsidRDefault="000D284A" w:rsidP="000D284A">
      <w:pPr>
        <w:tabs>
          <w:tab w:val="left" w:pos="709"/>
        </w:tabs>
        <w:ind w:left="1416"/>
        <w:rPr>
          <w:rFonts w:cs="Tahoma"/>
        </w:rPr>
      </w:pPr>
    </w:p>
    <w:p w14:paraId="72A9E9FF" w14:textId="77777777" w:rsidR="000D284A" w:rsidRPr="000D284A" w:rsidRDefault="000D284A" w:rsidP="000D284A">
      <w:pPr>
        <w:tabs>
          <w:tab w:val="left" w:pos="709"/>
        </w:tabs>
        <w:ind w:left="2835" w:hanging="1417"/>
        <w:rPr>
          <w:rFonts w:cs="Tahoma"/>
        </w:rPr>
      </w:pPr>
      <w:r w:rsidRPr="008F1DB1">
        <w:rPr>
          <w:rFonts w:cs="Tahoma"/>
          <w:i/>
        </w:rPr>
        <w:t>CPI</w:t>
      </w:r>
      <w:r w:rsidRPr="008F1DB1">
        <w:rPr>
          <w:rFonts w:cs="Tahoma"/>
          <w:i/>
          <w:vertAlign w:val="subscript"/>
        </w:rPr>
        <w:t>z</w:t>
      </w:r>
      <w:r w:rsidRPr="008F1DB1">
        <w:rPr>
          <w:rFonts w:ascii="Arial" w:hAnsi="Arial" w:cs="Arial"/>
          <w:i/>
          <w:vertAlign w:val="subscript"/>
        </w:rPr>
        <w:t>→</w:t>
      </w:r>
      <w:r w:rsidRPr="008F1DB1">
        <w:rPr>
          <w:rFonts w:cs="Tahoma"/>
          <w:i/>
          <w:vertAlign w:val="subscript"/>
        </w:rPr>
        <w:t>z+1</w:t>
      </w:r>
      <w:r w:rsidRPr="000D284A">
        <w:rPr>
          <w:rFonts w:cs="Tahoma"/>
        </w:rPr>
        <w:tab/>
        <w:t xml:space="preserve">De inflatie volgens de evolutie van de consumptieprijsindex, de maand juli in jaar </w:t>
      </w:r>
      <w:r w:rsidRPr="008F1DB1">
        <w:rPr>
          <w:rFonts w:cs="Tahoma"/>
          <w:i/>
        </w:rPr>
        <w:t>z+1</w:t>
      </w:r>
      <w:r w:rsidRPr="000D284A">
        <w:rPr>
          <w:rFonts w:cs="Tahoma"/>
        </w:rPr>
        <w:t xml:space="preserve"> t.o.v. de maand juli in jaar </w:t>
      </w:r>
      <w:r w:rsidRPr="008F1DB1">
        <w:rPr>
          <w:rFonts w:cs="Tahoma"/>
          <w:i/>
        </w:rPr>
        <w:t>z</w:t>
      </w:r>
      <w:r w:rsidRPr="000D284A">
        <w:rPr>
          <w:rFonts w:cs="Tahoma"/>
        </w:rPr>
        <w:t>.</w:t>
      </w:r>
    </w:p>
    <w:p w14:paraId="7B82DCCF" w14:textId="77777777" w:rsidR="000D284A" w:rsidRPr="000D284A" w:rsidRDefault="000D284A" w:rsidP="000D284A">
      <w:pPr>
        <w:tabs>
          <w:tab w:val="left" w:pos="709"/>
        </w:tabs>
        <w:ind w:left="708"/>
        <w:rPr>
          <w:rFonts w:cs="Tahoma"/>
        </w:rPr>
      </w:pPr>
    </w:p>
    <w:p w14:paraId="5C699458" w14:textId="77777777" w:rsidR="008F1DB1" w:rsidRDefault="000D284A" w:rsidP="000D284A">
      <w:pPr>
        <w:tabs>
          <w:tab w:val="left" w:pos="1418"/>
        </w:tabs>
        <w:ind w:left="1418" w:hanging="710"/>
        <w:rPr>
          <w:rFonts w:cs="Tahoma"/>
        </w:rPr>
      </w:pPr>
      <w:r w:rsidRPr="008F1DB1">
        <w:rPr>
          <w:rFonts w:cs="Tahoma"/>
          <w:i/>
        </w:rPr>
        <w:t>L</w:t>
      </w:r>
      <w:r w:rsidRPr="008F1DB1">
        <w:rPr>
          <w:rFonts w:cs="Tahoma"/>
          <w:i/>
          <w:vertAlign w:val="subscript"/>
        </w:rPr>
        <w:t>i,j,6.4.2</w:t>
      </w:r>
      <w:r w:rsidRPr="000D284A">
        <w:rPr>
          <w:rFonts w:cs="Tahoma"/>
        </w:rPr>
        <w:tab/>
        <w:t xml:space="preserve">Het aantal oplaadpunten initieel geïnstalleerd in opdracht van de elektriciteitsdistributienetbeheerder </w:t>
      </w:r>
      <w:r w:rsidRPr="008F1DB1">
        <w:rPr>
          <w:rFonts w:cs="Tahoma"/>
          <w:i/>
        </w:rPr>
        <w:t>i</w:t>
      </w:r>
      <w:r w:rsidRPr="000D284A">
        <w:rPr>
          <w:rFonts w:cs="Tahoma"/>
        </w:rPr>
        <w:t xml:space="preserve"> in jaar </w:t>
      </w:r>
      <w:r w:rsidRPr="008F1DB1">
        <w:rPr>
          <w:rFonts w:cs="Tahoma"/>
          <w:i/>
        </w:rPr>
        <w:t>j</w:t>
      </w:r>
      <w:r w:rsidRPr="000D284A">
        <w:rPr>
          <w:rFonts w:cs="Tahoma"/>
        </w:rPr>
        <w:t xml:space="preserve"> volgens art. 6.4.2 van het Energiebesluit. (-)</w:t>
      </w:r>
    </w:p>
    <w:p w14:paraId="665DF718" w14:textId="596CE376" w:rsidR="000D284A" w:rsidRPr="000D284A" w:rsidRDefault="000D284A" w:rsidP="000D284A">
      <w:pPr>
        <w:tabs>
          <w:tab w:val="left" w:pos="1418"/>
        </w:tabs>
        <w:ind w:left="1418" w:hanging="710"/>
        <w:rPr>
          <w:rFonts w:cs="Tahoma"/>
        </w:rPr>
      </w:pPr>
      <w:r w:rsidRPr="000D284A">
        <w:rPr>
          <w:rFonts w:cs="Tahoma"/>
        </w:rPr>
        <w:tab/>
      </w:r>
    </w:p>
    <w:p w14:paraId="6C93714E" w14:textId="053AF37C" w:rsidR="000D284A" w:rsidRPr="000D284A" w:rsidRDefault="000D284A" w:rsidP="000D284A">
      <w:pPr>
        <w:tabs>
          <w:tab w:val="left" w:pos="709"/>
        </w:tabs>
        <w:rPr>
          <w:rFonts w:cs="Tahoma"/>
        </w:rPr>
      </w:pPr>
      <w:r w:rsidRPr="000D284A">
        <w:rPr>
          <w:rFonts w:cs="Tahoma"/>
        </w:rPr>
        <w:t xml:space="preserve">De VREG zal bovenstaande berekening volgens </w:t>
      </w:r>
      <w:r w:rsidR="007E43A2" w:rsidRPr="007E43A2">
        <w:rPr>
          <w:rFonts w:cs="Tahoma"/>
        </w:rPr>
        <w:fldChar w:fldCharType="begin"/>
      </w:r>
      <w:r w:rsidR="007E43A2" w:rsidRPr="007E43A2">
        <w:rPr>
          <w:rFonts w:cs="Tahoma"/>
        </w:rPr>
        <w:instrText xml:space="preserve"> REF _Ref454359126 \h  \* MERGEFORMAT </w:instrText>
      </w:r>
      <w:r w:rsidR="007E43A2" w:rsidRPr="007E43A2">
        <w:rPr>
          <w:rFonts w:cs="Tahoma"/>
        </w:rPr>
      </w:r>
      <w:r w:rsidR="007E43A2" w:rsidRPr="007E43A2">
        <w:rPr>
          <w:rFonts w:cs="Tahoma"/>
        </w:rPr>
        <w:fldChar w:fldCharType="separate"/>
      </w:r>
      <w:r w:rsidR="007E43A2" w:rsidRPr="007E43A2">
        <w:t xml:space="preserve">formule </w:t>
      </w:r>
      <w:r w:rsidR="007E43A2" w:rsidRPr="007E43A2">
        <w:rPr>
          <w:noProof/>
        </w:rPr>
        <w:t>16</w:t>
      </w:r>
      <w:r w:rsidR="007E43A2" w:rsidRPr="007E43A2">
        <w:rPr>
          <w:rFonts w:cs="Tahoma"/>
        </w:rPr>
        <w:fldChar w:fldCharType="end"/>
      </w:r>
      <w:r w:rsidR="007E43A2">
        <w:rPr>
          <w:rFonts w:cs="Tahoma"/>
        </w:rPr>
        <w:t xml:space="preserve"> </w:t>
      </w:r>
      <w:r w:rsidRPr="000D284A">
        <w:rPr>
          <w:rFonts w:cs="Tahoma"/>
        </w:rPr>
        <w:t xml:space="preserve">voor de oplaadpunten initieel in opdracht van de distributienetbeheerder geïnstalleerd in het jaar </w:t>
      </w:r>
      <w:r w:rsidRPr="008F1DB1">
        <w:rPr>
          <w:rFonts w:cs="Tahoma"/>
          <w:i/>
        </w:rPr>
        <w:t>j</w:t>
      </w:r>
      <w:r w:rsidRPr="000D284A">
        <w:rPr>
          <w:rFonts w:cs="Tahoma"/>
        </w:rPr>
        <w:t xml:space="preserve"> volgens art. 6.4.2 van het Energiebesluit uitvoeren in jaar </w:t>
      </w:r>
      <w:r w:rsidRPr="008F1DB1">
        <w:rPr>
          <w:rFonts w:cs="Tahoma"/>
          <w:i/>
        </w:rPr>
        <w:t>j+11</w:t>
      </w:r>
      <w:r w:rsidRPr="000D284A">
        <w:rPr>
          <w:rFonts w:cs="Tahoma"/>
        </w:rPr>
        <w:t xml:space="preserve"> op basis van de jaarlijkse rapporteringen van de distributienetbeheerders aan de VREG (volgens bijlage 6 van de tariefmethodologie). De nettokost (of –opbrengst) van de oplaadpunten aan gewogen gemiddelde rendement is voor rekening van de distributienetgebruikers en wordt integraal toegevoegd aan het door de VREG toegelaten niet-exogene inkomen van de distributienetbeheerder uit zijn periodieke distributienettarieven. Het verschil tussen het eigen rendement per oplaadpunt van de distributienetbeheerder en het gewogen gemiddelde rendement is voor 50% voor rekening van de distributienetbeheerder. Tegelijk neemt de distributienetbeheerder het eigen saldo (S</w:t>
      </w:r>
      <w:r w:rsidRPr="000D284A">
        <w:rPr>
          <w:rFonts w:cs="Tahoma"/>
          <w:vertAlign w:val="subscript"/>
        </w:rPr>
        <w:t>i,j,6.4.2</w:t>
      </w:r>
      <w:r w:rsidRPr="000D284A">
        <w:rPr>
          <w:rFonts w:cs="Tahoma"/>
        </w:rPr>
        <w:t xml:space="preserve"> x L</w:t>
      </w:r>
      <w:r w:rsidRPr="000D284A">
        <w:rPr>
          <w:rFonts w:cs="Tahoma"/>
          <w:vertAlign w:val="subscript"/>
        </w:rPr>
        <w:t>i,j,6.4.2</w:t>
      </w:r>
      <w:r w:rsidRPr="000D284A">
        <w:rPr>
          <w:rFonts w:cs="Tahoma"/>
        </w:rPr>
        <w:t xml:space="preserve">) in resultaat in jaar </w:t>
      </w:r>
      <w:r w:rsidRPr="008F1DB1">
        <w:rPr>
          <w:rFonts w:cs="Tahoma"/>
          <w:i/>
        </w:rPr>
        <w:t>j+12</w:t>
      </w:r>
      <w:r w:rsidRPr="000D284A">
        <w:rPr>
          <w:rFonts w:cs="Tahoma"/>
        </w:rPr>
        <w:t>.</w:t>
      </w:r>
    </w:p>
    <w:p w14:paraId="6F6EA3E9" w14:textId="77777777" w:rsidR="000D284A" w:rsidRPr="000D284A" w:rsidRDefault="000D284A" w:rsidP="000D284A">
      <w:pPr>
        <w:tabs>
          <w:tab w:val="left" w:pos="709"/>
        </w:tabs>
        <w:rPr>
          <w:rFonts w:cs="Tahoma"/>
        </w:rPr>
      </w:pPr>
    </w:p>
    <w:p w14:paraId="0293151D" w14:textId="77777777" w:rsidR="000D284A" w:rsidRPr="000D284A" w:rsidRDefault="000D284A" w:rsidP="000D284A">
      <w:pPr>
        <w:pBdr>
          <w:top w:val="dotted" w:sz="4" w:space="1" w:color="auto"/>
          <w:left w:val="dotted" w:sz="4" w:space="4" w:color="auto"/>
          <w:bottom w:val="dotted" w:sz="4" w:space="1" w:color="auto"/>
          <w:right w:val="dotted" w:sz="4" w:space="4" w:color="auto"/>
        </w:pBdr>
        <w:tabs>
          <w:tab w:val="left" w:pos="709"/>
        </w:tabs>
        <w:jc w:val="center"/>
        <w:rPr>
          <w:rFonts w:cs="Tahoma"/>
        </w:rPr>
      </w:pPr>
      <w:r w:rsidRPr="000D284A">
        <w:rPr>
          <w:rFonts w:cs="Tahoma"/>
          <w:position w:val="-30"/>
        </w:rPr>
        <w:object w:dxaOrig="4560" w:dyaOrig="720" w14:anchorId="0983C140">
          <v:shape id="_x0000_i1030" type="#_x0000_t75" style="width:228pt;height:36.6pt" o:ole="" o:allowoverlap="f">
            <v:imagedata r:id="rId30" o:title=""/>
          </v:shape>
          <o:OLEObject Type="Embed" ProgID="Equation.3" ShapeID="_x0000_i1030" DrawAspect="Content" ObjectID="_1528638249" r:id="rId31"/>
        </w:object>
      </w:r>
      <w:bookmarkStart w:id="385" w:name="_Ref447634082"/>
    </w:p>
    <w:bookmarkEnd w:id="385"/>
    <w:p w14:paraId="4AD18B74" w14:textId="77777777" w:rsidR="000D284A" w:rsidRPr="000D284A" w:rsidRDefault="000D284A" w:rsidP="000D284A">
      <w:pPr>
        <w:pStyle w:val="Bijschrift"/>
        <w:jc w:val="right"/>
        <w:rPr>
          <w:rFonts w:cs="Tahoma"/>
          <w:b w:val="0"/>
          <w:i/>
        </w:rPr>
      </w:pPr>
      <w:r w:rsidRPr="000D284A">
        <w:rPr>
          <w:b w:val="0"/>
          <w:i/>
        </w:rPr>
        <w:t xml:space="preserve">formule </w:t>
      </w:r>
      <w:r w:rsidRPr="000D284A">
        <w:rPr>
          <w:b w:val="0"/>
          <w:i/>
        </w:rPr>
        <w:fldChar w:fldCharType="begin"/>
      </w:r>
      <w:r w:rsidRPr="000D284A">
        <w:rPr>
          <w:b w:val="0"/>
          <w:i/>
        </w:rPr>
        <w:instrText xml:space="preserve"> SEQ formule \* ARABIC </w:instrText>
      </w:r>
      <w:r w:rsidRPr="000D284A">
        <w:rPr>
          <w:b w:val="0"/>
          <w:i/>
        </w:rPr>
        <w:fldChar w:fldCharType="separate"/>
      </w:r>
      <w:r w:rsidR="00BD536B">
        <w:rPr>
          <w:b w:val="0"/>
          <w:i/>
          <w:noProof/>
        </w:rPr>
        <w:t>18</w:t>
      </w:r>
      <w:r w:rsidRPr="000D284A">
        <w:rPr>
          <w:b w:val="0"/>
          <w:i/>
        </w:rPr>
        <w:fldChar w:fldCharType="end"/>
      </w:r>
    </w:p>
    <w:p w14:paraId="3E7EE3B7" w14:textId="77777777" w:rsidR="000D284A" w:rsidRPr="000D284A" w:rsidRDefault="000D284A" w:rsidP="000D284A">
      <w:pPr>
        <w:rPr>
          <w:rFonts w:cs="Tahoma"/>
          <w:b/>
        </w:rPr>
      </w:pPr>
      <w:r w:rsidRPr="000D284A">
        <w:rPr>
          <w:rFonts w:cs="Tahoma"/>
        </w:rPr>
        <w:t>Met hierin:</w:t>
      </w:r>
    </w:p>
    <w:p w14:paraId="24F2AB44" w14:textId="77777777" w:rsidR="000D284A" w:rsidRPr="000D284A" w:rsidRDefault="000D284A" w:rsidP="000D284A">
      <w:pPr>
        <w:tabs>
          <w:tab w:val="left" w:pos="709"/>
        </w:tabs>
        <w:rPr>
          <w:rFonts w:cs="Tahoma"/>
        </w:rPr>
      </w:pPr>
    </w:p>
    <w:p w14:paraId="0CA103A2" w14:textId="77777777" w:rsidR="000D284A" w:rsidRPr="000D284A" w:rsidRDefault="000D284A" w:rsidP="008F1DB1">
      <w:pPr>
        <w:tabs>
          <w:tab w:val="left" w:pos="1560"/>
        </w:tabs>
        <w:ind w:left="1560" w:hanging="993"/>
        <w:rPr>
          <w:rFonts w:cs="Tahoma"/>
        </w:rPr>
      </w:pPr>
      <w:r w:rsidRPr="008F1DB1">
        <w:rPr>
          <w:rFonts w:cs="Tahoma"/>
          <w:i/>
        </w:rPr>
        <w:t>TI</w:t>
      </w:r>
      <w:r w:rsidRPr="008F1DB1">
        <w:rPr>
          <w:rFonts w:cs="Tahoma"/>
          <w:i/>
          <w:vertAlign w:val="subscript"/>
        </w:rPr>
        <w:t>i,6.4.2,j+12</w:t>
      </w:r>
      <w:r w:rsidRPr="000D284A">
        <w:rPr>
          <w:rFonts w:cs="Tahoma"/>
        </w:rPr>
        <w:tab/>
        <w:t xml:space="preserve">Het bijkomend door de VREG toegelaten inkomen van distributienetbeheerder </w:t>
      </w:r>
      <w:r w:rsidRPr="008F1DB1">
        <w:rPr>
          <w:rFonts w:cs="Tahoma"/>
          <w:i/>
        </w:rPr>
        <w:t>i</w:t>
      </w:r>
      <w:r w:rsidRPr="000D284A">
        <w:rPr>
          <w:rFonts w:cs="Tahoma"/>
        </w:rPr>
        <w:t xml:space="preserve"> voor zijn niet-exogene kosten uit zijn periodieke distributienettarieven in jaar </w:t>
      </w:r>
      <w:r w:rsidRPr="008F1DB1">
        <w:rPr>
          <w:rFonts w:cs="Tahoma"/>
          <w:i/>
        </w:rPr>
        <w:t>j+12</w:t>
      </w:r>
      <w:r w:rsidRPr="000D284A">
        <w:rPr>
          <w:rFonts w:cs="Tahoma"/>
        </w:rPr>
        <w:t xml:space="preserve"> m.b.t. de openbaredienstverplichtingen voor de uitbouw van de infrastructuur voor het opladen van elektrische voertuigen volgens art. 6.4.2 van het Energiebesluit. Positieve of negatieve waarde. (EUR)</w:t>
      </w:r>
    </w:p>
    <w:p w14:paraId="18150C9C" w14:textId="77777777" w:rsidR="000D284A" w:rsidRPr="000D284A" w:rsidRDefault="000D284A" w:rsidP="000D284A">
      <w:pPr>
        <w:tabs>
          <w:tab w:val="left" w:pos="709"/>
          <w:tab w:val="left" w:pos="1560"/>
        </w:tabs>
        <w:rPr>
          <w:rFonts w:cs="Tahoma"/>
        </w:rPr>
      </w:pPr>
    </w:p>
    <w:p w14:paraId="7A917D55" w14:textId="77777777" w:rsidR="000D284A" w:rsidRPr="000D284A" w:rsidRDefault="000D284A" w:rsidP="008F1DB1">
      <w:pPr>
        <w:tabs>
          <w:tab w:val="left" w:pos="1560"/>
        </w:tabs>
        <w:ind w:left="1560" w:hanging="993"/>
        <w:rPr>
          <w:rFonts w:cs="Tahoma"/>
        </w:rPr>
      </w:pPr>
      <w:r w:rsidRPr="008F1DB1">
        <w:rPr>
          <w:rFonts w:cs="Tahoma"/>
          <w:i/>
        </w:rPr>
        <w:t>R</w:t>
      </w:r>
      <w:r w:rsidRPr="008F1DB1">
        <w:rPr>
          <w:rFonts w:cs="Tahoma"/>
          <w:i/>
          <w:vertAlign w:val="subscript"/>
        </w:rPr>
        <w:t>j,6.4.2</w:t>
      </w:r>
      <w:r w:rsidRPr="000D284A">
        <w:rPr>
          <w:rFonts w:cs="Tahoma"/>
        </w:rPr>
        <w:tab/>
        <w:t xml:space="preserve">Het gewogen gemiddelde rendement per oplaadpunt van de oplaadpunten initieel geïnstalleerd in opdracht van de elektriciteitsdistributienetbeheerders in het jaar </w:t>
      </w:r>
      <w:r w:rsidRPr="008F1DB1">
        <w:rPr>
          <w:rFonts w:cs="Tahoma"/>
          <w:i/>
        </w:rPr>
        <w:t>j</w:t>
      </w:r>
      <w:r w:rsidRPr="000D284A">
        <w:rPr>
          <w:rFonts w:cs="Tahoma"/>
        </w:rPr>
        <w:t xml:space="preserve"> volgens art. 6.4.2 van het Energiebesluit. (EUR)</w:t>
      </w:r>
    </w:p>
    <w:p w14:paraId="3A821CB7" w14:textId="77777777" w:rsidR="000D284A" w:rsidRPr="000D284A" w:rsidRDefault="000D284A" w:rsidP="000D284A">
      <w:pPr>
        <w:tabs>
          <w:tab w:val="left" w:pos="1418"/>
          <w:tab w:val="left" w:pos="1560"/>
        </w:tabs>
        <w:ind w:left="1418" w:hanging="710"/>
        <w:rPr>
          <w:rFonts w:cs="Tahoma"/>
        </w:rPr>
      </w:pPr>
    </w:p>
    <w:p w14:paraId="2C94759E" w14:textId="77777777" w:rsidR="000D284A" w:rsidRPr="000D284A" w:rsidRDefault="000D284A" w:rsidP="008F1DB1">
      <w:pPr>
        <w:tabs>
          <w:tab w:val="left" w:pos="1560"/>
        </w:tabs>
        <w:ind w:left="1560" w:hanging="993"/>
        <w:rPr>
          <w:rFonts w:cs="Tahoma"/>
        </w:rPr>
      </w:pPr>
      <w:r w:rsidRPr="008F1DB1">
        <w:rPr>
          <w:rFonts w:cs="Tahoma"/>
          <w:i/>
        </w:rPr>
        <w:t>L</w:t>
      </w:r>
      <w:r w:rsidRPr="008F1DB1">
        <w:rPr>
          <w:rFonts w:cs="Tahoma"/>
          <w:i/>
          <w:vertAlign w:val="subscript"/>
        </w:rPr>
        <w:t>i,j,6.4.2</w:t>
      </w:r>
      <w:r w:rsidRPr="000D284A">
        <w:rPr>
          <w:rFonts w:cs="Tahoma"/>
        </w:rPr>
        <w:tab/>
        <w:t xml:space="preserve">Het aantal oplaadpunten initieel geïnstalleerd in opdracht van de elektriciteitsdistributienetbeheerder </w:t>
      </w:r>
      <w:r w:rsidRPr="008F1DB1">
        <w:rPr>
          <w:rFonts w:cs="Tahoma"/>
          <w:i/>
        </w:rPr>
        <w:t>i</w:t>
      </w:r>
      <w:r w:rsidRPr="000D284A">
        <w:rPr>
          <w:rFonts w:cs="Tahoma"/>
        </w:rPr>
        <w:t xml:space="preserve"> in jaar </w:t>
      </w:r>
      <w:r w:rsidRPr="008F1DB1">
        <w:rPr>
          <w:rFonts w:cs="Tahoma"/>
          <w:i/>
        </w:rPr>
        <w:t>j</w:t>
      </w:r>
      <w:r w:rsidRPr="000D284A">
        <w:rPr>
          <w:rFonts w:cs="Tahoma"/>
        </w:rPr>
        <w:t xml:space="preserve"> volgens art. 6.4.2 van het Energiebesluit. (-)</w:t>
      </w:r>
    </w:p>
    <w:p w14:paraId="5670FFC5" w14:textId="77777777" w:rsidR="000D284A" w:rsidRPr="000D284A" w:rsidRDefault="000D284A" w:rsidP="000D284A">
      <w:pPr>
        <w:tabs>
          <w:tab w:val="left" w:pos="709"/>
        </w:tabs>
        <w:rPr>
          <w:rFonts w:cs="Tahoma"/>
        </w:rPr>
      </w:pPr>
    </w:p>
    <w:p w14:paraId="48110C72" w14:textId="77777777" w:rsidR="000D284A" w:rsidRPr="000D284A" w:rsidRDefault="000D284A" w:rsidP="000D284A">
      <w:pPr>
        <w:rPr>
          <w:rFonts w:cs="Tahoma"/>
        </w:rPr>
      </w:pPr>
      <w:r w:rsidRPr="000D284A">
        <w:rPr>
          <w:rFonts w:cs="Tahoma"/>
        </w:rPr>
        <w:t xml:space="preserve">De kosten en opbrengsten ontstaan vanaf 1 januari van het jaar </w:t>
      </w:r>
      <w:r w:rsidRPr="008F1DB1">
        <w:rPr>
          <w:rFonts w:cs="Tahoma"/>
          <w:i/>
        </w:rPr>
        <w:t>j+11</w:t>
      </w:r>
      <w:r w:rsidRPr="000D284A">
        <w:rPr>
          <w:rFonts w:cs="Tahoma"/>
        </w:rPr>
        <w:t xml:space="preserve"> en verbonden aan de oplaadpunten, in opdracht van een distributienetbeheerder initieel geïnstalleerd in het jaar </w:t>
      </w:r>
      <w:r w:rsidRPr="008F1DB1">
        <w:rPr>
          <w:rFonts w:cs="Tahoma"/>
          <w:i/>
          <w:iCs/>
        </w:rPr>
        <w:t>j</w:t>
      </w:r>
      <w:r w:rsidRPr="000D284A">
        <w:rPr>
          <w:rFonts w:cs="Tahoma"/>
          <w:iCs/>
        </w:rPr>
        <w:t xml:space="preserve"> </w:t>
      </w:r>
      <w:r w:rsidRPr="000D284A">
        <w:rPr>
          <w:rFonts w:cs="Tahoma"/>
        </w:rPr>
        <w:t>volgens art. 6.4.2 van het Energiebesluit</w:t>
      </w:r>
      <w:r w:rsidRPr="000D284A">
        <w:rPr>
          <w:rFonts w:cs="Tahoma"/>
          <w:iCs/>
        </w:rPr>
        <w:t>,</w:t>
      </w:r>
      <w:r w:rsidRPr="000D284A">
        <w:rPr>
          <w:rFonts w:cs="Tahoma"/>
        </w:rPr>
        <w:t xml:space="preserve"> worden zonder compensatie van hun jaarlijks saldo opgenomen in de rapportering van de niet-exogene kosten.</w:t>
      </w:r>
    </w:p>
    <w:p w14:paraId="5117501F" w14:textId="77777777" w:rsidR="000D284A" w:rsidRPr="000D284A" w:rsidRDefault="000D284A" w:rsidP="000D284A">
      <w:pPr>
        <w:tabs>
          <w:tab w:val="left" w:pos="709"/>
        </w:tabs>
        <w:rPr>
          <w:rFonts w:cs="Tahoma"/>
        </w:rPr>
      </w:pPr>
    </w:p>
    <w:p w14:paraId="0669A5E2" w14:textId="77777777" w:rsidR="000D284A" w:rsidRPr="008F1DB1" w:rsidRDefault="000D284A" w:rsidP="008F1DB1">
      <w:pPr>
        <w:pStyle w:val="Kop2"/>
        <w:numPr>
          <w:ilvl w:val="4"/>
          <w:numId w:val="24"/>
        </w:numPr>
        <w:rPr>
          <w:i/>
          <w:sz w:val="22"/>
          <w:szCs w:val="22"/>
        </w:rPr>
      </w:pPr>
      <w:r w:rsidRPr="008F1DB1">
        <w:rPr>
          <w:i/>
          <w:sz w:val="22"/>
          <w:szCs w:val="22"/>
        </w:rPr>
        <w:t>Voor de oplaadpunten geïnstalleerd overeenkomstig Art. 6.4.3 van het Energiebesluit</w:t>
      </w:r>
    </w:p>
    <w:p w14:paraId="1E0D82CE" w14:textId="77777777" w:rsidR="000D284A" w:rsidRPr="000D284A" w:rsidRDefault="000D284A" w:rsidP="000D284A">
      <w:pPr>
        <w:tabs>
          <w:tab w:val="left" w:pos="709"/>
        </w:tabs>
        <w:rPr>
          <w:rFonts w:cs="Tahoma"/>
        </w:rPr>
      </w:pPr>
    </w:p>
    <w:p w14:paraId="075FD90E" w14:textId="77777777" w:rsidR="000D284A" w:rsidRPr="000D284A" w:rsidRDefault="000D284A" w:rsidP="000D284A">
      <w:pPr>
        <w:tabs>
          <w:tab w:val="left" w:pos="709"/>
        </w:tabs>
        <w:rPr>
          <w:rFonts w:cs="Tahoma"/>
        </w:rPr>
      </w:pPr>
      <w:r w:rsidRPr="000D284A">
        <w:rPr>
          <w:rFonts w:cs="Tahoma"/>
        </w:rPr>
        <w:t xml:space="preserve">Per jaar in de periode 2016 t.e.m. 2020 waarin oplaadpunten voor elektrische voertuigen in opdracht van de elektriciteitsdistributienetbeheerder volgens art. 6.4.3. van het Energiebesluit initieel werden geïnstalleerd, houdt deze elektriciteitsdistributienetbeheer jaarlijks een saldo bij van al de kosten en opbrengsten m.b.t. de in dat jaar in opdracht van de distributienetbeheerder geïnstalleerde oplaadpunten. De kosten en opbrengsten van eventuele vervangingsinvesteringen worden rechtstreeks toegewezen aan dat initiële jaar van de eerste installatie. De distributienetbeheerder </w:t>
      </w:r>
      <w:r w:rsidRPr="008341C2">
        <w:rPr>
          <w:rFonts w:cs="Tahoma"/>
          <w:i/>
        </w:rPr>
        <w:t>i</w:t>
      </w:r>
      <w:r w:rsidRPr="000D284A">
        <w:rPr>
          <w:rFonts w:cs="Tahoma"/>
        </w:rPr>
        <w:t xml:space="preserve"> registreert per jaar van initiële installatie voor elk van de tien jaren </w:t>
      </w:r>
      <w:r w:rsidRPr="008341C2">
        <w:rPr>
          <w:rFonts w:cs="Tahoma"/>
          <w:i/>
        </w:rPr>
        <w:t>y</w:t>
      </w:r>
      <w:r w:rsidRPr="000D284A">
        <w:rPr>
          <w:rFonts w:cs="Tahoma"/>
        </w:rPr>
        <w:t xml:space="preserve"> volgend op het jaar </w:t>
      </w:r>
      <w:r w:rsidRPr="008341C2">
        <w:rPr>
          <w:rFonts w:cs="Tahoma"/>
          <w:i/>
        </w:rPr>
        <w:t>j</w:t>
      </w:r>
      <w:r w:rsidRPr="000D284A">
        <w:rPr>
          <w:rFonts w:cs="Tahoma"/>
        </w:rPr>
        <w:t xml:space="preserve"> van de initiële installatie het saldo </w:t>
      </w:r>
      <w:r w:rsidRPr="008341C2">
        <w:rPr>
          <w:rFonts w:cs="Tahoma"/>
          <w:i/>
        </w:rPr>
        <w:t>s</w:t>
      </w:r>
      <w:r w:rsidRPr="008341C2">
        <w:rPr>
          <w:rFonts w:cs="Tahoma"/>
          <w:i/>
          <w:vertAlign w:val="subscript"/>
        </w:rPr>
        <w:t>i,y/j,6.4.3</w:t>
      </w:r>
      <w:r w:rsidRPr="000D284A">
        <w:rPr>
          <w:rFonts w:cs="Tahoma"/>
        </w:rPr>
        <w:t xml:space="preserve"> </w:t>
      </w:r>
      <w:r w:rsidRPr="000D284A">
        <w:rPr>
          <w:rFonts w:cs="Tahoma"/>
          <w:vertAlign w:val="subscript"/>
        </w:rPr>
        <w:t xml:space="preserve"> </w:t>
      </w:r>
      <w:r w:rsidRPr="000D284A">
        <w:rPr>
          <w:rFonts w:cs="Tahoma"/>
        </w:rPr>
        <w:t>als volgt:</w:t>
      </w:r>
    </w:p>
    <w:p w14:paraId="031694C1" w14:textId="77777777" w:rsidR="000D284A" w:rsidRPr="000D284A" w:rsidRDefault="000D284A" w:rsidP="000D284A">
      <w:pPr>
        <w:pStyle w:val="Lijstalinea"/>
        <w:numPr>
          <w:ilvl w:val="0"/>
          <w:numId w:val="26"/>
        </w:numPr>
        <w:tabs>
          <w:tab w:val="left" w:pos="709"/>
        </w:tabs>
        <w:rPr>
          <w:rFonts w:cs="Tahoma"/>
        </w:rPr>
      </w:pPr>
      <w:r w:rsidRPr="000D284A">
        <w:rPr>
          <w:rFonts w:cs="Tahoma"/>
        </w:rPr>
        <w:t>Volgende kosten, in plus:</w:t>
      </w:r>
    </w:p>
    <w:p w14:paraId="1455591A" w14:textId="77777777" w:rsidR="000D284A" w:rsidRPr="000D284A" w:rsidRDefault="000D284A" w:rsidP="000D284A">
      <w:pPr>
        <w:pStyle w:val="Lijstalinea"/>
        <w:numPr>
          <w:ilvl w:val="1"/>
          <w:numId w:val="26"/>
        </w:numPr>
        <w:tabs>
          <w:tab w:val="left" w:pos="709"/>
        </w:tabs>
        <w:rPr>
          <w:rFonts w:cs="Tahoma"/>
        </w:rPr>
      </w:pPr>
      <w:r w:rsidRPr="000D284A">
        <w:rPr>
          <w:rFonts w:cs="Tahoma"/>
        </w:rPr>
        <w:t xml:space="preserve">Een door de VREG veronderstelde kapitaalkost volgens de tariefmethodologie voor dat jaar </w:t>
      </w:r>
      <w:r w:rsidRPr="008341C2">
        <w:rPr>
          <w:rFonts w:cs="Tahoma"/>
          <w:i/>
        </w:rPr>
        <w:t>y</w:t>
      </w:r>
      <w:r w:rsidRPr="000D284A">
        <w:rPr>
          <w:rFonts w:cs="Tahoma"/>
        </w:rPr>
        <w:t xml:space="preserve"> en dit aan de wacc van het jaar vóór vennootschapsbelasting toegepast op de gemiddelde nettoboekwaarde van de activa van de initieel geïnstalleerde oplaadpunten</w:t>
      </w:r>
      <w:r w:rsidRPr="000D284A">
        <w:rPr>
          <w:rStyle w:val="Voetnootmarkering"/>
          <w:rFonts w:cs="Tahoma"/>
        </w:rPr>
        <w:footnoteReference w:id="44"/>
      </w:r>
      <w:r w:rsidRPr="000D284A">
        <w:rPr>
          <w:rFonts w:cs="Tahoma"/>
        </w:rPr>
        <w:t>;</w:t>
      </w:r>
    </w:p>
    <w:p w14:paraId="2947FBA3" w14:textId="77777777" w:rsidR="000D284A" w:rsidRPr="000D284A" w:rsidRDefault="000D284A" w:rsidP="000D284A">
      <w:pPr>
        <w:pStyle w:val="Lijstalinea"/>
        <w:numPr>
          <w:ilvl w:val="1"/>
          <w:numId w:val="26"/>
        </w:numPr>
        <w:tabs>
          <w:tab w:val="left" w:pos="709"/>
        </w:tabs>
        <w:rPr>
          <w:rFonts w:cs="Tahoma"/>
        </w:rPr>
      </w:pPr>
      <w:r w:rsidRPr="000D284A">
        <w:rPr>
          <w:rFonts w:cs="Tahoma"/>
        </w:rPr>
        <w:t xml:space="preserve">Een door de VREG veronderstelde kapitaalkost volgens de tariefmethodologie voor dat jaar </w:t>
      </w:r>
      <w:r w:rsidRPr="008341C2">
        <w:rPr>
          <w:rFonts w:cs="Tahoma"/>
          <w:i/>
        </w:rPr>
        <w:t>y</w:t>
      </w:r>
      <w:r w:rsidRPr="000D284A">
        <w:rPr>
          <w:rFonts w:cs="Tahoma"/>
        </w:rPr>
        <w:t xml:space="preserve"> en dit aan de wacc van het jaar vóór vennootschapsbelasting toegepast op de gemiddelde nettoboekwaarde van de activa van de eventuele vervangingsinvestering(en)</w:t>
      </w:r>
      <w:r w:rsidRPr="000D284A">
        <w:rPr>
          <w:rStyle w:val="Voetnootmarkering"/>
          <w:rFonts w:cs="Tahoma"/>
        </w:rPr>
        <w:footnoteReference w:id="45"/>
      </w:r>
      <w:r w:rsidRPr="000D284A">
        <w:rPr>
          <w:rFonts w:cs="Tahoma"/>
        </w:rPr>
        <w:t>;</w:t>
      </w:r>
    </w:p>
    <w:p w14:paraId="498D67BE" w14:textId="77777777" w:rsidR="000D284A" w:rsidRPr="000D284A" w:rsidRDefault="000D284A" w:rsidP="000D284A">
      <w:pPr>
        <w:pStyle w:val="Lijstalinea"/>
        <w:numPr>
          <w:ilvl w:val="1"/>
          <w:numId w:val="26"/>
        </w:numPr>
        <w:tabs>
          <w:tab w:val="left" w:pos="709"/>
        </w:tabs>
        <w:rPr>
          <w:rFonts w:cs="Tahoma"/>
        </w:rPr>
      </w:pPr>
      <w:r w:rsidRPr="000D284A">
        <w:rPr>
          <w:rFonts w:cs="Tahoma"/>
        </w:rPr>
        <w:t>De (uitzonderlijke) afschrijvingen van de activa van deze oplaadpunten (zowel m.b.t. de initiële installatie als vervangingsinvestering(en));</w:t>
      </w:r>
    </w:p>
    <w:p w14:paraId="50D1C175" w14:textId="77777777" w:rsidR="000D284A" w:rsidRPr="000D284A" w:rsidRDefault="000D284A" w:rsidP="000D284A">
      <w:pPr>
        <w:pStyle w:val="Lijstalinea"/>
        <w:numPr>
          <w:ilvl w:val="1"/>
          <w:numId w:val="26"/>
        </w:numPr>
        <w:tabs>
          <w:tab w:val="left" w:pos="709"/>
        </w:tabs>
        <w:rPr>
          <w:rFonts w:cs="Tahoma"/>
        </w:rPr>
      </w:pPr>
      <w:r w:rsidRPr="000D284A">
        <w:rPr>
          <w:rFonts w:cs="Tahoma"/>
        </w:rPr>
        <w:t>De (uitzonderlijke) waardeverminderingen op deze activa (zowel m.b.t. de initiële installatie als vervangingsinvestering(en)), zoals bij een vroegtijdige uitdienstname;</w:t>
      </w:r>
    </w:p>
    <w:p w14:paraId="19F792C1" w14:textId="77777777" w:rsidR="000D284A" w:rsidRPr="000D284A" w:rsidRDefault="000D284A" w:rsidP="000D284A">
      <w:pPr>
        <w:pStyle w:val="Lijstalinea"/>
        <w:numPr>
          <w:ilvl w:val="1"/>
          <w:numId w:val="26"/>
        </w:numPr>
        <w:tabs>
          <w:tab w:val="left" w:pos="709"/>
        </w:tabs>
        <w:rPr>
          <w:rFonts w:cs="Tahoma"/>
        </w:rPr>
      </w:pPr>
      <w:r w:rsidRPr="000D284A">
        <w:rPr>
          <w:rFonts w:cs="Tahoma"/>
        </w:rPr>
        <w:t>Minderwaarde op de realisatie van de activa (zowel m.b.t. de initiële installatie als vervangingsinvestering(en));</w:t>
      </w:r>
    </w:p>
    <w:p w14:paraId="49C5A325" w14:textId="77777777" w:rsidR="000D284A" w:rsidRPr="000D284A" w:rsidRDefault="000D284A" w:rsidP="000D284A">
      <w:pPr>
        <w:pStyle w:val="Lijstalinea"/>
        <w:numPr>
          <w:ilvl w:val="1"/>
          <w:numId w:val="26"/>
        </w:numPr>
        <w:tabs>
          <w:tab w:val="left" w:pos="709"/>
        </w:tabs>
        <w:rPr>
          <w:rFonts w:cs="Tahoma"/>
        </w:rPr>
      </w:pPr>
      <w:r w:rsidRPr="000D284A">
        <w:rPr>
          <w:rFonts w:cs="Tahoma"/>
        </w:rPr>
        <w:t>De kosten voor de distributienetbeheerder aangerekend door de opdrachtnemer voor de plaatsing en het onderhoud van de oplaadpunten, in het geval er geen gunning kon plaatsvinden voor zowel de plaatsing, het onderhoud en de exploitatie van de oplaadpunten</w:t>
      </w:r>
      <w:r w:rsidRPr="000D284A">
        <w:rPr>
          <w:rStyle w:val="Voetnootmarkering"/>
          <w:rFonts w:cs="Tahoma"/>
        </w:rPr>
        <w:footnoteReference w:id="46"/>
      </w:r>
      <w:r w:rsidRPr="000D284A">
        <w:rPr>
          <w:rFonts w:cs="Tahoma"/>
        </w:rPr>
        <w:t xml:space="preserve"> (zowel m.b.t. de initiële installatie als vervangingsinvestering(en)).</w:t>
      </w:r>
    </w:p>
    <w:p w14:paraId="3E10A2A6" w14:textId="77777777" w:rsidR="000D284A" w:rsidRPr="000D284A" w:rsidRDefault="000D284A" w:rsidP="000D284A">
      <w:pPr>
        <w:pStyle w:val="Lijstalinea"/>
        <w:numPr>
          <w:ilvl w:val="0"/>
          <w:numId w:val="26"/>
        </w:numPr>
        <w:tabs>
          <w:tab w:val="left" w:pos="709"/>
        </w:tabs>
        <w:rPr>
          <w:rFonts w:cs="Tahoma"/>
        </w:rPr>
      </w:pPr>
      <w:r w:rsidRPr="000D284A">
        <w:rPr>
          <w:rFonts w:cs="Tahoma"/>
        </w:rPr>
        <w:t>Volgende opbrengsten, in min:</w:t>
      </w:r>
    </w:p>
    <w:p w14:paraId="1F3C9CD6" w14:textId="77777777" w:rsidR="000D284A" w:rsidRPr="000D284A" w:rsidRDefault="000D284A" w:rsidP="000D284A">
      <w:pPr>
        <w:pStyle w:val="Lijstalinea"/>
        <w:numPr>
          <w:ilvl w:val="1"/>
          <w:numId w:val="26"/>
        </w:numPr>
        <w:tabs>
          <w:tab w:val="left" w:pos="709"/>
        </w:tabs>
        <w:rPr>
          <w:rFonts w:cs="Tahoma"/>
        </w:rPr>
      </w:pPr>
      <w:r w:rsidRPr="000D284A">
        <w:rPr>
          <w:rFonts w:cs="Tahoma"/>
        </w:rPr>
        <w:t>De ontvangsten van de distributienetbeheerder van de opdrachtnemer voor de exploitatie van de oplaadpunten</w:t>
      </w:r>
      <w:r w:rsidRPr="000D284A">
        <w:rPr>
          <w:rStyle w:val="Voetnootmarkering"/>
          <w:rFonts w:cs="Tahoma"/>
        </w:rPr>
        <w:footnoteReference w:id="47"/>
      </w:r>
      <w:r w:rsidRPr="000D284A">
        <w:rPr>
          <w:rFonts w:cs="Tahoma"/>
        </w:rPr>
        <w:t xml:space="preserve"> (zowel m.b.t. de initiële installatie als vervangingsinvestering(en));</w:t>
      </w:r>
    </w:p>
    <w:p w14:paraId="7359921C" w14:textId="77777777" w:rsidR="000D284A" w:rsidRPr="000D284A" w:rsidRDefault="000D284A" w:rsidP="000D284A">
      <w:pPr>
        <w:pStyle w:val="Lijstalinea"/>
        <w:numPr>
          <w:ilvl w:val="1"/>
          <w:numId w:val="26"/>
        </w:numPr>
        <w:tabs>
          <w:tab w:val="left" w:pos="709"/>
        </w:tabs>
        <w:rPr>
          <w:rFonts w:cs="Tahoma"/>
        </w:rPr>
      </w:pPr>
      <w:r w:rsidRPr="000D284A">
        <w:rPr>
          <w:rFonts w:cs="Tahoma"/>
        </w:rPr>
        <w:t>Meerwaarde op de realisatie van de activa (zowel m.b.t. de initiële installatie als vervangingsinvestering(en));</w:t>
      </w:r>
    </w:p>
    <w:p w14:paraId="4E472A3E" w14:textId="77777777" w:rsidR="000D284A" w:rsidRPr="000D284A" w:rsidRDefault="000D284A" w:rsidP="000D284A">
      <w:pPr>
        <w:pStyle w:val="Lijstalinea"/>
        <w:numPr>
          <w:ilvl w:val="1"/>
          <w:numId w:val="26"/>
        </w:numPr>
        <w:tabs>
          <w:tab w:val="left" w:pos="709"/>
        </w:tabs>
        <w:rPr>
          <w:rFonts w:cs="Tahoma"/>
        </w:rPr>
      </w:pPr>
      <w:r w:rsidRPr="000D284A">
        <w:rPr>
          <w:rFonts w:cs="Tahoma"/>
        </w:rPr>
        <w:t>De eventuele ontvangsten uit de recuperatie van herstellingskosten via de verzekering (zowel m.b.t. de initiële installatie als vervangingsinvestering(en)).</w:t>
      </w:r>
    </w:p>
    <w:p w14:paraId="1B2C5FEC" w14:textId="77777777" w:rsidR="000D284A" w:rsidRPr="000D284A" w:rsidRDefault="000D284A" w:rsidP="000D284A">
      <w:pPr>
        <w:tabs>
          <w:tab w:val="left" w:pos="709"/>
        </w:tabs>
        <w:rPr>
          <w:rFonts w:cs="Tahoma"/>
        </w:rPr>
      </w:pPr>
      <w:r w:rsidRPr="000D284A">
        <w:rPr>
          <w:rFonts w:cs="Tahoma"/>
        </w:rPr>
        <w:t>Het saldo van deze kosten en opbrengsten wordt door de distributienetbeheerder afgezonderd buiten de resultatenrekening in een ‘saldo m.b.t. oplaadpunten voor elektrische voertuigen’ en overgezet naar de overlopende rekeningen op de balans. Dit gebeurt per initieel installatiejaar gedurende elf opeenvolgende jaren, het initieel installatiejaar mee in beschouwing nemende. Voor de oplaadpunten initieel geplaatst in 2016 gebeurt dit aldus voor de jaren 2016 t.e.m. 2026. Voor het laatste installatiejaar 2020 gebeurt dit t.e.m. 2030.</w:t>
      </w:r>
    </w:p>
    <w:p w14:paraId="10689A95" w14:textId="77777777" w:rsidR="000D284A" w:rsidRPr="000D284A" w:rsidRDefault="000D284A" w:rsidP="000D284A">
      <w:pPr>
        <w:tabs>
          <w:tab w:val="left" w:pos="709"/>
        </w:tabs>
        <w:rPr>
          <w:rFonts w:cs="Tahoma"/>
        </w:rPr>
      </w:pPr>
    </w:p>
    <w:p w14:paraId="17FF024D" w14:textId="537C15DF" w:rsidR="000D284A" w:rsidRPr="000D284A" w:rsidRDefault="000D284A" w:rsidP="000D284A">
      <w:pPr>
        <w:tabs>
          <w:tab w:val="left" w:pos="709"/>
        </w:tabs>
        <w:rPr>
          <w:rFonts w:cs="Tahoma"/>
        </w:rPr>
      </w:pPr>
      <w:r w:rsidRPr="000D284A">
        <w:rPr>
          <w:rFonts w:cs="Tahoma"/>
        </w:rPr>
        <w:t>De VREG berekent vervolgens elf jaar na het initiële installatiejaar het over alle oplaadpunten bij de distributienetbeheerders gewogen gemiddelde rendement per oplaadpunt geïnstalleerd in dat jaar en in opdracht van de distributienetbeheerder volgens</w:t>
      </w:r>
      <w:r w:rsidR="008341C2">
        <w:rPr>
          <w:rFonts w:cs="Tahoma"/>
        </w:rPr>
        <w:t xml:space="preserve"> </w:t>
      </w:r>
      <w:r w:rsidR="008341C2" w:rsidRPr="008341C2">
        <w:rPr>
          <w:rFonts w:cs="Tahoma"/>
        </w:rPr>
        <w:fldChar w:fldCharType="begin"/>
      </w:r>
      <w:r w:rsidR="008341C2" w:rsidRPr="008341C2">
        <w:rPr>
          <w:rFonts w:cs="Tahoma"/>
        </w:rPr>
        <w:instrText xml:space="preserve"> REF _Ref454359075 \h  \* MERGEFORMAT </w:instrText>
      </w:r>
      <w:r w:rsidR="008341C2" w:rsidRPr="008341C2">
        <w:rPr>
          <w:rFonts w:cs="Tahoma"/>
        </w:rPr>
      </w:r>
      <w:r w:rsidR="008341C2" w:rsidRPr="008341C2">
        <w:rPr>
          <w:rFonts w:cs="Tahoma"/>
        </w:rPr>
        <w:fldChar w:fldCharType="separate"/>
      </w:r>
      <w:r w:rsidR="008341C2" w:rsidRPr="008341C2">
        <w:t xml:space="preserve">formule </w:t>
      </w:r>
      <w:r w:rsidR="008341C2" w:rsidRPr="008341C2">
        <w:rPr>
          <w:noProof/>
        </w:rPr>
        <w:t>19</w:t>
      </w:r>
      <w:r w:rsidR="008341C2" w:rsidRPr="008341C2">
        <w:rPr>
          <w:rFonts w:cs="Tahoma"/>
        </w:rPr>
        <w:fldChar w:fldCharType="end"/>
      </w:r>
      <w:r w:rsidRPr="008341C2">
        <w:rPr>
          <w:rFonts w:cs="Tahoma"/>
        </w:rPr>
        <w:t>.</w:t>
      </w:r>
    </w:p>
    <w:p w14:paraId="2D07F1FB" w14:textId="77777777" w:rsidR="000D284A" w:rsidRPr="000D284A" w:rsidRDefault="000D284A" w:rsidP="000D284A">
      <w:pPr>
        <w:tabs>
          <w:tab w:val="left" w:pos="709"/>
        </w:tabs>
        <w:rPr>
          <w:rFonts w:cs="Tahoma"/>
        </w:rPr>
      </w:pPr>
    </w:p>
    <w:p w14:paraId="24DAF1E4" w14:textId="77777777" w:rsidR="000D284A" w:rsidRPr="000D284A" w:rsidRDefault="000D284A" w:rsidP="000D284A">
      <w:pPr>
        <w:keepNext/>
        <w:pBdr>
          <w:top w:val="dotted" w:sz="4" w:space="1" w:color="auto"/>
          <w:left w:val="dotted" w:sz="4" w:space="4" w:color="auto"/>
          <w:bottom w:val="dotted" w:sz="4" w:space="1" w:color="auto"/>
          <w:right w:val="dotted" w:sz="4" w:space="4" w:color="auto"/>
        </w:pBdr>
        <w:tabs>
          <w:tab w:val="left" w:pos="709"/>
        </w:tabs>
        <w:jc w:val="center"/>
        <w:rPr>
          <w:rFonts w:cs="Tahoma"/>
        </w:rPr>
      </w:pPr>
      <w:r w:rsidRPr="000D284A">
        <w:rPr>
          <w:rFonts w:cs="Tahoma"/>
          <w:position w:val="-62"/>
        </w:rPr>
        <w:object w:dxaOrig="4480" w:dyaOrig="1359" w14:anchorId="1E99640E">
          <v:shape id="_x0000_i1031" type="#_x0000_t75" style="width:224pt;height:67.95pt" o:ole="">
            <v:imagedata r:id="rId32" o:title=""/>
          </v:shape>
          <o:OLEObject Type="Embed" ProgID="Equation.3" ShapeID="_x0000_i1031" DrawAspect="Content" ObjectID="_1528638250" r:id="rId33"/>
        </w:object>
      </w:r>
    </w:p>
    <w:p w14:paraId="63DFCE76" w14:textId="77777777" w:rsidR="000D284A" w:rsidRPr="000D284A" w:rsidRDefault="000D284A" w:rsidP="000D284A">
      <w:pPr>
        <w:pStyle w:val="Bijschrift"/>
        <w:jc w:val="right"/>
        <w:rPr>
          <w:rFonts w:cs="Tahoma"/>
          <w:b w:val="0"/>
          <w:i/>
        </w:rPr>
      </w:pPr>
      <w:bookmarkStart w:id="386" w:name="_Ref454359075"/>
      <w:r w:rsidRPr="000D284A">
        <w:rPr>
          <w:b w:val="0"/>
          <w:i/>
        </w:rPr>
        <w:t xml:space="preserve">formule </w:t>
      </w:r>
      <w:r w:rsidRPr="000D284A">
        <w:rPr>
          <w:b w:val="0"/>
          <w:i/>
        </w:rPr>
        <w:fldChar w:fldCharType="begin"/>
      </w:r>
      <w:r w:rsidRPr="000D284A">
        <w:rPr>
          <w:b w:val="0"/>
          <w:i/>
        </w:rPr>
        <w:instrText xml:space="preserve"> SEQ formule \* ARABIC </w:instrText>
      </w:r>
      <w:r w:rsidRPr="000D284A">
        <w:rPr>
          <w:b w:val="0"/>
          <w:i/>
        </w:rPr>
        <w:fldChar w:fldCharType="separate"/>
      </w:r>
      <w:r w:rsidR="008341C2">
        <w:rPr>
          <w:b w:val="0"/>
          <w:i/>
          <w:noProof/>
        </w:rPr>
        <w:t>19</w:t>
      </w:r>
      <w:r w:rsidRPr="000D284A">
        <w:rPr>
          <w:b w:val="0"/>
          <w:i/>
        </w:rPr>
        <w:fldChar w:fldCharType="end"/>
      </w:r>
      <w:bookmarkEnd w:id="386"/>
    </w:p>
    <w:p w14:paraId="57AD0A0B" w14:textId="77777777" w:rsidR="000D284A" w:rsidRPr="000D284A" w:rsidRDefault="000D284A" w:rsidP="000D284A">
      <w:pPr>
        <w:tabs>
          <w:tab w:val="left" w:pos="709"/>
        </w:tabs>
        <w:rPr>
          <w:rFonts w:cs="Tahoma"/>
        </w:rPr>
      </w:pPr>
      <w:r w:rsidRPr="000D284A">
        <w:rPr>
          <w:rFonts w:cs="Tahoma"/>
        </w:rPr>
        <w:t>Met hierin:</w:t>
      </w:r>
    </w:p>
    <w:p w14:paraId="24672EBA" w14:textId="77777777" w:rsidR="000D284A" w:rsidRPr="000D284A" w:rsidRDefault="000D284A" w:rsidP="000D284A">
      <w:pPr>
        <w:tabs>
          <w:tab w:val="left" w:pos="709"/>
        </w:tabs>
        <w:rPr>
          <w:rFonts w:cs="Tahoma"/>
        </w:rPr>
      </w:pPr>
    </w:p>
    <w:p w14:paraId="25784A2C" w14:textId="77777777" w:rsidR="000D284A" w:rsidRPr="000D284A" w:rsidRDefault="000D284A" w:rsidP="000D284A">
      <w:pPr>
        <w:tabs>
          <w:tab w:val="left" w:pos="1418"/>
        </w:tabs>
        <w:ind w:left="1418" w:hanging="710"/>
        <w:rPr>
          <w:rFonts w:cs="Tahoma"/>
        </w:rPr>
      </w:pPr>
      <w:r w:rsidRPr="00986AD9">
        <w:rPr>
          <w:rFonts w:cs="Tahoma"/>
          <w:i/>
        </w:rPr>
        <w:t>R</w:t>
      </w:r>
      <w:r w:rsidRPr="00986AD9">
        <w:rPr>
          <w:rFonts w:cs="Tahoma"/>
          <w:i/>
          <w:vertAlign w:val="subscript"/>
        </w:rPr>
        <w:t>j,6.4.3</w:t>
      </w:r>
      <w:r w:rsidRPr="000D284A">
        <w:rPr>
          <w:rFonts w:cs="Tahoma"/>
        </w:rPr>
        <w:tab/>
        <w:t xml:space="preserve">Het gewogen gemiddelde rendement per oplaadpunt van de oplaadpunten initieel geïnstalleerd in opdracht van de elektriciteitsdistributienetbeheerders volgens art. 6.4.3 van het Energiebesluit in het jaar </w:t>
      </w:r>
      <w:r w:rsidRPr="00986AD9">
        <w:rPr>
          <w:rFonts w:cs="Tahoma"/>
          <w:i/>
        </w:rPr>
        <w:t>j</w:t>
      </w:r>
      <w:r w:rsidRPr="000D284A">
        <w:rPr>
          <w:rFonts w:cs="Tahoma"/>
        </w:rPr>
        <w:t>. (EUR)</w:t>
      </w:r>
    </w:p>
    <w:p w14:paraId="12C24118" w14:textId="77777777" w:rsidR="000D284A" w:rsidRPr="000D284A" w:rsidRDefault="000D284A" w:rsidP="000D284A">
      <w:pPr>
        <w:tabs>
          <w:tab w:val="left" w:pos="1134"/>
        </w:tabs>
        <w:ind w:left="1842" w:hanging="1134"/>
        <w:rPr>
          <w:rFonts w:cs="Tahoma"/>
        </w:rPr>
      </w:pPr>
    </w:p>
    <w:p w14:paraId="4147F7A8" w14:textId="77777777" w:rsidR="000D284A" w:rsidRPr="000D284A" w:rsidRDefault="000D284A" w:rsidP="000D284A">
      <w:pPr>
        <w:tabs>
          <w:tab w:val="left" w:pos="1418"/>
        </w:tabs>
        <w:ind w:left="1418" w:hanging="710"/>
        <w:rPr>
          <w:rFonts w:cs="Tahoma"/>
        </w:rPr>
      </w:pPr>
      <w:r w:rsidRPr="00986AD9">
        <w:rPr>
          <w:rFonts w:cs="Tahoma"/>
          <w:i/>
        </w:rPr>
        <w:t>j</w:t>
      </w:r>
      <w:r w:rsidRPr="000D284A">
        <w:rPr>
          <w:rFonts w:cs="Tahoma"/>
        </w:rPr>
        <w:tab/>
        <w:t xml:space="preserve">Het jaar </w:t>
      </w:r>
      <w:r w:rsidRPr="00986AD9">
        <w:rPr>
          <w:rFonts w:cs="Tahoma"/>
          <w:i/>
        </w:rPr>
        <w:t>j</w:t>
      </w:r>
      <w:r w:rsidRPr="000D284A">
        <w:rPr>
          <w:rFonts w:cs="Tahoma"/>
        </w:rPr>
        <w:t xml:space="preserve"> van initiële installatie van oplaadpunten in opdracht van de elektriciteitsdistributienetbeheerder volgens art. 6.4.3 van het Energiebesluit. (-)</w:t>
      </w:r>
    </w:p>
    <w:p w14:paraId="00F4BBE1" w14:textId="77777777" w:rsidR="000D284A" w:rsidRPr="000D284A" w:rsidRDefault="000D284A" w:rsidP="000D284A">
      <w:pPr>
        <w:tabs>
          <w:tab w:val="left" w:pos="1134"/>
        </w:tabs>
        <w:ind w:left="708"/>
        <w:rPr>
          <w:rFonts w:cs="Tahoma"/>
        </w:rPr>
      </w:pPr>
    </w:p>
    <w:p w14:paraId="47D86408" w14:textId="77777777" w:rsidR="000D284A" w:rsidRPr="000D284A" w:rsidRDefault="000D284A" w:rsidP="000D284A">
      <w:pPr>
        <w:tabs>
          <w:tab w:val="left" w:pos="1418"/>
        </w:tabs>
        <w:ind w:left="1418" w:hanging="710"/>
        <w:rPr>
          <w:rFonts w:cs="Tahoma"/>
        </w:rPr>
      </w:pPr>
      <w:r w:rsidRPr="00986AD9">
        <w:rPr>
          <w:rFonts w:cs="Tahoma"/>
          <w:i/>
        </w:rPr>
        <w:t>n</w:t>
      </w:r>
      <w:r w:rsidRPr="000D284A">
        <w:rPr>
          <w:rFonts w:cs="Tahoma"/>
        </w:rPr>
        <w:tab/>
        <w:t>Het aantal elektriciteitsdistributienetbeheerders. (-)</w:t>
      </w:r>
    </w:p>
    <w:p w14:paraId="538250B6" w14:textId="77777777" w:rsidR="000D284A" w:rsidRPr="000D284A" w:rsidRDefault="000D284A" w:rsidP="000D284A">
      <w:pPr>
        <w:tabs>
          <w:tab w:val="left" w:pos="1134"/>
        </w:tabs>
        <w:ind w:left="708"/>
        <w:rPr>
          <w:rFonts w:cs="Tahoma"/>
        </w:rPr>
      </w:pPr>
    </w:p>
    <w:p w14:paraId="495F3833" w14:textId="736B7E8B" w:rsidR="000D284A" w:rsidRPr="000D284A" w:rsidRDefault="000D284A" w:rsidP="000D284A">
      <w:pPr>
        <w:tabs>
          <w:tab w:val="left" w:pos="1418"/>
        </w:tabs>
        <w:ind w:left="1418" w:hanging="710"/>
        <w:rPr>
          <w:rFonts w:cs="Tahoma"/>
        </w:rPr>
      </w:pPr>
      <w:r w:rsidRPr="00986AD9">
        <w:rPr>
          <w:rFonts w:cs="Tahoma"/>
          <w:i/>
        </w:rPr>
        <w:t>S</w:t>
      </w:r>
      <w:r w:rsidRPr="00986AD9">
        <w:rPr>
          <w:rFonts w:cs="Tahoma"/>
          <w:i/>
          <w:vertAlign w:val="subscript"/>
        </w:rPr>
        <w:t>i,j,6.4.3</w:t>
      </w:r>
      <w:r w:rsidRPr="000D284A">
        <w:rPr>
          <w:rFonts w:cs="Tahoma"/>
        </w:rPr>
        <w:tab/>
        <w:t xml:space="preserve">Het globaal saldo van distributienetbeheerder </w:t>
      </w:r>
      <w:r w:rsidRPr="00986AD9">
        <w:rPr>
          <w:rFonts w:cs="Tahoma"/>
          <w:i/>
        </w:rPr>
        <w:t>i</w:t>
      </w:r>
      <w:r w:rsidRPr="000D284A">
        <w:rPr>
          <w:rFonts w:cs="Tahoma"/>
        </w:rPr>
        <w:t xml:space="preserve"> m.b.t. oplaadpunten voor elektrische voertuigen in zijn opdracht initieel geïnstalleerd in het jaar j volgens art. 6.4.3 van het Energiebesluit, opgebouwd vanaf jaar </w:t>
      </w:r>
      <w:r w:rsidRPr="0047381B">
        <w:rPr>
          <w:rFonts w:cs="Tahoma"/>
          <w:i/>
        </w:rPr>
        <w:t>j</w:t>
      </w:r>
      <w:r w:rsidRPr="000D284A">
        <w:rPr>
          <w:rFonts w:cs="Tahoma"/>
        </w:rPr>
        <w:t xml:space="preserve"> tot en met jaar </w:t>
      </w:r>
      <w:r w:rsidRPr="0047381B">
        <w:rPr>
          <w:rFonts w:cs="Tahoma"/>
          <w:i/>
        </w:rPr>
        <w:t>j+10</w:t>
      </w:r>
      <w:r w:rsidRPr="000D284A">
        <w:rPr>
          <w:rFonts w:cs="Tahoma"/>
        </w:rPr>
        <w:t xml:space="preserve">. Het voor elk jaar gerapporteerde saldo (zie bijlage 6 van de tariefmethodologie) wordt daartoe eerst omgerekend naar huidige waarde volgens de consumptieprijsindex van de maand juli van dat jaar naar de index van de maand juli van het jaar </w:t>
      </w:r>
      <w:r w:rsidRPr="0047381B">
        <w:rPr>
          <w:rFonts w:cs="Tahoma"/>
          <w:i/>
        </w:rPr>
        <w:t>j+11</w:t>
      </w:r>
      <w:r w:rsidRPr="000D284A">
        <w:rPr>
          <w:rFonts w:cs="Tahoma"/>
        </w:rPr>
        <w:t xml:space="preserve"> volgens</w:t>
      </w:r>
      <w:r w:rsidR="0047381B" w:rsidRPr="0047381B">
        <w:rPr>
          <w:rFonts w:cs="Tahoma"/>
        </w:rPr>
        <w:t xml:space="preserve"> </w:t>
      </w:r>
      <w:r w:rsidR="0047381B" w:rsidRPr="0047381B">
        <w:rPr>
          <w:rFonts w:cs="Tahoma"/>
        </w:rPr>
        <w:fldChar w:fldCharType="begin"/>
      </w:r>
      <w:r w:rsidR="0047381B" w:rsidRPr="0047381B">
        <w:rPr>
          <w:rFonts w:cs="Tahoma"/>
        </w:rPr>
        <w:instrText xml:space="preserve"> REF _Ref454364892 \h  \* MERGEFORMAT </w:instrText>
      </w:r>
      <w:r w:rsidR="0047381B" w:rsidRPr="0047381B">
        <w:rPr>
          <w:rFonts w:cs="Tahoma"/>
        </w:rPr>
      </w:r>
      <w:r w:rsidR="0047381B" w:rsidRPr="0047381B">
        <w:rPr>
          <w:rFonts w:cs="Tahoma"/>
        </w:rPr>
        <w:fldChar w:fldCharType="separate"/>
      </w:r>
      <w:r w:rsidR="0047381B" w:rsidRPr="0047381B">
        <w:t xml:space="preserve">formule </w:t>
      </w:r>
      <w:r w:rsidR="0047381B" w:rsidRPr="0047381B">
        <w:rPr>
          <w:noProof/>
        </w:rPr>
        <w:t>20</w:t>
      </w:r>
      <w:r w:rsidR="0047381B" w:rsidRPr="0047381B">
        <w:rPr>
          <w:rFonts w:cs="Tahoma"/>
        </w:rPr>
        <w:fldChar w:fldCharType="end"/>
      </w:r>
      <w:r w:rsidRPr="0047381B">
        <w:rPr>
          <w:rFonts w:cs="Tahoma"/>
        </w:rPr>
        <w:t>.</w:t>
      </w:r>
      <w:r w:rsidRPr="000D284A">
        <w:rPr>
          <w:rFonts w:cs="Tahoma"/>
        </w:rPr>
        <w:t xml:space="preserve"> (EUR)</w:t>
      </w:r>
    </w:p>
    <w:p w14:paraId="64FBCD73" w14:textId="77777777" w:rsidR="000D284A" w:rsidRPr="000D284A" w:rsidRDefault="000D284A" w:rsidP="000D284A">
      <w:pPr>
        <w:tabs>
          <w:tab w:val="left" w:pos="1418"/>
        </w:tabs>
        <w:ind w:left="1418" w:hanging="710"/>
        <w:rPr>
          <w:rFonts w:cs="Tahoma"/>
        </w:rPr>
      </w:pPr>
    </w:p>
    <w:p w14:paraId="2B059536" w14:textId="77777777" w:rsidR="000D284A" w:rsidRPr="000D284A" w:rsidRDefault="000D284A" w:rsidP="000D284A">
      <w:pPr>
        <w:pStyle w:val="StijlStijlBijschriftCambriaMathNietVetCursiefVet"/>
        <w:keepNext/>
        <w:pBdr>
          <w:top w:val="dotted" w:sz="4" w:space="1" w:color="auto"/>
          <w:left w:val="dotted" w:sz="4" w:space="4" w:color="auto"/>
          <w:bottom w:val="dotted" w:sz="4" w:space="1" w:color="auto"/>
          <w:right w:val="dotted" w:sz="4" w:space="4" w:color="auto"/>
        </w:pBdr>
        <w:ind w:left="1418"/>
        <w:jc w:val="center"/>
        <w:rPr>
          <w:rFonts w:ascii="Tahoma" w:hAnsi="Tahoma" w:cs="Tahoma"/>
        </w:rPr>
      </w:pPr>
      <w:r w:rsidRPr="000D284A">
        <w:rPr>
          <w:rFonts w:ascii="Tahoma" w:eastAsia="Tahoma" w:hAnsi="Tahoma" w:cs="Tahoma"/>
          <w:position w:val="-32"/>
        </w:rPr>
        <w:object w:dxaOrig="4080" w:dyaOrig="760" w14:anchorId="7DA04293">
          <v:shape id="_x0000_i1032" type="#_x0000_t75" style="width:204pt;height:38pt" o:ole="">
            <v:imagedata r:id="rId34" o:title=""/>
          </v:shape>
          <o:OLEObject Type="Embed" ProgID="Equation.3" ShapeID="_x0000_i1032" DrawAspect="Content" ObjectID="_1528638251" r:id="rId35"/>
        </w:object>
      </w:r>
    </w:p>
    <w:p w14:paraId="1C005F3C" w14:textId="77777777" w:rsidR="000D284A" w:rsidRPr="000D284A" w:rsidRDefault="000D284A" w:rsidP="000D284A">
      <w:pPr>
        <w:pStyle w:val="Bijschrift"/>
        <w:jc w:val="right"/>
        <w:rPr>
          <w:rFonts w:cs="Tahoma"/>
          <w:b w:val="0"/>
          <w:i/>
        </w:rPr>
      </w:pPr>
      <w:bookmarkStart w:id="387" w:name="_Ref454364892"/>
      <w:r w:rsidRPr="000D284A">
        <w:rPr>
          <w:b w:val="0"/>
          <w:i/>
        </w:rPr>
        <w:t xml:space="preserve">formule </w:t>
      </w:r>
      <w:r w:rsidRPr="000D284A">
        <w:rPr>
          <w:b w:val="0"/>
          <w:i/>
        </w:rPr>
        <w:fldChar w:fldCharType="begin"/>
      </w:r>
      <w:r w:rsidRPr="000D284A">
        <w:rPr>
          <w:b w:val="0"/>
          <w:i/>
        </w:rPr>
        <w:instrText xml:space="preserve"> SEQ formule \* ARABIC </w:instrText>
      </w:r>
      <w:r w:rsidRPr="000D284A">
        <w:rPr>
          <w:b w:val="0"/>
          <w:i/>
        </w:rPr>
        <w:fldChar w:fldCharType="separate"/>
      </w:r>
      <w:r w:rsidR="00BD536B">
        <w:rPr>
          <w:b w:val="0"/>
          <w:i/>
          <w:noProof/>
        </w:rPr>
        <w:t>20</w:t>
      </w:r>
      <w:r w:rsidRPr="000D284A">
        <w:rPr>
          <w:b w:val="0"/>
          <w:i/>
        </w:rPr>
        <w:fldChar w:fldCharType="end"/>
      </w:r>
      <w:bookmarkEnd w:id="387"/>
    </w:p>
    <w:p w14:paraId="1D92934F" w14:textId="77777777" w:rsidR="000D284A" w:rsidRPr="000D284A" w:rsidRDefault="000D284A" w:rsidP="000D284A">
      <w:pPr>
        <w:tabs>
          <w:tab w:val="left" w:pos="709"/>
        </w:tabs>
        <w:ind w:left="1416"/>
        <w:rPr>
          <w:rFonts w:cs="Tahoma"/>
        </w:rPr>
      </w:pPr>
      <w:r w:rsidRPr="000D284A">
        <w:rPr>
          <w:rFonts w:cs="Tahoma"/>
        </w:rPr>
        <w:t xml:space="preserve">Met hierin: </w:t>
      </w:r>
    </w:p>
    <w:p w14:paraId="1B2A0688" w14:textId="77777777" w:rsidR="000D284A" w:rsidRPr="000D284A" w:rsidRDefault="000D284A" w:rsidP="000D284A">
      <w:pPr>
        <w:tabs>
          <w:tab w:val="left" w:pos="709"/>
        </w:tabs>
        <w:ind w:left="1416"/>
        <w:rPr>
          <w:rFonts w:cs="Tahoma"/>
        </w:rPr>
      </w:pPr>
    </w:p>
    <w:p w14:paraId="3649582A" w14:textId="77777777" w:rsidR="000D284A" w:rsidRPr="000D284A" w:rsidRDefault="000D284A" w:rsidP="000D284A">
      <w:pPr>
        <w:tabs>
          <w:tab w:val="left" w:pos="709"/>
        </w:tabs>
        <w:ind w:left="2835" w:hanging="1417"/>
        <w:rPr>
          <w:rFonts w:cs="Tahoma"/>
        </w:rPr>
      </w:pPr>
      <w:r w:rsidRPr="0047381B">
        <w:rPr>
          <w:rFonts w:cs="Tahoma"/>
          <w:i/>
        </w:rPr>
        <w:t>s</w:t>
      </w:r>
      <w:r w:rsidRPr="0047381B">
        <w:rPr>
          <w:rFonts w:cs="Tahoma"/>
          <w:i/>
          <w:vertAlign w:val="subscript"/>
        </w:rPr>
        <w:t>i,y/j,6.4.3</w:t>
      </w:r>
      <w:r w:rsidRPr="000D284A">
        <w:rPr>
          <w:rFonts w:cs="Tahoma"/>
        </w:rPr>
        <w:tab/>
        <w:t xml:space="preserve">Saldo van de kosten en opbrengsten van distributienetbeheerder </w:t>
      </w:r>
      <w:r w:rsidRPr="0047381B">
        <w:rPr>
          <w:rFonts w:cs="Tahoma"/>
          <w:i/>
        </w:rPr>
        <w:t>i</w:t>
      </w:r>
      <w:r w:rsidRPr="000D284A">
        <w:rPr>
          <w:rFonts w:cs="Tahoma"/>
        </w:rPr>
        <w:t xml:space="preserve"> in jaar </w:t>
      </w:r>
      <w:r w:rsidRPr="0047381B">
        <w:rPr>
          <w:rFonts w:cs="Tahoma"/>
          <w:i/>
        </w:rPr>
        <w:t>y</w:t>
      </w:r>
      <w:r w:rsidRPr="000D284A">
        <w:rPr>
          <w:rFonts w:cs="Tahoma"/>
        </w:rPr>
        <w:t xml:space="preserve"> m.b.t. oplaadpunten voor elektrische voertuigen in zijn opdracht initieel geïnstalleerd in jaar </w:t>
      </w:r>
      <w:r w:rsidRPr="0047381B">
        <w:rPr>
          <w:rFonts w:cs="Tahoma"/>
          <w:i/>
        </w:rPr>
        <w:t>j</w:t>
      </w:r>
      <w:r w:rsidRPr="000D284A">
        <w:rPr>
          <w:rFonts w:cs="Tahoma"/>
        </w:rPr>
        <w:t xml:space="preserve"> volgens art. 6.4.3 van het Energiebesluit, zoals hierboven gespecifieerd. (EUR)</w:t>
      </w:r>
    </w:p>
    <w:p w14:paraId="36C8050C" w14:textId="77777777" w:rsidR="000D284A" w:rsidRPr="000D284A" w:rsidRDefault="000D284A" w:rsidP="000D284A">
      <w:pPr>
        <w:tabs>
          <w:tab w:val="left" w:pos="709"/>
        </w:tabs>
        <w:ind w:left="1416"/>
        <w:rPr>
          <w:rFonts w:cs="Tahoma"/>
        </w:rPr>
      </w:pPr>
    </w:p>
    <w:p w14:paraId="32766345" w14:textId="77777777" w:rsidR="000D284A" w:rsidRPr="000D284A" w:rsidRDefault="000D284A" w:rsidP="000D284A">
      <w:pPr>
        <w:tabs>
          <w:tab w:val="left" w:pos="709"/>
        </w:tabs>
        <w:ind w:left="2835" w:hanging="1417"/>
        <w:rPr>
          <w:rFonts w:cs="Tahoma"/>
        </w:rPr>
      </w:pPr>
      <w:r w:rsidRPr="0047381B">
        <w:rPr>
          <w:rFonts w:cs="Tahoma"/>
          <w:i/>
        </w:rPr>
        <w:t>CPI</w:t>
      </w:r>
      <w:r w:rsidRPr="0047381B">
        <w:rPr>
          <w:rFonts w:cs="Tahoma"/>
          <w:i/>
          <w:vertAlign w:val="subscript"/>
        </w:rPr>
        <w:t>z</w:t>
      </w:r>
      <w:r w:rsidRPr="0047381B">
        <w:rPr>
          <w:rFonts w:ascii="Arial" w:hAnsi="Arial" w:cs="Arial"/>
          <w:i/>
          <w:vertAlign w:val="subscript"/>
        </w:rPr>
        <w:t>→</w:t>
      </w:r>
      <w:r w:rsidRPr="0047381B">
        <w:rPr>
          <w:rFonts w:cs="Tahoma"/>
          <w:i/>
          <w:vertAlign w:val="subscript"/>
        </w:rPr>
        <w:t>z+1</w:t>
      </w:r>
      <w:r w:rsidRPr="000D284A">
        <w:rPr>
          <w:rFonts w:cs="Tahoma"/>
        </w:rPr>
        <w:tab/>
        <w:t xml:space="preserve">De inflatie volgens de evolutie van de consumptieprijsindex, de maand juli in jaar </w:t>
      </w:r>
      <w:r w:rsidRPr="0047381B">
        <w:rPr>
          <w:rFonts w:cs="Tahoma"/>
          <w:i/>
        </w:rPr>
        <w:t>z+1</w:t>
      </w:r>
      <w:r w:rsidRPr="000D284A">
        <w:rPr>
          <w:rFonts w:cs="Tahoma"/>
        </w:rPr>
        <w:t xml:space="preserve"> t.o.v. de maand juli in jaar </w:t>
      </w:r>
      <w:r w:rsidRPr="0047381B">
        <w:rPr>
          <w:rFonts w:cs="Tahoma"/>
          <w:i/>
        </w:rPr>
        <w:t>z</w:t>
      </w:r>
      <w:r w:rsidRPr="000D284A">
        <w:rPr>
          <w:rFonts w:cs="Tahoma"/>
        </w:rPr>
        <w:t>.</w:t>
      </w:r>
    </w:p>
    <w:p w14:paraId="02CB139B" w14:textId="77777777" w:rsidR="000D284A" w:rsidRPr="000D284A" w:rsidRDefault="000D284A" w:rsidP="000D284A">
      <w:pPr>
        <w:tabs>
          <w:tab w:val="left" w:pos="709"/>
        </w:tabs>
        <w:ind w:left="708"/>
        <w:rPr>
          <w:rFonts w:cs="Tahoma"/>
        </w:rPr>
      </w:pPr>
    </w:p>
    <w:p w14:paraId="419B8BEE" w14:textId="47017EEC" w:rsidR="007E43A2" w:rsidRDefault="000D284A" w:rsidP="00DF64EE">
      <w:pPr>
        <w:tabs>
          <w:tab w:val="left" w:pos="1418"/>
        </w:tabs>
        <w:ind w:left="1418" w:hanging="710"/>
        <w:rPr>
          <w:rFonts w:cs="Tahoma"/>
        </w:rPr>
      </w:pPr>
      <w:r w:rsidRPr="0047381B">
        <w:rPr>
          <w:rFonts w:cs="Tahoma"/>
          <w:i/>
        </w:rPr>
        <w:t>L</w:t>
      </w:r>
      <w:r w:rsidRPr="0047381B">
        <w:rPr>
          <w:rFonts w:cs="Tahoma"/>
          <w:i/>
          <w:vertAlign w:val="subscript"/>
        </w:rPr>
        <w:t>i,j,6.4.3</w:t>
      </w:r>
      <w:r w:rsidRPr="000D284A">
        <w:rPr>
          <w:rFonts w:cs="Tahoma"/>
        </w:rPr>
        <w:tab/>
        <w:t xml:space="preserve">Het aantal oplaadpunten initieel geïnstalleerd in opdracht van de elektriciteitsdistributienetbeheerder </w:t>
      </w:r>
      <w:r w:rsidRPr="0047381B">
        <w:rPr>
          <w:rFonts w:cs="Tahoma"/>
          <w:i/>
        </w:rPr>
        <w:t>i</w:t>
      </w:r>
      <w:r w:rsidRPr="000D284A">
        <w:rPr>
          <w:rFonts w:cs="Tahoma"/>
        </w:rPr>
        <w:t xml:space="preserve"> in jaar </w:t>
      </w:r>
      <w:r w:rsidRPr="0047381B">
        <w:rPr>
          <w:rFonts w:cs="Tahoma"/>
          <w:i/>
        </w:rPr>
        <w:t>j</w:t>
      </w:r>
      <w:r w:rsidRPr="000D284A">
        <w:rPr>
          <w:rFonts w:cs="Tahoma"/>
        </w:rPr>
        <w:t xml:space="preserve"> volgens art. 6.4.3 van het Energiebesluit. (-)</w:t>
      </w:r>
    </w:p>
    <w:p w14:paraId="43BBC400" w14:textId="0753EDEF" w:rsidR="000D284A" w:rsidRPr="000D284A" w:rsidRDefault="000D284A" w:rsidP="000D284A">
      <w:pPr>
        <w:tabs>
          <w:tab w:val="left" w:pos="1418"/>
        </w:tabs>
        <w:ind w:left="1418" w:hanging="710"/>
        <w:rPr>
          <w:rFonts w:cs="Tahoma"/>
        </w:rPr>
      </w:pPr>
      <w:r w:rsidRPr="000D284A">
        <w:rPr>
          <w:rFonts w:cs="Tahoma"/>
        </w:rPr>
        <w:tab/>
      </w:r>
    </w:p>
    <w:p w14:paraId="155B11AA" w14:textId="1F6EFACE" w:rsidR="000D284A" w:rsidRPr="000D284A" w:rsidRDefault="000D284A" w:rsidP="000D284A">
      <w:pPr>
        <w:tabs>
          <w:tab w:val="left" w:pos="709"/>
        </w:tabs>
        <w:rPr>
          <w:rFonts w:cs="Tahoma"/>
        </w:rPr>
      </w:pPr>
      <w:r w:rsidRPr="000D284A">
        <w:rPr>
          <w:rFonts w:cs="Tahoma"/>
        </w:rPr>
        <w:t xml:space="preserve">De VREG zal bovenstaande berekening volgens </w:t>
      </w:r>
      <w:r w:rsidR="007E43A2" w:rsidRPr="007E43A2">
        <w:rPr>
          <w:rFonts w:cs="Tahoma"/>
        </w:rPr>
        <w:fldChar w:fldCharType="begin"/>
      </w:r>
      <w:r w:rsidR="007E43A2" w:rsidRPr="007E43A2">
        <w:rPr>
          <w:rFonts w:cs="Tahoma"/>
        </w:rPr>
        <w:instrText xml:space="preserve"> REF _Ref454359075 \h  \* MERGEFORMAT </w:instrText>
      </w:r>
      <w:r w:rsidR="007E43A2" w:rsidRPr="007E43A2">
        <w:rPr>
          <w:rFonts w:cs="Tahoma"/>
        </w:rPr>
      </w:r>
      <w:r w:rsidR="007E43A2" w:rsidRPr="007E43A2">
        <w:rPr>
          <w:rFonts w:cs="Tahoma"/>
        </w:rPr>
        <w:fldChar w:fldCharType="separate"/>
      </w:r>
      <w:r w:rsidR="007E43A2" w:rsidRPr="007E43A2">
        <w:t xml:space="preserve">formule </w:t>
      </w:r>
      <w:r w:rsidR="007E43A2" w:rsidRPr="007E43A2">
        <w:rPr>
          <w:noProof/>
        </w:rPr>
        <w:t>19</w:t>
      </w:r>
      <w:r w:rsidR="007E43A2" w:rsidRPr="007E43A2">
        <w:rPr>
          <w:rFonts w:cs="Tahoma"/>
        </w:rPr>
        <w:fldChar w:fldCharType="end"/>
      </w:r>
      <w:r w:rsidR="007E43A2">
        <w:rPr>
          <w:rFonts w:cs="Tahoma"/>
        </w:rPr>
        <w:t xml:space="preserve"> </w:t>
      </w:r>
      <w:r w:rsidRPr="000D284A">
        <w:rPr>
          <w:rFonts w:cs="Tahoma"/>
        </w:rPr>
        <w:t xml:space="preserve">voor de oplaadpunten initieel in opdracht van de distributienetbeheerder geïnstalleerd in het jaar </w:t>
      </w:r>
      <w:r w:rsidRPr="0047381B">
        <w:rPr>
          <w:rFonts w:cs="Tahoma"/>
          <w:i/>
        </w:rPr>
        <w:t>j</w:t>
      </w:r>
      <w:r w:rsidRPr="000D284A">
        <w:rPr>
          <w:rFonts w:cs="Tahoma"/>
        </w:rPr>
        <w:t xml:space="preserve"> volgens art. 6.4.3 van het Energiebesluit uitvoeren in jaar </w:t>
      </w:r>
      <w:r w:rsidRPr="0047381B">
        <w:rPr>
          <w:rFonts w:cs="Tahoma"/>
          <w:i/>
        </w:rPr>
        <w:t>j+11</w:t>
      </w:r>
      <w:r w:rsidRPr="000D284A">
        <w:rPr>
          <w:rFonts w:cs="Tahoma"/>
        </w:rPr>
        <w:t xml:space="preserve"> op basis van de jaarlijkse rapporteringen van de distributienetbeheerders aan de VREG (volgens bijlage 6 van de tariefmethodologie). De nettokost (of –opbrengst) van de oplaadpunten aan gewogen gemiddelde rendement is voor rekening van de distributienetgebruikers en wordt integraal toegevoegd aan het door de VREG toegelaten niet-exogene inkomen van de distributienetbeheerder uit zijn periodieke distributienettarieven. Het verschil tussen het eigen rendement per oplaadpunt van de distributienetbeheerder en het gewogen gemiddelde rendement is voor 50% voor rekening van de distributienetbeheerder. Tegelijk neemt de distributienetbeheerder het eigen saldo (S</w:t>
      </w:r>
      <w:r w:rsidRPr="000D284A">
        <w:rPr>
          <w:rFonts w:cs="Tahoma"/>
          <w:vertAlign w:val="subscript"/>
        </w:rPr>
        <w:t>i,j,6.4.3</w:t>
      </w:r>
      <w:r w:rsidRPr="000D284A">
        <w:rPr>
          <w:rFonts w:cs="Tahoma"/>
        </w:rPr>
        <w:t xml:space="preserve"> x L</w:t>
      </w:r>
      <w:r w:rsidRPr="000D284A">
        <w:rPr>
          <w:rFonts w:cs="Tahoma"/>
          <w:vertAlign w:val="subscript"/>
        </w:rPr>
        <w:t>i,j,6.4.3</w:t>
      </w:r>
      <w:r w:rsidRPr="000D284A">
        <w:rPr>
          <w:rFonts w:cs="Tahoma"/>
        </w:rPr>
        <w:t>) in resultaat in jaar j+12.</w:t>
      </w:r>
    </w:p>
    <w:p w14:paraId="61C1732F" w14:textId="77777777" w:rsidR="000D284A" w:rsidRPr="000D284A" w:rsidRDefault="000D284A" w:rsidP="000D284A">
      <w:pPr>
        <w:tabs>
          <w:tab w:val="left" w:pos="709"/>
        </w:tabs>
        <w:rPr>
          <w:rFonts w:cs="Tahoma"/>
        </w:rPr>
      </w:pPr>
    </w:p>
    <w:p w14:paraId="556CB667" w14:textId="77777777" w:rsidR="000D284A" w:rsidRPr="000D284A" w:rsidRDefault="000D284A" w:rsidP="000D284A">
      <w:pPr>
        <w:pBdr>
          <w:top w:val="dotted" w:sz="4" w:space="1" w:color="auto"/>
          <w:left w:val="dotted" w:sz="4" w:space="4" w:color="auto"/>
          <w:bottom w:val="dotted" w:sz="4" w:space="1" w:color="auto"/>
          <w:right w:val="dotted" w:sz="4" w:space="4" w:color="auto"/>
        </w:pBdr>
        <w:tabs>
          <w:tab w:val="left" w:pos="709"/>
        </w:tabs>
        <w:jc w:val="center"/>
        <w:rPr>
          <w:rFonts w:cs="Tahoma"/>
        </w:rPr>
      </w:pPr>
      <w:r w:rsidRPr="000D284A">
        <w:rPr>
          <w:rFonts w:cs="Tahoma"/>
          <w:position w:val="-32"/>
        </w:rPr>
        <w:object w:dxaOrig="4640" w:dyaOrig="760" w14:anchorId="08270B46">
          <v:shape id="_x0000_i1033" type="#_x0000_t75" style="width:232pt;height:38.65pt" o:ole="">
            <v:imagedata r:id="rId36" o:title=""/>
          </v:shape>
          <o:OLEObject Type="Embed" ProgID="Equation.3" ShapeID="_x0000_i1033" DrawAspect="Content" ObjectID="_1528638252" r:id="rId37"/>
        </w:object>
      </w:r>
    </w:p>
    <w:p w14:paraId="55523685" w14:textId="77777777" w:rsidR="000D284A" w:rsidRPr="000D284A" w:rsidRDefault="000D284A" w:rsidP="000D284A">
      <w:pPr>
        <w:pStyle w:val="Bijschrift"/>
        <w:jc w:val="right"/>
        <w:rPr>
          <w:rFonts w:cs="Tahoma"/>
          <w:b w:val="0"/>
          <w:i/>
        </w:rPr>
      </w:pPr>
      <w:r w:rsidRPr="000D284A">
        <w:rPr>
          <w:b w:val="0"/>
          <w:i/>
        </w:rPr>
        <w:t xml:space="preserve">formule </w:t>
      </w:r>
      <w:r w:rsidRPr="000D284A">
        <w:rPr>
          <w:b w:val="0"/>
          <w:i/>
        </w:rPr>
        <w:fldChar w:fldCharType="begin"/>
      </w:r>
      <w:r w:rsidRPr="000D284A">
        <w:rPr>
          <w:b w:val="0"/>
          <w:i/>
        </w:rPr>
        <w:instrText xml:space="preserve"> SEQ formule \* ARABIC </w:instrText>
      </w:r>
      <w:r w:rsidRPr="000D284A">
        <w:rPr>
          <w:b w:val="0"/>
          <w:i/>
        </w:rPr>
        <w:fldChar w:fldCharType="separate"/>
      </w:r>
      <w:r w:rsidR="00BD536B">
        <w:rPr>
          <w:b w:val="0"/>
          <w:i/>
          <w:noProof/>
        </w:rPr>
        <w:t>21</w:t>
      </w:r>
      <w:r w:rsidRPr="000D284A">
        <w:rPr>
          <w:b w:val="0"/>
          <w:i/>
        </w:rPr>
        <w:fldChar w:fldCharType="end"/>
      </w:r>
    </w:p>
    <w:p w14:paraId="472B324B" w14:textId="77777777" w:rsidR="000D284A" w:rsidRPr="000D284A" w:rsidRDefault="000D284A" w:rsidP="000D284A">
      <w:pPr>
        <w:rPr>
          <w:rFonts w:cs="Tahoma"/>
          <w:b/>
        </w:rPr>
      </w:pPr>
      <w:r w:rsidRPr="000D284A">
        <w:rPr>
          <w:rFonts w:cs="Tahoma"/>
        </w:rPr>
        <w:t>Met hierin:</w:t>
      </w:r>
    </w:p>
    <w:p w14:paraId="5F35438E" w14:textId="77777777" w:rsidR="000D284A" w:rsidRPr="000D284A" w:rsidRDefault="000D284A" w:rsidP="000D284A">
      <w:pPr>
        <w:tabs>
          <w:tab w:val="left" w:pos="709"/>
        </w:tabs>
        <w:rPr>
          <w:rFonts w:cs="Tahoma"/>
        </w:rPr>
      </w:pPr>
    </w:p>
    <w:p w14:paraId="196D9666" w14:textId="77777777" w:rsidR="000D284A" w:rsidRPr="000D284A" w:rsidRDefault="000D284A" w:rsidP="007E43A2">
      <w:pPr>
        <w:tabs>
          <w:tab w:val="left" w:pos="1560"/>
        </w:tabs>
        <w:ind w:left="1560" w:hanging="993"/>
        <w:rPr>
          <w:rFonts w:cs="Tahoma"/>
        </w:rPr>
      </w:pPr>
      <w:r w:rsidRPr="0047381B">
        <w:rPr>
          <w:rFonts w:cs="Tahoma"/>
          <w:i/>
        </w:rPr>
        <w:t>TI</w:t>
      </w:r>
      <w:r w:rsidRPr="0047381B">
        <w:rPr>
          <w:rFonts w:cs="Tahoma"/>
          <w:i/>
          <w:vertAlign w:val="subscript"/>
        </w:rPr>
        <w:t>i,6.4.3,j+12</w:t>
      </w:r>
      <w:r w:rsidRPr="000D284A">
        <w:rPr>
          <w:rFonts w:cs="Tahoma"/>
        </w:rPr>
        <w:tab/>
        <w:t xml:space="preserve">Het bijkomend door de VREG toegelaten inkomen van distributienetbeheerder i voor zijn niet-exogene kosten uit zijn periodieke distributienettarieven in jaar </w:t>
      </w:r>
      <w:r w:rsidRPr="0047381B">
        <w:rPr>
          <w:rFonts w:cs="Tahoma"/>
          <w:i/>
        </w:rPr>
        <w:t>j+12</w:t>
      </w:r>
      <w:r w:rsidRPr="000D284A">
        <w:rPr>
          <w:rFonts w:cs="Tahoma"/>
        </w:rPr>
        <w:t xml:space="preserve"> m.b.t. de openbaredienstverplichtingen voor de uitbouw van de infrastructuur voor het opladen van elektrische voertuigen volgens art. 6.4.3 van het Energiebesluit. Positieve of negatieve waarde. (EUR)</w:t>
      </w:r>
    </w:p>
    <w:p w14:paraId="1C2F8B8B" w14:textId="77777777" w:rsidR="000D284A" w:rsidRPr="000D284A" w:rsidRDefault="000D284A" w:rsidP="000D284A">
      <w:pPr>
        <w:tabs>
          <w:tab w:val="left" w:pos="709"/>
          <w:tab w:val="left" w:pos="1560"/>
        </w:tabs>
        <w:rPr>
          <w:rFonts w:cs="Tahoma"/>
        </w:rPr>
      </w:pPr>
    </w:p>
    <w:p w14:paraId="670907B8" w14:textId="77777777" w:rsidR="000D284A" w:rsidRPr="000D284A" w:rsidRDefault="000D284A" w:rsidP="007E43A2">
      <w:pPr>
        <w:tabs>
          <w:tab w:val="left" w:pos="1560"/>
        </w:tabs>
        <w:ind w:left="1560" w:hanging="993"/>
        <w:rPr>
          <w:rFonts w:cs="Tahoma"/>
        </w:rPr>
      </w:pPr>
      <w:r w:rsidRPr="0047381B">
        <w:rPr>
          <w:rFonts w:cs="Tahoma"/>
          <w:i/>
        </w:rPr>
        <w:t>R</w:t>
      </w:r>
      <w:r w:rsidRPr="0047381B">
        <w:rPr>
          <w:rFonts w:cs="Tahoma"/>
          <w:i/>
          <w:vertAlign w:val="subscript"/>
        </w:rPr>
        <w:t>j,6.4.3</w:t>
      </w:r>
      <w:r w:rsidRPr="000D284A">
        <w:rPr>
          <w:rFonts w:cs="Tahoma"/>
        </w:rPr>
        <w:tab/>
        <w:t xml:space="preserve">Het gewogen gemiddelde rendement per oplaadpunt van de oplaadpunten initieel geïnstalleerd in opdracht van de elektriciteitsdistributienetbeheerders in het jaar </w:t>
      </w:r>
      <w:r w:rsidRPr="0047381B">
        <w:rPr>
          <w:rFonts w:cs="Tahoma"/>
          <w:i/>
        </w:rPr>
        <w:t>j</w:t>
      </w:r>
      <w:r w:rsidRPr="000D284A">
        <w:rPr>
          <w:rFonts w:cs="Tahoma"/>
        </w:rPr>
        <w:t xml:space="preserve"> volgens art. 6.4.3 van het Energiebesluit. (EUR)</w:t>
      </w:r>
    </w:p>
    <w:p w14:paraId="607A0ED5" w14:textId="77777777" w:rsidR="000D284A" w:rsidRPr="000D284A" w:rsidRDefault="000D284A" w:rsidP="000D284A">
      <w:pPr>
        <w:tabs>
          <w:tab w:val="left" w:pos="1418"/>
          <w:tab w:val="left" w:pos="1560"/>
        </w:tabs>
        <w:ind w:left="1418" w:hanging="710"/>
        <w:rPr>
          <w:rFonts w:cs="Tahoma"/>
        </w:rPr>
      </w:pPr>
    </w:p>
    <w:p w14:paraId="4597FE49" w14:textId="77777777" w:rsidR="000D284A" w:rsidRPr="000D284A" w:rsidRDefault="000D284A" w:rsidP="00DF64EE">
      <w:pPr>
        <w:tabs>
          <w:tab w:val="left" w:pos="1418"/>
        </w:tabs>
        <w:ind w:left="1418" w:hanging="710"/>
        <w:rPr>
          <w:rFonts w:cs="Tahoma"/>
        </w:rPr>
      </w:pPr>
      <w:r w:rsidRPr="0047381B">
        <w:rPr>
          <w:rFonts w:cs="Tahoma"/>
          <w:i/>
        </w:rPr>
        <w:t>L</w:t>
      </w:r>
      <w:r w:rsidRPr="0047381B">
        <w:rPr>
          <w:rFonts w:cs="Tahoma"/>
          <w:i/>
          <w:vertAlign w:val="subscript"/>
        </w:rPr>
        <w:t>i,j,6.4.3</w:t>
      </w:r>
      <w:r w:rsidRPr="000D284A">
        <w:rPr>
          <w:rFonts w:cs="Tahoma"/>
        </w:rPr>
        <w:tab/>
        <w:t xml:space="preserve">Het aantal oplaadpunten initieel geïnstalleerd in opdracht van de elektriciteitsdistributienetbeheerder </w:t>
      </w:r>
      <w:r w:rsidRPr="0047381B">
        <w:rPr>
          <w:rFonts w:cs="Tahoma"/>
          <w:i/>
        </w:rPr>
        <w:t>i</w:t>
      </w:r>
      <w:r w:rsidRPr="000D284A">
        <w:rPr>
          <w:rFonts w:cs="Tahoma"/>
        </w:rPr>
        <w:t xml:space="preserve"> in jaar </w:t>
      </w:r>
      <w:r w:rsidRPr="0047381B">
        <w:rPr>
          <w:rFonts w:cs="Tahoma"/>
          <w:i/>
        </w:rPr>
        <w:t>j</w:t>
      </w:r>
      <w:r w:rsidRPr="000D284A">
        <w:rPr>
          <w:rFonts w:cs="Tahoma"/>
        </w:rPr>
        <w:t xml:space="preserve"> volgens art. 6.4.3 van het Energiebesluit. (-)</w:t>
      </w:r>
    </w:p>
    <w:p w14:paraId="7303087D" w14:textId="77777777" w:rsidR="000D284A" w:rsidRPr="000D284A" w:rsidRDefault="000D284A" w:rsidP="000D284A">
      <w:pPr>
        <w:tabs>
          <w:tab w:val="left" w:pos="709"/>
        </w:tabs>
        <w:rPr>
          <w:rFonts w:cs="Tahoma"/>
        </w:rPr>
      </w:pPr>
    </w:p>
    <w:p w14:paraId="33FA1684" w14:textId="20ACC138" w:rsidR="00D679FA" w:rsidRPr="000D284A" w:rsidRDefault="000D284A" w:rsidP="000D284A">
      <w:pPr>
        <w:rPr>
          <w:rFonts w:cs="Tahoma"/>
          <w:lang w:val="nl-BE"/>
        </w:rPr>
      </w:pPr>
      <w:r w:rsidRPr="000D284A">
        <w:rPr>
          <w:rFonts w:cs="Tahoma"/>
        </w:rPr>
        <w:t xml:space="preserve">De kosten en opbrengsten ontstaan vanaf 1 januari van het jaar </w:t>
      </w:r>
      <w:r w:rsidRPr="0047381B">
        <w:rPr>
          <w:rFonts w:cs="Tahoma"/>
          <w:i/>
        </w:rPr>
        <w:t>j+11</w:t>
      </w:r>
      <w:r w:rsidRPr="000D284A">
        <w:rPr>
          <w:rFonts w:cs="Tahoma"/>
        </w:rPr>
        <w:t xml:space="preserve"> en verbonden aan de oplaadpunten, in opdracht van een distributienetbeheerder initieel geïnstalleerd in het jaar </w:t>
      </w:r>
      <w:r w:rsidRPr="0047381B">
        <w:rPr>
          <w:rFonts w:cs="Tahoma"/>
          <w:i/>
          <w:iCs/>
        </w:rPr>
        <w:t>j</w:t>
      </w:r>
      <w:r w:rsidRPr="000D284A">
        <w:rPr>
          <w:rFonts w:cs="Tahoma"/>
          <w:iCs/>
        </w:rPr>
        <w:t xml:space="preserve"> </w:t>
      </w:r>
      <w:r w:rsidRPr="000D284A">
        <w:rPr>
          <w:rFonts w:cs="Tahoma"/>
        </w:rPr>
        <w:t>volgens art. 6.4.3 van het Energiebesluit</w:t>
      </w:r>
      <w:r w:rsidRPr="000D284A">
        <w:rPr>
          <w:rFonts w:cs="Tahoma"/>
          <w:iCs/>
        </w:rPr>
        <w:t>,</w:t>
      </w:r>
      <w:r w:rsidRPr="000D284A">
        <w:rPr>
          <w:rFonts w:cs="Tahoma"/>
        </w:rPr>
        <w:t xml:space="preserve"> worden zonder compensatie van hun jaarlijks saldo opgenomen in de rapportering van de niet-exogene kosten.</w:t>
      </w:r>
    </w:p>
    <w:p w14:paraId="7F9866DB" w14:textId="77777777" w:rsidR="0047381B" w:rsidRDefault="0047381B" w:rsidP="007514A4">
      <w:pPr>
        <w:tabs>
          <w:tab w:val="left" w:pos="709"/>
        </w:tabs>
        <w:rPr>
          <w:lang w:val="nl-BE"/>
        </w:rPr>
      </w:pPr>
    </w:p>
    <w:p w14:paraId="1C3EA4BD" w14:textId="25EA1CDE" w:rsidR="00D679FA" w:rsidRPr="00043B8D" w:rsidRDefault="0043573F" w:rsidP="007514A4">
      <w:pPr>
        <w:tabs>
          <w:tab w:val="left" w:pos="709"/>
        </w:tabs>
        <w:rPr>
          <w:lang w:val="nl-BE"/>
        </w:rPr>
      </w:pPr>
      <w:r w:rsidRPr="000D284A">
        <w:rPr>
          <w:lang w:val="nl-BE"/>
        </w:rPr>
        <w:t>]</w:t>
      </w:r>
      <w:r w:rsidRPr="000D284A">
        <w:rPr>
          <w:rStyle w:val="Voetnootmarkering"/>
          <w:lang w:val="nl-BE"/>
        </w:rPr>
        <w:footnoteReference w:id="48"/>
      </w:r>
    </w:p>
    <w:p w14:paraId="0E47CF46" w14:textId="77777777" w:rsidR="007514A4" w:rsidRPr="00043B8D" w:rsidRDefault="007514A4" w:rsidP="005251E2">
      <w:pPr>
        <w:pStyle w:val="Kop2"/>
        <w:numPr>
          <w:ilvl w:val="1"/>
          <w:numId w:val="24"/>
        </w:numPr>
        <w:ind w:hanging="644"/>
      </w:pPr>
      <w:bookmarkStart w:id="388" w:name="_Ref397507997"/>
      <w:bookmarkStart w:id="389" w:name="_Toc454186686"/>
      <w:r w:rsidRPr="00043B8D">
        <w:t>Vaststelling van het rekenvolume</w:t>
      </w:r>
      <w:bookmarkEnd w:id="388"/>
      <w:bookmarkEnd w:id="389"/>
    </w:p>
    <w:p w14:paraId="73E7609B" w14:textId="77777777" w:rsidR="007514A4" w:rsidRPr="00043B8D" w:rsidRDefault="007514A4" w:rsidP="007514A4"/>
    <w:p w14:paraId="1444B7AA" w14:textId="006B9DFD" w:rsidR="002F7A15" w:rsidRPr="00043B8D" w:rsidRDefault="007514A4" w:rsidP="007514A4">
      <w:r w:rsidRPr="00043B8D">
        <w:t>De VREG stelt vast hoe de rekenvolumes</w:t>
      </w:r>
      <w:r w:rsidR="00E75103" w:rsidRPr="00043B8D">
        <w:t xml:space="preserve"> van de tariefdragers (</w:t>
      </w:r>
      <w:r w:rsidRPr="00043B8D">
        <w:rPr>
          <w:i/>
        </w:rPr>
        <w:t>v</w:t>
      </w:r>
      <w:r w:rsidRPr="00043B8D">
        <w:rPr>
          <w:i/>
          <w:vertAlign w:val="subscript"/>
        </w:rPr>
        <w:t>rp,i</w:t>
      </w:r>
      <w:r w:rsidRPr="00043B8D">
        <w:t xml:space="preserve"> in </w:t>
      </w:r>
      <w:r w:rsidRPr="00043B8D">
        <w:fldChar w:fldCharType="begin"/>
      </w:r>
      <w:r w:rsidRPr="00043B8D">
        <w:instrText xml:space="preserve"> REF _Ref388616399 \h  \* MERGEFORMAT </w:instrText>
      </w:r>
      <w:r w:rsidRPr="00043B8D">
        <w:fldChar w:fldCharType="separate"/>
      </w:r>
      <w:r w:rsidR="00B30F9B" w:rsidRPr="00B30F9B">
        <w:t xml:space="preserve">formule </w:t>
      </w:r>
      <w:r w:rsidR="00B30F9B" w:rsidRPr="00B30F9B">
        <w:rPr>
          <w:noProof/>
        </w:rPr>
        <w:t>1</w:t>
      </w:r>
      <w:r w:rsidRPr="00043B8D">
        <w:fldChar w:fldCharType="end"/>
      </w:r>
      <w:r w:rsidR="00E75103" w:rsidRPr="00043B8D">
        <w:t>)</w:t>
      </w:r>
      <w:r w:rsidRPr="00043B8D">
        <w:t xml:space="preserve"> worden bepaald en dit na overleg met de distributienetbeheerders. Per reguleringsperiode </w:t>
      </w:r>
      <w:r w:rsidR="008A795D" w:rsidRPr="00043B8D">
        <w:t xml:space="preserve">gebeurt de vaststelling van de rekenvolumes voor elke distributienetbeheerder op </w:t>
      </w:r>
      <w:r w:rsidR="00383F2F" w:rsidRPr="00043B8D">
        <w:t xml:space="preserve">niet-discriminatoire, transparante en </w:t>
      </w:r>
      <w:r w:rsidR="008A795D" w:rsidRPr="00043B8D">
        <w:t>uniforme wijze</w:t>
      </w:r>
      <w:r w:rsidR="006F7C04" w:rsidRPr="00043B8D">
        <w:t xml:space="preserve">. Voor de reguleringsperiode 2015-2016 </w:t>
      </w:r>
      <w:r w:rsidR="001E06F5" w:rsidRPr="00043B8D">
        <w:t>stelt</w:t>
      </w:r>
      <w:r w:rsidR="006F7C04" w:rsidRPr="00043B8D">
        <w:t xml:space="preserve"> de VREG het rekenvolume op volgende manier</w:t>
      </w:r>
      <w:r w:rsidR="001E06F5" w:rsidRPr="00043B8D">
        <w:t xml:space="preserve"> vast</w:t>
      </w:r>
      <w:r w:rsidR="006F7C04" w:rsidRPr="00043B8D">
        <w:t>:</w:t>
      </w:r>
    </w:p>
    <w:p w14:paraId="53FB4949" w14:textId="63D6D2B7" w:rsidR="00DA7B2C" w:rsidRPr="00043B8D" w:rsidRDefault="002F7A15" w:rsidP="005251E2">
      <w:pPr>
        <w:pStyle w:val="Lijstalinea"/>
        <w:numPr>
          <w:ilvl w:val="0"/>
          <w:numId w:val="25"/>
        </w:numPr>
      </w:pPr>
      <w:r w:rsidRPr="00043B8D">
        <w:t xml:space="preserve">Voor </w:t>
      </w:r>
      <w:r w:rsidR="000F6AD4" w:rsidRPr="00043B8D">
        <w:t xml:space="preserve">het aantal </w:t>
      </w:r>
      <w:r w:rsidR="005D6F65" w:rsidRPr="00043B8D">
        <w:t xml:space="preserve">actieve </w:t>
      </w:r>
      <w:r w:rsidR="000F6AD4" w:rsidRPr="00043B8D">
        <w:t>toegangspunten (</w:t>
      </w:r>
      <w:r w:rsidRPr="00043B8D">
        <w:t>EAN’s</w:t>
      </w:r>
      <w:r w:rsidR="000F6AD4" w:rsidRPr="00043B8D">
        <w:t>)</w:t>
      </w:r>
      <w:r w:rsidRPr="00043B8D">
        <w:t>:</w:t>
      </w:r>
      <w:r w:rsidR="004030B0" w:rsidRPr="00043B8D">
        <w:t xml:space="preserve"> </w:t>
      </w:r>
      <w:r w:rsidR="000F6AD4" w:rsidRPr="00043B8D">
        <w:t xml:space="preserve">het rekenvolume is gelijk aan het </w:t>
      </w:r>
      <w:r w:rsidR="004030B0" w:rsidRPr="00043B8D">
        <w:t xml:space="preserve">aantal </w:t>
      </w:r>
      <w:r w:rsidR="000F6AD4" w:rsidRPr="00043B8D">
        <w:t xml:space="preserve">op </w:t>
      </w:r>
      <w:r w:rsidR="004030B0" w:rsidRPr="00043B8D">
        <w:t>31/12/2013.</w:t>
      </w:r>
      <w:r w:rsidRPr="00043B8D">
        <w:t>Voor</w:t>
      </w:r>
      <w:r w:rsidR="000F6AD4" w:rsidRPr="00043B8D">
        <w:t xml:space="preserve"> de</w:t>
      </w:r>
      <w:r w:rsidRPr="00043B8D">
        <w:t xml:space="preserve"> </w:t>
      </w:r>
      <w:r w:rsidR="000F6AD4" w:rsidRPr="00043B8D">
        <w:t>verbruiksgerelateerde</w:t>
      </w:r>
      <w:r w:rsidRPr="00043B8D">
        <w:t xml:space="preserve"> tariefdragers</w:t>
      </w:r>
      <w:r w:rsidR="001E06F5" w:rsidRPr="00043B8D">
        <w:t>:</w:t>
      </w:r>
      <w:r w:rsidR="0077749B" w:rsidRPr="00043B8D">
        <w:t xml:space="preserve"> </w:t>
      </w:r>
    </w:p>
    <w:p w14:paraId="2166D860" w14:textId="6A375E1E" w:rsidR="006F7C04" w:rsidRPr="00043B8D" w:rsidRDefault="006F7C04" w:rsidP="005251E2">
      <w:pPr>
        <w:pStyle w:val="Lijstalinea"/>
        <w:numPr>
          <w:ilvl w:val="1"/>
          <w:numId w:val="25"/>
        </w:numPr>
      </w:pPr>
      <w:r w:rsidRPr="00043B8D">
        <w:t>Gereguleerde activiteit elektriciteit - afname:</w:t>
      </w:r>
    </w:p>
    <w:p w14:paraId="018795FF" w14:textId="5B11BA78" w:rsidR="006F7C04" w:rsidRPr="00043B8D" w:rsidRDefault="006F7C04" w:rsidP="005251E2">
      <w:pPr>
        <w:pStyle w:val="Lijstalinea"/>
        <w:numPr>
          <w:ilvl w:val="2"/>
          <w:numId w:val="25"/>
        </w:numPr>
      </w:pPr>
      <w:r w:rsidRPr="00043B8D">
        <w:t xml:space="preserve">kWh: </w:t>
      </w:r>
      <w:r w:rsidR="00CB36B2" w:rsidRPr="00043B8D">
        <w:t xml:space="preserve">daadwerkelijk </w:t>
      </w:r>
      <w:r w:rsidRPr="00043B8D">
        <w:t>gefactureerde volumes</w:t>
      </w:r>
      <w:r w:rsidR="00CB36B2" w:rsidRPr="00043B8D">
        <w:t xml:space="preserve"> voor de energieafname</w:t>
      </w:r>
      <w:r w:rsidR="004D7482" w:rsidRPr="00043B8D">
        <w:t xml:space="preserve"> die heeft plaatsgevonden</w:t>
      </w:r>
      <w:r w:rsidR="00CB36B2" w:rsidRPr="00043B8D">
        <w:t xml:space="preserve"> in</w:t>
      </w:r>
      <w:r w:rsidRPr="00043B8D">
        <w:t xml:space="preserve"> de periode</w:t>
      </w:r>
      <w:r w:rsidR="00CB36B2" w:rsidRPr="00043B8D">
        <w:t xml:space="preserve"> vanaf 1</w:t>
      </w:r>
      <w:r w:rsidRPr="00043B8D">
        <w:t xml:space="preserve"> september 2013 tot en met </w:t>
      </w:r>
      <w:r w:rsidR="00CB36B2" w:rsidRPr="00043B8D">
        <w:t xml:space="preserve">31 </w:t>
      </w:r>
      <w:r w:rsidRPr="00043B8D">
        <w:t>augustus 2014</w:t>
      </w:r>
    </w:p>
    <w:p w14:paraId="4992172D" w14:textId="522B731F" w:rsidR="006F7C04" w:rsidRPr="00043B8D" w:rsidRDefault="006F7C04" w:rsidP="005251E2">
      <w:pPr>
        <w:pStyle w:val="Lijstalinea"/>
        <w:numPr>
          <w:ilvl w:val="2"/>
          <w:numId w:val="25"/>
        </w:numPr>
      </w:pPr>
      <w:r w:rsidRPr="00043B8D">
        <w:t>kW, kW</w:t>
      </w:r>
      <w:r w:rsidRPr="00043B8D">
        <w:rPr>
          <w:vertAlign w:val="subscript"/>
        </w:rPr>
        <w:t>max</w:t>
      </w:r>
      <w:r w:rsidRPr="00043B8D">
        <w:t xml:space="preserve"> en kVarh: </w:t>
      </w:r>
      <w:r w:rsidR="00CB36B2" w:rsidRPr="00043B8D">
        <w:t xml:space="preserve">daadwerkelijk </w:t>
      </w:r>
      <w:r w:rsidRPr="00043B8D">
        <w:t>gefactureerde volumes</w:t>
      </w:r>
      <w:r w:rsidR="00CB36B2" w:rsidRPr="00043B8D">
        <w:t xml:space="preserve"> voor de energieafname</w:t>
      </w:r>
      <w:r w:rsidRPr="00043B8D">
        <w:t xml:space="preserve"> </w:t>
      </w:r>
      <w:r w:rsidR="004D7482" w:rsidRPr="00043B8D">
        <w:t xml:space="preserve">die heeft plaatsgevonden </w:t>
      </w:r>
      <w:r w:rsidRPr="00043B8D">
        <w:t xml:space="preserve">in </w:t>
      </w:r>
      <w:r w:rsidR="00CB36B2" w:rsidRPr="00043B8D">
        <w:t xml:space="preserve">de periode vanaf 1 januari </w:t>
      </w:r>
      <w:r w:rsidRPr="00043B8D">
        <w:t>2013</w:t>
      </w:r>
      <w:r w:rsidR="00CB36B2" w:rsidRPr="00043B8D">
        <w:t xml:space="preserve"> tot en met 31 december 2013</w:t>
      </w:r>
    </w:p>
    <w:p w14:paraId="187615BF" w14:textId="69A524B1" w:rsidR="004A4288" w:rsidRPr="00043B8D" w:rsidRDefault="004A4288" w:rsidP="005251E2">
      <w:pPr>
        <w:pStyle w:val="Lijstalinea"/>
        <w:numPr>
          <w:ilvl w:val="2"/>
          <w:numId w:val="25"/>
        </w:numPr>
      </w:pPr>
      <w:r w:rsidRPr="00043B8D">
        <w:t>kVA: het aantal kVA opgesteld per 31/12/2013</w:t>
      </w:r>
      <w:r w:rsidR="0004646E" w:rsidRPr="00043B8D">
        <w:t xml:space="preserve"> m.b.t. </w:t>
      </w:r>
      <w:r w:rsidR="00F53812" w:rsidRPr="00043B8D">
        <w:t>alle</w:t>
      </w:r>
      <w:r w:rsidR="0004646E" w:rsidRPr="00043B8D">
        <w:t xml:space="preserve"> decentrale productie-eenhe</w:t>
      </w:r>
      <w:r w:rsidR="00F53812" w:rsidRPr="00043B8D">
        <w:t>den</w:t>
      </w:r>
      <w:r w:rsidR="0004646E" w:rsidRPr="00043B8D">
        <w:t xml:space="preserve"> </w:t>
      </w:r>
      <w:r w:rsidR="0066736A" w:rsidRPr="00043B8D">
        <w:t xml:space="preserve">aangesloten via toegangspunten </w:t>
      </w:r>
      <w:r w:rsidR="006B31F4" w:rsidRPr="00043B8D">
        <w:t xml:space="preserve">van prosumenten </w:t>
      </w:r>
      <w:r w:rsidR="001230B8" w:rsidRPr="00043B8D">
        <w:t xml:space="preserve">met </w:t>
      </w:r>
      <w:r w:rsidR="0004646E" w:rsidRPr="00043B8D">
        <w:t>terugdraaiende teller</w:t>
      </w:r>
      <w:r w:rsidR="005B0146" w:rsidRPr="00043B8D">
        <w:t>[</w:t>
      </w:r>
      <w:r w:rsidR="00802CC6" w:rsidRPr="00043B8D">
        <w:rPr>
          <w:rStyle w:val="Voetnootmarkering"/>
        </w:rPr>
        <w:footnoteReference w:id="49"/>
      </w:r>
      <w:r w:rsidR="005B0146" w:rsidRPr="00043B8D">
        <w:t>]</w:t>
      </w:r>
      <w:r w:rsidR="005B0146" w:rsidRPr="00043B8D">
        <w:rPr>
          <w:rStyle w:val="Voetnootmarkering"/>
        </w:rPr>
        <w:footnoteReference w:id="50"/>
      </w:r>
    </w:p>
    <w:p w14:paraId="048FF464" w14:textId="77777777" w:rsidR="006F7C04" w:rsidRPr="00043B8D" w:rsidRDefault="006F7C04" w:rsidP="005251E2">
      <w:pPr>
        <w:pStyle w:val="Lijstalinea"/>
        <w:numPr>
          <w:ilvl w:val="1"/>
          <w:numId w:val="25"/>
        </w:numPr>
      </w:pPr>
      <w:r w:rsidRPr="00043B8D">
        <w:t xml:space="preserve">Gereguleerde activiteit elektriciteit – injectie: </w:t>
      </w:r>
    </w:p>
    <w:p w14:paraId="219F5382" w14:textId="67EC5648" w:rsidR="006F7C04" w:rsidRPr="00043B8D" w:rsidRDefault="006F7C04" w:rsidP="005251E2">
      <w:pPr>
        <w:pStyle w:val="Lijstalinea"/>
        <w:numPr>
          <w:ilvl w:val="2"/>
          <w:numId w:val="25"/>
        </w:numPr>
      </w:pPr>
      <w:r w:rsidRPr="00043B8D">
        <w:t xml:space="preserve">kWh: </w:t>
      </w:r>
      <w:r w:rsidR="00CB36B2" w:rsidRPr="00043B8D">
        <w:t xml:space="preserve">daadwerkelijk </w:t>
      </w:r>
      <w:r w:rsidRPr="00043B8D">
        <w:t>gefactureerde volumes</w:t>
      </w:r>
      <w:r w:rsidR="00CB36B2" w:rsidRPr="00043B8D">
        <w:t xml:space="preserve"> voor de energie-injectie</w:t>
      </w:r>
      <w:r w:rsidR="004D7482" w:rsidRPr="00043B8D">
        <w:t xml:space="preserve"> die heeft plaatsgevonden</w:t>
      </w:r>
      <w:r w:rsidRPr="00043B8D">
        <w:t xml:space="preserve"> in</w:t>
      </w:r>
      <w:r w:rsidR="00CB36B2" w:rsidRPr="00043B8D">
        <w:t xml:space="preserve"> de periode vanaf 1 januari</w:t>
      </w:r>
      <w:r w:rsidRPr="00043B8D">
        <w:t xml:space="preserve"> 2013</w:t>
      </w:r>
      <w:r w:rsidR="00CB36B2" w:rsidRPr="00043B8D">
        <w:t xml:space="preserve"> tot en met 31 december 2013</w:t>
      </w:r>
    </w:p>
    <w:p w14:paraId="78535806" w14:textId="77777777" w:rsidR="006F7C04" w:rsidRPr="00043B8D" w:rsidRDefault="006F7C04" w:rsidP="005251E2">
      <w:pPr>
        <w:pStyle w:val="Lijstalinea"/>
        <w:numPr>
          <w:ilvl w:val="1"/>
          <w:numId w:val="25"/>
        </w:numPr>
      </w:pPr>
      <w:r w:rsidRPr="00043B8D">
        <w:t>Gereguleerde activiteit elektriciteit – doorvoer:</w:t>
      </w:r>
    </w:p>
    <w:p w14:paraId="3064C80E" w14:textId="70B7092E" w:rsidR="006F7C04" w:rsidRPr="00043B8D" w:rsidRDefault="006F7C04" w:rsidP="005251E2">
      <w:pPr>
        <w:pStyle w:val="Lijstalinea"/>
        <w:numPr>
          <w:ilvl w:val="2"/>
          <w:numId w:val="25"/>
        </w:numPr>
      </w:pPr>
      <w:r w:rsidRPr="00043B8D">
        <w:t xml:space="preserve">kWh: </w:t>
      </w:r>
      <w:r w:rsidR="00CB36B2" w:rsidRPr="00043B8D">
        <w:t xml:space="preserve">daadwerkelijk </w:t>
      </w:r>
      <w:r w:rsidRPr="00043B8D">
        <w:t>gefactureerde volumes</w:t>
      </w:r>
      <w:r w:rsidR="00CB36B2" w:rsidRPr="00043B8D">
        <w:t xml:space="preserve"> voor </w:t>
      </w:r>
      <w:r w:rsidR="00CB36B2" w:rsidRPr="00043B8D">
        <w:rPr>
          <w:rFonts w:cs="Arial"/>
        </w:rPr>
        <w:t>de doorvoer van energie tussen de distributienetbeheerders onderling</w:t>
      </w:r>
      <w:r w:rsidR="004D7482" w:rsidRPr="00043B8D">
        <w:rPr>
          <w:rFonts w:cs="Arial"/>
        </w:rPr>
        <w:t xml:space="preserve"> die heeft plaatsgevonden</w:t>
      </w:r>
      <w:r w:rsidR="00CB36B2" w:rsidRPr="00043B8D">
        <w:t xml:space="preserve"> </w:t>
      </w:r>
      <w:r w:rsidRPr="00043B8D">
        <w:t xml:space="preserve">in </w:t>
      </w:r>
      <w:r w:rsidR="00CB36B2" w:rsidRPr="00043B8D">
        <w:t xml:space="preserve">de periode vanaf 1 januari </w:t>
      </w:r>
      <w:r w:rsidRPr="00043B8D">
        <w:t>2013</w:t>
      </w:r>
      <w:r w:rsidR="00CB36B2" w:rsidRPr="00043B8D">
        <w:t xml:space="preserve"> tot en met 31 december 2013</w:t>
      </w:r>
    </w:p>
    <w:p w14:paraId="255B8DE4" w14:textId="77777777" w:rsidR="006F7C04" w:rsidRPr="00043B8D" w:rsidRDefault="006F7C04" w:rsidP="005251E2">
      <w:pPr>
        <w:pStyle w:val="Lijstalinea"/>
        <w:numPr>
          <w:ilvl w:val="1"/>
          <w:numId w:val="25"/>
        </w:numPr>
      </w:pPr>
      <w:r w:rsidRPr="00043B8D">
        <w:t>Gereguleerde activiteit gas</w:t>
      </w:r>
      <w:r w:rsidRPr="00043B8D">
        <w:rPr>
          <w:rStyle w:val="Voetnootmarkering"/>
        </w:rPr>
        <w:footnoteReference w:id="51"/>
      </w:r>
      <w:r w:rsidRPr="00043B8D">
        <w:t>:</w:t>
      </w:r>
    </w:p>
    <w:p w14:paraId="445F1E46" w14:textId="77777777" w:rsidR="006F7C04" w:rsidRPr="00043B8D" w:rsidRDefault="006F7C04" w:rsidP="005251E2">
      <w:pPr>
        <w:pStyle w:val="Lijstalinea"/>
        <w:numPr>
          <w:ilvl w:val="2"/>
          <w:numId w:val="25"/>
        </w:numPr>
      </w:pPr>
      <w:r w:rsidRPr="00043B8D">
        <w:t>Voor klanten met een jaarverbruik &lt;= 1.000.000 kWh</w:t>
      </w:r>
    </w:p>
    <w:p w14:paraId="101930FC" w14:textId="38E821AC" w:rsidR="006F7C04" w:rsidRPr="00043B8D" w:rsidRDefault="006F7C04" w:rsidP="005251E2">
      <w:pPr>
        <w:pStyle w:val="Lijstalinea"/>
        <w:numPr>
          <w:ilvl w:val="3"/>
          <w:numId w:val="25"/>
        </w:numPr>
      </w:pPr>
      <w:r w:rsidRPr="00043B8D">
        <w:t xml:space="preserve">kWh: </w:t>
      </w:r>
      <w:r w:rsidR="00CB36B2" w:rsidRPr="00043B8D">
        <w:t xml:space="preserve">daadwerkelijk </w:t>
      </w:r>
      <w:r w:rsidRPr="00043B8D">
        <w:t>gefactureerde volumes</w:t>
      </w:r>
      <w:r w:rsidR="00CB36B2" w:rsidRPr="00043B8D">
        <w:t xml:space="preserve"> voor de energieafname</w:t>
      </w:r>
      <w:r w:rsidR="004D7482" w:rsidRPr="00043B8D">
        <w:t xml:space="preserve"> die heeft plaatsgevonden</w:t>
      </w:r>
      <w:r w:rsidRPr="00043B8D">
        <w:t xml:space="preserve"> in</w:t>
      </w:r>
      <w:r w:rsidR="00CB36B2" w:rsidRPr="00043B8D">
        <w:t xml:space="preserve"> de</w:t>
      </w:r>
      <w:r w:rsidRPr="00043B8D">
        <w:t xml:space="preserve"> </w:t>
      </w:r>
      <w:r w:rsidR="00CB36B2" w:rsidRPr="00043B8D">
        <w:t xml:space="preserve">periode vanaf 1 januari </w:t>
      </w:r>
      <w:r w:rsidRPr="00043B8D">
        <w:t>2013</w:t>
      </w:r>
      <w:r w:rsidR="00CB36B2" w:rsidRPr="00043B8D">
        <w:t xml:space="preserve"> tot en met 31 december 2013</w:t>
      </w:r>
      <w:r w:rsidRPr="00043B8D">
        <w:t>, genormaliseerd op basis van de graaddagen van de laatste 10 jaar</w:t>
      </w:r>
    </w:p>
    <w:p w14:paraId="3178E6F3" w14:textId="77777777" w:rsidR="006F7C04" w:rsidRPr="00043B8D" w:rsidRDefault="006F7C04" w:rsidP="005251E2">
      <w:pPr>
        <w:pStyle w:val="Lijstalinea"/>
        <w:numPr>
          <w:ilvl w:val="2"/>
          <w:numId w:val="25"/>
        </w:numPr>
      </w:pPr>
      <w:r w:rsidRPr="00043B8D">
        <w:t xml:space="preserve">Voor klanten met een jaarverbruik &gt; 1.000.000 kWh </w:t>
      </w:r>
    </w:p>
    <w:p w14:paraId="0640C2FC" w14:textId="3C6095FB" w:rsidR="006F7C04" w:rsidRPr="00043B8D" w:rsidRDefault="006F7C04" w:rsidP="005251E2">
      <w:pPr>
        <w:pStyle w:val="Lijstalinea"/>
        <w:numPr>
          <w:ilvl w:val="3"/>
          <w:numId w:val="25"/>
        </w:numPr>
      </w:pPr>
      <w:r w:rsidRPr="00043B8D">
        <w:t xml:space="preserve">kWh: </w:t>
      </w:r>
      <w:r w:rsidR="00CB36B2" w:rsidRPr="00043B8D">
        <w:t xml:space="preserve">daadwerkelijk </w:t>
      </w:r>
      <w:r w:rsidRPr="00043B8D">
        <w:t xml:space="preserve">gefactureerde volumes </w:t>
      </w:r>
      <w:r w:rsidR="00CB36B2" w:rsidRPr="00043B8D">
        <w:t>voor de energieafname</w:t>
      </w:r>
      <w:r w:rsidR="004D7482" w:rsidRPr="00043B8D">
        <w:t xml:space="preserve"> die heeft plaatsgevonden</w:t>
      </w:r>
      <w:r w:rsidR="00CB36B2" w:rsidRPr="00043B8D">
        <w:t xml:space="preserve"> </w:t>
      </w:r>
      <w:r w:rsidRPr="00043B8D">
        <w:t xml:space="preserve">in </w:t>
      </w:r>
      <w:r w:rsidR="00CB36B2" w:rsidRPr="00043B8D">
        <w:t xml:space="preserve">de periode vanaf 1 januari </w:t>
      </w:r>
      <w:r w:rsidRPr="00043B8D">
        <w:t>2013</w:t>
      </w:r>
      <w:r w:rsidR="00CB36B2" w:rsidRPr="00043B8D">
        <w:t xml:space="preserve"> tot en met 31 december 2013</w:t>
      </w:r>
    </w:p>
    <w:p w14:paraId="7D84F4B1" w14:textId="6066977F" w:rsidR="006F7C04" w:rsidRPr="00043B8D" w:rsidRDefault="006F7C04" w:rsidP="005251E2">
      <w:pPr>
        <w:pStyle w:val="Lijstalinea"/>
        <w:numPr>
          <w:ilvl w:val="3"/>
          <w:numId w:val="25"/>
        </w:numPr>
      </w:pPr>
      <w:r w:rsidRPr="00043B8D">
        <w:t xml:space="preserve">MAXCAP: </w:t>
      </w:r>
      <w:r w:rsidR="00CB36B2" w:rsidRPr="00043B8D">
        <w:t xml:space="preserve">daadwerkelijk </w:t>
      </w:r>
      <w:r w:rsidRPr="00043B8D">
        <w:t>gefactureerde volumes</w:t>
      </w:r>
      <w:r w:rsidR="00CB36B2" w:rsidRPr="00043B8D">
        <w:t xml:space="preserve"> voor de energieafname</w:t>
      </w:r>
      <w:r w:rsidRPr="00043B8D">
        <w:t xml:space="preserve"> </w:t>
      </w:r>
      <w:r w:rsidR="004D7482" w:rsidRPr="00043B8D">
        <w:t xml:space="preserve">die heeft plaatsgevonden </w:t>
      </w:r>
      <w:r w:rsidRPr="00043B8D">
        <w:t>in</w:t>
      </w:r>
      <w:r w:rsidR="00CB36B2" w:rsidRPr="00043B8D">
        <w:t xml:space="preserve"> de periode vanaf 1 januari 2013 tot en met 31 december</w:t>
      </w:r>
      <w:r w:rsidRPr="00043B8D">
        <w:t xml:space="preserve"> 2013</w:t>
      </w:r>
    </w:p>
    <w:p w14:paraId="70AC1E83" w14:textId="77777777" w:rsidR="006F7C04" w:rsidRPr="00043B8D" w:rsidRDefault="006F7C04" w:rsidP="005251E2">
      <w:pPr>
        <w:pStyle w:val="Lijstalinea"/>
        <w:numPr>
          <w:ilvl w:val="2"/>
          <w:numId w:val="25"/>
        </w:numPr>
      </w:pPr>
      <w:r w:rsidRPr="00043B8D">
        <w:t>Doorvoer</w:t>
      </w:r>
    </w:p>
    <w:p w14:paraId="5D41DA0C" w14:textId="5ACED0C1" w:rsidR="006F7C04" w:rsidRPr="00043B8D" w:rsidRDefault="006F7C04" w:rsidP="005251E2">
      <w:pPr>
        <w:pStyle w:val="Lijstalinea"/>
        <w:numPr>
          <w:ilvl w:val="3"/>
          <w:numId w:val="25"/>
        </w:numPr>
      </w:pPr>
      <w:r w:rsidRPr="00043B8D">
        <w:t xml:space="preserve">kWh: </w:t>
      </w:r>
      <w:r w:rsidR="00CB36B2" w:rsidRPr="00043B8D">
        <w:t xml:space="preserve">daadwerkelijk </w:t>
      </w:r>
      <w:r w:rsidRPr="00043B8D">
        <w:t>gefactureerde volumes</w:t>
      </w:r>
      <w:r w:rsidR="00CB36B2" w:rsidRPr="00043B8D">
        <w:t xml:space="preserve"> voor de doorvoer van energie tussen de distributienetbeheerders onderling</w:t>
      </w:r>
      <w:r w:rsidRPr="00043B8D">
        <w:t xml:space="preserve"> </w:t>
      </w:r>
      <w:r w:rsidR="004D7482" w:rsidRPr="00043B8D">
        <w:t xml:space="preserve">die heeft plaatsgevonden </w:t>
      </w:r>
      <w:r w:rsidRPr="00043B8D">
        <w:t>in</w:t>
      </w:r>
      <w:r w:rsidR="00CB36B2" w:rsidRPr="00043B8D">
        <w:t xml:space="preserve"> de periode vanaf 1 januari</w:t>
      </w:r>
      <w:r w:rsidRPr="00043B8D">
        <w:t xml:space="preserve"> 2013</w:t>
      </w:r>
      <w:r w:rsidR="00CB36B2" w:rsidRPr="00043B8D">
        <w:t xml:space="preserve"> tot en met 31 december 2013</w:t>
      </w:r>
    </w:p>
    <w:p w14:paraId="22BDF083" w14:textId="77777777" w:rsidR="00B17862" w:rsidRPr="00043B8D" w:rsidRDefault="00B17862" w:rsidP="002F7A15"/>
    <w:p w14:paraId="0E7212A6" w14:textId="4841E368" w:rsidR="007514A4" w:rsidRPr="00043B8D" w:rsidRDefault="007514A4" w:rsidP="002F7A15">
      <w:r w:rsidRPr="00043B8D">
        <w:t>D</w:t>
      </w:r>
      <w:r w:rsidR="008A795D" w:rsidRPr="00043B8D">
        <w:t>e</w:t>
      </w:r>
      <w:r w:rsidR="001E6DD0" w:rsidRPr="00043B8D">
        <w:t xml:space="preserve"> </w:t>
      </w:r>
      <w:r w:rsidRPr="00043B8D">
        <w:t xml:space="preserve">rekenvolumes </w:t>
      </w:r>
      <w:r w:rsidR="001E6DD0" w:rsidRPr="00043B8D">
        <w:t xml:space="preserve">voor het eerste jaar </w:t>
      </w:r>
      <w:r w:rsidR="001E06F5" w:rsidRPr="00043B8D">
        <w:t xml:space="preserve">(nu 2015) </w:t>
      </w:r>
      <w:r w:rsidRPr="00043B8D">
        <w:t xml:space="preserve">worden in </w:t>
      </w:r>
      <w:r w:rsidR="001E6DD0" w:rsidRPr="00043B8D">
        <w:t xml:space="preserve">één </w:t>
      </w:r>
      <w:r w:rsidRPr="00043B8D">
        <w:t xml:space="preserve">reguleringsperiode jaarlijks opnieuw gebruikt voor de omzetting van </w:t>
      </w:r>
      <w:r w:rsidR="001E6DD0" w:rsidRPr="00043B8D">
        <w:t xml:space="preserve">de </w:t>
      </w:r>
      <w:r w:rsidRPr="00043B8D">
        <w:t>toegelaten inkomen</w:t>
      </w:r>
      <w:r w:rsidR="001E6DD0" w:rsidRPr="00043B8D">
        <w:t>s</w:t>
      </w:r>
      <w:r w:rsidRPr="00043B8D">
        <w:t xml:space="preserve"> naar distributienettarieven</w:t>
      </w:r>
      <w:r w:rsidR="001E6DD0" w:rsidRPr="00043B8D">
        <w:t>,</w:t>
      </w:r>
      <w:r w:rsidR="00E75103" w:rsidRPr="00043B8D">
        <w:t xml:space="preserve"> tenzij </w:t>
      </w:r>
      <w:r w:rsidR="007B58E0" w:rsidRPr="00043B8D">
        <w:t xml:space="preserve">de VREG </w:t>
      </w:r>
      <w:r w:rsidR="001E6DD0" w:rsidRPr="00043B8D">
        <w:t xml:space="preserve">om </w:t>
      </w:r>
      <w:r w:rsidR="00E75103" w:rsidRPr="00043B8D">
        <w:t xml:space="preserve">gemotiveerde reden hiervan </w:t>
      </w:r>
      <w:r w:rsidR="007B58E0" w:rsidRPr="00043B8D">
        <w:t>wenst af te wijken</w:t>
      </w:r>
      <w:r w:rsidRPr="00043B8D">
        <w:t xml:space="preserve">. </w:t>
      </w:r>
    </w:p>
    <w:p w14:paraId="494212FE" w14:textId="77777777" w:rsidR="00A2270C" w:rsidRPr="00043B8D" w:rsidRDefault="00A2270C" w:rsidP="007514A4"/>
    <w:p w14:paraId="06DF65F4" w14:textId="77777777" w:rsidR="007514A4" w:rsidRPr="00043B8D" w:rsidRDefault="007514A4" w:rsidP="005251E2">
      <w:pPr>
        <w:pStyle w:val="Kop2"/>
        <w:numPr>
          <w:ilvl w:val="1"/>
          <w:numId w:val="24"/>
        </w:numPr>
        <w:ind w:hanging="644"/>
      </w:pPr>
      <w:bookmarkStart w:id="390" w:name="_Toc454186687"/>
      <w:r w:rsidRPr="00043B8D">
        <w:t>Prijsevoluties tussen opeenvolgende jaren in één reguleringsperiode</w:t>
      </w:r>
      <w:bookmarkEnd w:id="390"/>
    </w:p>
    <w:p w14:paraId="435706A6" w14:textId="77777777" w:rsidR="007514A4" w:rsidRPr="00043B8D" w:rsidRDefault="007514A4" w:rsidP="007514A4"/>
    <w:p w14:paraId="7CA6F34E" w14:textId="6198E593" w:rsidR="007514A4" w:rsidRPr="00043B8D" w:rsidRDefault="007514A4" w:rsidP="007514A4">
      <w:r w:rsidRPr="00043B8D">
        <w:t>Binnen de huidige</w:t>
      </w:r>
      <w:r w:rsidR="00A2270C" w:rsidRPr="00043B8D">
        <w:t>,</w:t>
      </w:r>
      <w:r w:rsidRPr="00043B8D">
        <w:t xml:space="preserve"> bestaande tariefstructuur kan een periodiek distributienettarief </w:t>
      </w:r>
      <w:r w:rsidRPr="00043B8D">
        <w:rPr>
          <w:i/>
        </w:rPr>
        <w:t>t</w:t>
      </w:r>
      <w:r w:rsidRPr="00043B8D">
        <w:t xml:space="preserve"> van een bepaalde distributienetbeheerder </w:t>
      </w:r>
      <w:r w:rsidRPr="00043B8D">
        <w:rPr>
          <w:i/>
        </w:rPr>
        <w:t>i</w:t>
      </w:r>
      <w:r w:rsidRPr="00043B8D">
        <w:t xml:space="preserve"> voor een bepaald jaar </w:t>
      </w:r>
      <w:r w:rsidRPr="00043B8D">
        <w:rPr>
          <w:i/>
        </w:rPr>
        <w:t>j</w:t>
      </w:r>
      <w:r w:rsidRPr="00043B8D">
        <w:t xml:space="preserve"> worden opgebouwd als de som van een tarief voor exogene kosten en een tarief </w:t>
      </w:r>
      <w:r w:rsidR="00177AC1" w:rsidRPr="00043B8D">
        <w:t>voor</w:t>
      </w:r>
      <w:r w:rsidRPr="00043B8D">
        <w:t xml:space="preserve"> niet-exogene kosten. Het tarief </w:t>
      </w:r>
      <w:r w:rsidRPr="00043B8D">
        <w:rPr>
          <w:i/>
        </w:rPr>
        <w:t>t</w:t>
      </w:r>
      <w:r w:rsidRPr="00043B8D">
        <w:rPr>
          <w:i/>
          <w:vertAlign w:val="subscript"/>
        </w:rPr>
        <w:t>j,i</w:t>
      </w:r>
      <w:r w:rsidRPr="00043B8D">
        <w:t xml:space="preserve"> in </w:t>
      </w:r>
      <w:r w:rsidRPr="00043B8D">
        <w:fldChar w:fldCharType="begin"/>
      </w:r>
      <w:r w:rsidRPr="00043B8D">
        <w:instrText xml:space="preserve"> REF _Ref388616399 \h  \* MERGEFORMAT </w:instrText>
      </w:r>
      <w:r w:rsidRPr="00043B8D">
        <w:fldChar w:fldCharType="separate"/>
      </w:r>
      <w:r w:rsidR="00B30F9B" w:rsidRPr="00B30F9B">
        <w:t xml:space="preserve">formule </w:t>
      </w:r>
      <w:r w:rsidR="00B30F9B" w:rsidRPr="00B30F9B">
        <w:rPr>
          <w:noProof/>
        </w:rPr>
        <w:t>1</w:t>
      </w:r>
      <w:r w:rsidRPr="00043B8D">
        <w:fldChar w:fldCharType="end"/>
      </w:r>
      <w:r w:rsidRPr="00043B8D">
        <w:t xml:space="preserve"> kan dan als volgt uitgeschreven worden</w:t>
      </w:r>
      <w:r w:rsidR="00154610" w:rsidRPr="00043B8D">
        <w:t xml:space="preserve"> (</w:t>
      </w:r>
      <w:r w:rsidR="00154610" w:rsidRPr="00043B8D">
        <w:fldChar w:fldCharType="begin"/>
      </w:r>
      <w:r w:rsidR="00154610" w:rsidRPr="00043B8D">
        <w:instrText xml:space="preserve"> REF _Ref391992307 \h  \* MERGEFORMAT </w:instrText>
      </w:r>
      <w:r w:rsidR="00154610" w:rsidRPr="00043B8D">
        <w:fldChar w:fldCharType="separate"/>
      </w:r>
      <w:r w:rsidR="00B30F9B" w:rsidRPr="00B30F9B">
        <w:t xml:space="preserve">formule </w:t>
      </w:r>
      <w:r w:rsidR="00B30F9B" w:rsidRPr="00B30F9B">
        <w:rPr>
          <w:noProof/>
        </w:rPr>
        <w:t>18</w:t>
      </w:r>
      <w:r w:rsidR="00154610" w:rsidRPr="00043B8D">
        <w:fldChar w:fldCharType="end"/>
      </w:r>
      <w:r w:rsidR="00154610" w:rsidRPr="00043B8D">
        <w:t>)</w:t>
      </w:r>
      <w:r w:rsidR="00177AC1" w:rsidRPr="00043B8D">
        <w:t>:</w:t>
      </w:r>
    </w:p>
    <w:p w14:paraId="2BD0F1D8" w14:textId="77777777" w:rsidR="007514A4" w:rsidRPr="00043B8D" w:rsidRDefault="007514A4" w:rsidP="007514A4"/>
    <w:p w14:paraId="09DAC4B6" w14:textId="77777777" w:rsidR="007514A4" w:rsidRPr="00043B8D" w:rsidRDefault="000937A6" w:rsidP="007514A4">
      <w:pPr>
        <w:pStyle w:val="StijlStijlBijschriftCambriaMathNietVetCursiefVet"/>
        <w:pBdr>
          <w:top w:val="dotted" w:sz="4" w:space="1" w:color="auto"/>
          <w:left w:val="dotted" w:sz="4" w:space="4" w:color="auto"/>
          <w:bottom w:val="dotted" w:sz="4" w:space="1" w:color="auto"/>
          <w:right w:val="dotted" w:sz="4" w:space="4" w:color="auto"/>
        </w:pBdr>
        <w:jc w:val="center"/>
        <w:rPr>
          <w:b w:val="0"/>
          <w:i/>
        </w:rPr>
      </w:pPr>
      <m:oMath>
        <m:sSub>
          <m:sSubPr>
            <m:ctrlPr>
              <w:rPr>
                <w:b w:val="0"/>
                <w:i/>
              </w:rPr>
            </m:ctrlPr>
          </m:sSubPr>
          <m:e>
            <m:r>
              <m:rPr>
                <m:sty m:val="bi"/>
              </m:rPr>
              <m:t>t</m:t>
            </m:r>
          </m:e>
          <m:sub>
            <m:r>
              <m:rPr>
                <m:sty m:val="bi"/>
              </m:rPr>
              <m:t>j,i</m:t>
            </m:r>
          </m:sub>
        </m:sSub>
        <m:r>
          <m:rPr>
            <m:sty m:val="bi"/>
          </m:rPr>
          <m:t>=</m:t>
        </m:r>
        <m:sSub>
          <m:sSubPr>
            <m:ctrlPr>
              <w:rPr>
                <w:b w:val="0"/>
                <w:i/>
              </w:rPr>
            </m:ctrlPr>
          </m:sSubPr>
          <m:e>
            <m:r>
              <m:rPr>
                <m:sty m:val="bi"/>
              </m:rPr>
              <m:t>t</m:t>
            </m:r>
          </m:e>
          <m:sub>
            <m:r>
              <m:rPr>
                <m:sty m:val="bi"/>
              </m:rPr>
              <m:t>ex,,j,i</m:t>
            </m:r>
          </m:sub>
        </m:sSub>
        <m:r>
          <m:rPr>
            <m:sty m:val="bi"/>
          </m:rPr>
          <m:t>+</m:t>
        </m:r>
        <m:sSub>
          <m:sSubPr>
            <m:ctrlPr>
              <w:rPr>
                <w:b w:val="0"/>
                <w:i/>
              </w:rPr>
            </m:ctrlPr>
          </m:sSubPr>
          <m:e>
            <m:r>
              <m:rPr>
                <m:sty m:val="bi"/>
              </m:rPr>
              <m:t>t</m:t>
            </m:r>
          </m:e>
          <m:sub>
            <m:r>
              <m:rPr>
                <m:sty m:val="bi"/>
              </m:rPr>
              <m:t>n-ex,j,i</m:t>
            </m:r>
          </m:sub>
        </m:sSub>
      </m:oMath>
      <w:r w:rsidR="007514A4" w:rsidRPr="00043B8D">
        <w:rPr>
          <w:b w:val="0"/>
          <w:i/>
        </w:rPr>
        <w:tab/>
      </w:r>
      <w:r w:rsidR="007514A4" w:rsidRPr="00043B8D">
        <w:rPr>
          <w:b w:val="0"/>
          <w:i/>
        </w:rPr>
        <w:tab/>
      </w:r>
    </w:p>
    <w:p w14:paraId="28B93A68" w14:textId="69567177" w:rsidR="007514A4" w:rsidRPr="000D284A" w:rsidRDefault="007514A4" w:rsidP="000D284A">
      <w:pPr>
        <w:pStyle w:val="Bijschrift"/>
        <w:jc w:val="right"/>
        <w:rPr>
          <w:b w:val="0"/>
          <w:i/>
        </w:rPr>
      </w:pPr>
      <w:r w:rsidRPr="000D284A">
        <w:rPr>
          <w:b w:val="0"/>
          <w:i/>
        </w:rPr>
        <w:tab/>
      </w:r>
      <w:bookmarkStart w:id="391" w:name="_Ref391992307"/>
      <w:r w:rsidRPr="000D284A">
        <w:rPr>
          <w:b w:val="0"/>
          <w:i/>
        </w:rPr>
        <w:t xml:space="preserve">formule </w:t>
      </w:r>
      <w:r w:rsidRPr="000D284A">
        <w:rPr>
          <w:b w:val="0"/>
          <w:i/>
        </w:rPr>
        <w:fldChar w:fldCharType="begin"/>
      </w:r>
      <w:r w:rsidRPr="000D284A">
        <w:rPr>
          <w:b w:val="0"/>
          <w:i/>
        </w:rPr>
        <w:instrText xml:space="preserve"> SEQ formule \* ARABIC </w:instrText>
      </w:r>
      <w:r w:rsidRPr="000D284A">
        <w:rPr>
          <w:b w:val="0"/>
          <w:i/>
        </w:rPr>
        <w:fldChar w:fldCharType="separate"/>
      </w:r>
      <w:r w:rsidR="00BD536B">
        <w:rPr>
          <w:b w:val="0"/>
          <w:i/>
          <w:noProof/>
        </w:rPr>
        <w:t>22</w:t>
      </w:r>
      <w:r w:rsidRPr="000D284A">
        <w:rPr>
          <w:b w:val="0"/>
          <w:i/>
        </w:rPr>
        <w:fldChar w:fldCharType="end"/>
      </w:r>
      <w:bookmarkEnd w:id="391"/>
    </w:p>
    <w:p w14:paraId="65027BC6" w14:textId="77777777" w:rsidR="007514A4" w:rsidRPr="00043B8D" w:rsidRDefault="007514A4" w:rsidP="007514A4"/>
    <w:p w14:paraId="2B534C86" w14:textId="77777777" w:rsidR="007514A4" w:rsidRPr="00043B8D" w:rsidRDefault="007514A4" w:rsidP="007514A4">
      <w:pPr>
        <w:tabs>
          <w:tab w:val="left" w:pos="1701"/>
        </w:tabs>
        <w:rPr>
          <w:rFonts w:cs="Tahoma"/>
          <w:lang w:val="nl-BE"/>
        </w:rPr>
      </w:pPr>
      <w:r w:rsidRPr="00043B8D">
        <w:rPr>
          <w:rFonts w:cs="Tahoma"/>
          <w:lang w:val="nl-BE"/>
        </w:rPr>
        <w:t>Met hierin:</w:t>
      </w:r>
    </w:p>
    <w:p w14:paraId="35AB723E" w14:textId="4E3AD891" w:rsidR="007514A4" w:rsidRPr="00043B8D" w:rsidRDefault="007514A4" w:rsidP="007514A4">
      <w:pPr>
        <w:ind w:left="1418" w:hanging="709"/>
        <w:rPr>
          <w:rFonts w:cs="Tahoma"/>
          <w:i/>
          <w:lang w:val="nl-BE"/>
        </w:rPr>
      </w:pPr>
      <w:r w:rsidRPr="00043B8D">
        <w:rPr>
          <w:rFonts w:cs="Tahoma"/>
          <w:i/>
          <w:lang w:val="nl-BE"/>
        </w:rPr>
        <w:t>t</w:t>
      </w:r>
      <w:r w:rsidRPr="00043B8D">
        <w:rPr>
          <w:rFonts w:cs="Tahoma"/>
          <w:i/>
          <w:vertAlign w:val="subscript"/>
          <w:lang w:val="nl-BE"/>
        </w:rPr>
        <w:t>j,i</w:t>
      </w:r>
      <w:r w:rsidRPr="00043B8D">
        <w:rPr>
          <w:rFonts w:cs="Tahoma"/>
          <w:i/>
          <w:lang w:val="nl-BE"/>
        </w:rPr>
        <w:tab/>
        <w:t>Het periodiek distributienettarief van distributienetbeheerder i voor jaar j voor een bepaalde klantengroep en een bepaalde categorie in de tariefstructuur.</w:t>
      </w:r>
      <w:r w:rsidR="00D022CF" w:rsidRPr="00043B8D">
        <w:rPr>
          <w:rFonts w:cs="Tahoma"/>
          <w:i/>
          <w:lang w:val="nl-BE"/>
        </w:rPr>
        <w:t xml:space="preserve"> (EUR/tariefdrager)</w:t>
      </w:r>
    </w:p>
    <w:p w14:paraId="0D4A8BE5" w14:textId="77777777" w:rsidR="007514A4" w:rsidRPr="00043B8D" w:rsidRDefault="007514A4" w:rsidP="007514A4">
      <w:pPr>
        <w:tabs>
          <w:tab w:val="left" w:pos="1701"/>
        </w:tabs>
        <w:rPr>
          <w:rFonts w:cs="Tahoma"/>
          <w:lang w:val="nl-BE"/>
        </w:rPr>
      </w:pPr>
    </w:p>
    <w:p w14:paraId="7FE57BB9" w14:textId="1A0F3C54" w:rsidR="007514A4" w:rsidRPr="00043B8D" w:rsidRDefault="007514A4" w:rsidP="007514A4">
      <w:pPr>
        <w:tabs>
          <w:tab w:val="left" w:pos="1418"/>
        </w:tabs>
        <w:ind w:left="1418" w:hanging="710"/>
      </w:pPr>
      <w:r w:rsidRPr="00043B8D">
        <w:rPr>
          <w:rFonts w:cs="Tahoma"/>
          <w:i/>
        </w:rPr>
        <w:t>t</w:t>
      </w:r>
      <w:r w:rsidRPr="00043B8D">
        <w:rPr>
          <w:rFonts w:cs="Tahoma"/>
          <w:i/>
          <w:vertAlign w:val="subscript"/>
        </w:rPr>
        <w:t>ex,j,i</w:t>
      </w:r>
      <w:r w:rsidRPr="00043B8D">
        <w:rPr>
          <w:rFonts w:cs="Tahoma"/>
          <w:i/>
        </w:rPr>
        <w:tab/>
        <w:t xml:space="preserve">Het deel van het </w:t>
      </w:r>
      <w:r w:rsidRPr="00043B8D">
        <w:rPr>
          <w:rFonts w:cs="Tahoma"/>
          <w:i/>
          <w:lang w:val="nl-BE"/>
        </w:rPr>
        <w:t>periodiek distributienettarief t</w:t>
      </w:r>
      <w:r w:rsidRPr="00043B8D">
        <w:rPr>
          <w:rFonts w:cs="Tahoma"/>
          <w:i/>
          <w:vertAlign w:val="subscript"/>
          <w:lang w:val="nl-BE"/>
        </w:rPr>
        <w:t>j,i</w:t>
      </w:r>
      <w:r w:rsidRPr="00043B8D">
        <w:rPr>
          <w:rFonts w:cs="Tahoma"/>
          <w:i/>
          <w:lang w:val="nl-BE"/>
        </w:rPr>
        <w:t xml:space="preserve"> van distributienetbeheerder i voor jaar j voor een bepaalde klantengroep en een bepaalde categorie in de tariefstructuur dat werd afgeleid uit </w:t>
      </w:r>
      <w:r w:rsidR="00F435BF" w:rsidRPr="00043B8D">
        <w:rPr>
          <w:rFonts w:cs="Tahoma"/>
          <w:i/>
          <w:lang w:val="nl-BE"/>
        </w:rPr>
        <w:t>het</w:t>
      </w:r>
      <w:r w:rsidRPr="00043B8D">
        <w:rPr>
          <w:rFonts w:cs="Tahoma"/>
          <w:i/>
          <w:lang w:val="nl-BE"/>
        </w:rPr>
        <w:t xml:space="preserve"> </w:t>
      </w:r>
      <w:r w:rsidR="007B6D1D" w:rsidRPr="00043B8D">
        <w:rPr>
          <w:rFonts w:cs="Tahoma"/>
          <w:i/>
          <w:lang w:val="nl-BE"/>
        </w:rPr>
        <w:t xml:space="preserve">toegelaten inkomen voor </w:t>
      </w:r>
      <w:r w:rsidRPr="00043B8D">
        <w:rPr>
          <w:rFonts w:cs="Tahoma"/>
          <w:i/>
          <w:lang w:val="nl-BE"/>
        </w:rPr>
        <w:t>exogene kosten voor dat jaar j.</w:t>
      </w:r>
      <w:r w:rsidR="00D022CF" w:rsidRPr="00043B8D">
        <w:rPr>
          <w:rFonts w:cs="Tahoma"/>
          <w:i/>
          <w:lang w:val="nl-BE"/>
        </w:rPr>
        <w:t xml:space="preserve"> (EUR/tariefdrager)</w:t>
      </w:r>
      <w:r w:rsidRPr="00043B8D">
        <w:rPr>
          <w:rFonts w:cs="Tahoma"/>
          <w:i/>
          <w:lang w:val="nl-BE"/>
        </w:rPr>
        <w:t xml:space="preserve"> </w:t>
      </w:r>
    </w:p>
    <w:p w14:paraId="21C85681" w14:textId="77777777" w:rsidR="007514A4" w:rsidRPr="00043B8D" w:rsidRDefault="007514A4" w:rsidP="007514A4"/>
    <w:p w14:paraId="1DAB54BA" w14:textId="558A3130" w:rsidR="007514A4" w:rsidRPr="00043B8D" w:rsidRDefault="007514A4" w:rsidP="007514A4">
      <w:pPr>
        <w:tabs>
          <w:tab w:val="left" w:pos="1418"/>
        </w:tabs>
        <w:ind w:left="1418" w:hanging="710"/>
      </w:pPr>
      <w:r w:rsidRPr="00043B8D">
        <w:rPr>
          <w:rFonts w:cs="Tahoma"/>
          <w:i/>
        </w:rPr>
        <w:t>t</w:t>
      </w:r>
      <w:r w:rsidRPr="00043B8D">
        <w:rPr>
          <w:rFonts w:cs="Tahoma"/>
          <w:i/>
          <w:vertAlign w:val="subscript"/>
        </w:rPr>
        <w:t>n-ex,j,i</w:t>
      </w:r>
      <w:r w:rsidRPr="00043B8D">
        <w:rPr>
          <w:rFonts w:cs="Tahoma"/>
          <w:i/>
        </w:rPr>
        <w:tab/>
        <w:t xml:space="preserve">Het deel van het </w:t>
      </w:r>
      <w:r w:rsidRPr="00043B8D">
        <w:rPr>
          <w:rFonts w:cs="Tahoma"/>
          <w:i/>
          <w:lang w:val="nl-BE"/>
        </w:rPr>
        <w:t>periodiek distributienettarief t</w:t>
      </w:r>
      <w:r w:rsidRPr="00043B8D">
        <w:rPr>
          <w:rFonts w:cs="Tahoma"/>
          <w:i/>
          <w:vertAlign w:val="subscript"/>
          <w:lang w:val="nl-BE"/>
        </w:rPr>
        <w:t>j,i</w:t>
      </w:r>
      <w:r w:rsidRPr="00043B8D">
        <w:rPr>
          <w:rFonts w:cs="Tahoma"/>
          <w:i/>
          <w:lang w:val="nl-BE"/>
        </w:rPr>
        <w:t xml:space="preserve"> van distributienetbeheerder i voor jaar j voor een bepaalde klantengroep en een bepaalde categorie in de tariefstructuur dat werd afgeleid uit </w:t>
      </w:r>
      <w:r w:rsidR="00F435BF" w:rsidRPr="00043B8D">
        <w:rPr>
          <w:rFonts w:cs="Tahoma"/>
          <w:i/>
          <w:lang w:val="nl-BE"/>
        </w:rPr>
        <w:t>het</w:t>
      </w:r>
      <w:r w:rsidR="007B6D1D" w:rsidRPr="00043B8D">
        <w:rPr>
          <w:rFonts w:cs="Tahoma"/>
          <w:i/>
          <w:lang w:val="nl-BE"/>
        </w:rPr>
        <w:t xml:space="preserve"> </w:t>
      </w:r>
      <w:r w:rsidR="001667E1" w:rsidRPr="00043B8D">
        <w:rPr>
          <w:rFonts w:cs="Tahoma"/>
          <w:i/>
          <w:lang w:val="nl-BE"/>
        </w:rPr>
        <w:t>toegelaten</w:t>
      </w:r>
      <w:r w:rsidRPr="00043B8D">
        <w:rPr>
          <w:rFonts w:cs="Tahoma"/>
          <w:i/>
          <w:lang w:val="nl-BE"/>
        </w:rPr>
        <w:t xml:space="preserve"> inkomen</w:t>
      </w:r>
      <w:r w:rsidR="007B6D1D" w:rsidRPr="00043B8D">
        <w:rPr>
          <w:rFonts w:cs="Tahoma"/>
          <w:i/>
          <w:lang w:val="nl-BE"/>
        </w:rPr>
        <w:t xml:space="preserve"> voor</w:t>
      </w:r>
      <w:r w:rsidRPr="00043B8D">
        <w:rPr>
          <w:rFonts w:cs="Tahoma"/>
          <w:i/>
          <w:lang w:val="nl-BE"/>
        </w:rPr>
        <w:t xml:space="preserve"> niet-exogene kosten voor dat jaar j.</w:t>
      </w:r>
      <w:r w:rsidR="00D022CF" w:rsidRPr="00043B8D">
        <w:rPr>
          <w:rFonts w:cs="Tahoma"/>
          <w:i/>
          <w:lang w:val="nl-BE"/>
        </w:rPr>
        <w:t xml:space="preserve"> (EUR/tariefdrager)</w:t>
      </w:r>
      <w:r w:rsidRPr="00043B8D">
        <w:rPr>
          <w:rFonts w:cs="Tahoma"/>
          <w:i/>
          <w:lang w:val="nl-BE"/>
        </w:rPr>
        <w:t xml:space="preserve"> </w:t>
      </w:r>
    </w:p>
    <w:p w14:paraId="50DE3072" w14:textId="77777777" w:rsidR="007514A4" w:rsidRPr="00043B8D" w:rsidRDefault="007514A4" w:rsidP="007514A4">
      <w:pPr>
        <w:tabs>
          <w:tab w:val="left" w:pos="1418"/>
        </w:tabs>
        <w:rPr>
          <w:rFonts w:cs="Tahoma"/>
        </w:rPr>
      </w:pPr>
    </w:p>
    <w:p w14:paraId="76F56D30" w14:textId="05D69190" w:rsidR="007514A4" w:rsidRPr="00043B8D" w:rsidRDefault="007514A4" w:rsidP="007514A4">
      <w:pPr>
        <w:tabs>
          <w:tab w:val="left" w:pos="1701"/>
        </w:tabs>
        <w:rPr>
          <w:rFonts w:cs="Tahoma"/>
        </w:rPr>
      </w:pPr>
      <w:r w:rsidRPr="00043B8D">
        <w:rPr>
          <w:rFonts w:cs="Tahoma"/>
        </w:rPr>
        <w:t xml:space="preserve">Een opdeling van de tariefstructuur </w:t>
      </w:r>
      <w:r w:rsidR="000C03DF" w:rsidRPr="00043B8D">
        <w:rPr>
          <w:rFonts w:cs="Tahoma"/>
        </w:rPr>
        <w:t xml:space="preserve">volgens </w:t>
      </w:r>
      <w:r w:rsidR="000C03DF" w:rsidRPr="00043B8D">
        <w:rPr>
          <w:rFonts w:cs="Tahoma"/>
        </w:rPr>
        <w:fldChar w:fldCharType="begin"/>
      </w:r>
      <w:r w:rsidR="000C03DF" w:rsidRPr="00043B8D">
        <w:rPr>
          <w:rFonts w:cs="Tahoma"/>
        </w:rPr>
        <w:instrText xml:space="preserve"> REF _Ref391992307 \h  \* MERGEFORMAT </w:instrText>
      </w:r>
      <w:r w:rsidR="000C03DF" w:rsidRPr="00043B8D">
        <w:rPr>
          <w:rFonts w:cs="Tahoma"/>
        </w:rPr>
      </w:r>
      <w:r w:rsidR="000C03DF" w:rsidRPr="00043B8D">
        <w:rPr>
          <w:rFonts w:cs="Tahoma"/>
        </w:rPr>
        <w:fldChar w:fldCharType="separate"/>
      </w:r>
      <w:r w:rsidR="00B30F9B" w:rsidRPr="00B30F9B">
        <w:t xml:space="preserve">formule </w:t>
      </w:r>
      <w:r w:rsidR="00B30F9B" w:rsidRPr="00B30F9B">
        <w:rPr>
          <w:noProof/>
        </w:rPr>
        <w:t>18</w:t>
      </w:r>
      <w:r w:rsidR="000C03DF" w:rsidRPr="00043B8D">
        <w:rPr>
          <w:rFonts w:cs="Tahoma"/>
        </w:rPr>
        <w:fldChar w:fldCharType="end"/>
      </w:r>
      <w:r w:rsidR="000C03DF" w:rsidRPr="00043B8D">
        <w:rPr>
          <w:rFonts w:cs="Tahoma"/>
        </w:rPr>
        <w:t xml:space="preserve"> met</w:t>
      </w:r>
      <w:r w:rsidR="00E114DE" w:rsidRPr="00043B8D">
        <w:rPr>
          <w:rFonts w:cs="Tahoma"/>
        </w:rPr>
        <w:t xml:space="preserve"> </w:t>
      </w:r>
      <w:r w:rsidR="00177AC1" w:rsidRPr="00043B8D">
        <w:rPr>
          <w:rFonts w:cs="Tahoma"/>
        </w:rPr>
        <w:t xml:space="preserve">een </w:t>
      </w:r>
      <w:r w:rsidRPr="00043B8D">
        <w:rPr>
          <w:rFonts w:cs="Tahoma"/>
        </w:rPr>
        <w:t xml:space="preserve">inkomen </w:t>
      </w:r>
      <w:r w:rsidR="00177AC1" w:rsidRPr="00043B8D">
        <w:rPr>
          <w:rFonts w:cs="Tahoma"/>
        </w:rPr>
        <w:t>voor</w:t>
      </w:r>
      <w:r w:rsidRPr="00043B8D">
        <w:rPr>
          <w:rFonts w:cs="Tahoma"/>
        </w:rPr>
        <w:t xml:space="preserve"> exogene en niet-exogene kosten zou </w:t>
      </w:r>
      <w:r w:rsidR="000C03DF" w:rsidRPr="00043B8D">
        <w:rPr>
          <w:rFonts w:cs="Tahoma"/>
        </w:rPr>
        <w:t xml:space="preserve">misschien </w:t>
      </w:r>
      <w:r w:rsidR="00E114DE" w:rsidRPr="00043B8D">
        <w:rPr>
          <w:rFonts w:cs="Tahoma"/>
        </w:rPr>
        <w:t xml:space="preserve">de </w:t>
      </w:r>
      <w:r w:rsidR="000C03DF" w:rsidRPr="00043B8D">
        <w:rPr>
          <w:rFonts w:cs="Tahoma"/>
        </w:rPr>
        <w:t xml:space="preserve">duidelijkheid voor de </w:t>
      </w:r>
      <w:r w:rsidR="00055821" w:rsidRPr="00043B8D">
        <w:rPr>
          <w:rFonts w:cs="Tahoma"/>
        </w:rPr>
        <w:t>distributienetgebruiker</w:t>
      </w:r>
      <w:r w:rsidR="00E114DE" w:rsidRPr="00043B8D">
        <w:rPr>
          <w:rFonts w:cs="Tahoma"/>
        </w:rPr>
        <w:t xml:space="preserve"> ten goede kunnen komen</w:t>
      </w:r>
      <w:r w:rsidR="000C03DF" w:rsidRPr="00043B8D">
        <w:rPr>
          <w:rFonts w:cs="Tahoma"/>
        </w:rPr>
        <w:t>, indien hij daar behoefte aan zou hebben,</w:t>
      </w:r>
      <w:r w:rsidR="00E114DE" w:rsidRPr="00043B8D">
        <w:rPr>
          <w:rFonts w:cs="Tahoma"/>
        </w:rPr>
        <w:t xml:space="preserve"> </w:t>
      </w:r>
      <w:r w:rsidRPr="00043B8D">
        <w:rPr>
          <w:rFonts w:cs="Tahoma"/>
        </w:rPr>
        <w:t xml:space="preserve">maar </w:t>
      </w:r>
      <w:r w:rsidR="00F435BF" w:rsidRPr="00043B8D">
        <w:rPr>
          <w:rFonts w:cs="Tahoma"/>
        </w:rPr>
        <w:t xml:space="preserve">is in </w:t>
      </w:r>
      <w:r w:rsidRPr="00043B8D">
        <w:rPr>
          <w:rFonts w:cs="Tahoma"/>
        </w:rPr>
        <w:t xml:space="preserve">de korte tijdspanne die rest tot begin </w:t>
      </w:r>
      <w:r w:rsidR="00F30305" w:rsidRPr="00043B8D">
        <w:rPr>
          <w:rFonts w:cs="Tahoma"/>
        </w:rPr>
        <w:t xml:space="preserve">2015 </w:t>
      </w:r>
      <w:r w:rsidR="00E114DE" w:rsidRPr="00043B8D">
        <w:rPr>
          <w:rFonts w:cs="Tahoma"/>
        </w:rPr>
        <w:t>niet haalbaar.</w:t>
      </w:r>
    </w:p>
    <w:p w14:paraId="406ABA3B" w14:textId="77777777" w:rsidR="007514A4" w:rsidRPr="00043B8D" w:rsidRDefault="007514A4" w:rsidP="007514A4">
      <w:pPr>
        <w:tabs>
          <w:tab w:val="left" w:pos="1701"/>
        </w:tabs>
        <w:rPr>
          <w:rFonts w:cs="Tahoma"/>
        </w:rPr>
      </w:pPr>
    </w:p>
    <w:p w14:paraId="59774392" w14:textId="3C378956" w:rsidR="007514A4" w:rsidRPr="00043B8D" w:rsidRDefault="007514A4" w:rsidP="007514A4">
      <w:pPr>
        <w:tabs>
          <w:tab w:val="left" w:pos="1701"/>
        </w:tabs>
        <w:rPr>
          <w:rFonts w:cs="Tahoma"/>
        </w:rPr>
      </w:pPr>
      <w:r w:rsidRPr="00043B8D">
        <w:rPr>
          <w:rFonts w:cs="Tahoma"/>
        </w:rPr>
        <w:t xml:space="preserve">Om redenen van niet-discriminatie, transparantie en stabiliteit evolueert de tariefcomponent m.b.t. de niet-exogene kosten binnen een reguleringsperiode jaar-op-jaar </w:t>
      </w:r>
      <w:r w:rsidR="00590DE6" w:rsidRPr="00043B8D">
        <w:rPr>
          <w:rFonts w:cs="Tahoma"/>
        </w:rPr>
        <w:t>in analogie</w:t>
      </w:r>
      <w:r w:rsidRPr="00043B8D">
        <w:rPr>
          <w:rFonts w:cs="Tahoma"/>
        </w:rPr>
        <w:t xml:space="preserve"> met de evolutie van het aan de distributienetbeheerder toegelaten inkomen voor niet-exogene kosten</w:t>
      </w:r>
      <w:r w:rsidR="00416122" w:rsidRPr="00043B8D">
        <w:rPr>
          <w:rStyle w:val="Voetnootmarkering"/>
          <w:rFonts w:cs="Tahoma"/>
        </w:rPr>
        <w:footnoteReference w:id="52"/>
      </w:r>
      <w:r w:rsidRPr="00043B8D">
        <w:rPr>
          <w:rFonts w:cs="Tahoma"/>
        </w:rPr>
        <w:t xml:space="preserve">. Dit wordt weergegeven in </w:t>
      </w:r>
      <w:r w:rsidRPr="00043B8D">
        <w:rPr>
          <w:rFonts w:cs="Tahoma"/>
        </w:rPr>
        <w:fldChar w:fldCharType="begin"/>
      </w:r>
      <w:r w:rsidRPr="00043B8D">
        <w:rPr>
          <w:rFonts w:cs="Tahoma"/>
        </w:rPr>
        <w:instrText xml:space="preserve"> REF _Ref388627708 \h  \* MERGEFORMAT </w:instrText>
      </w:r>
      <w:r w:rsidRPr="00043B8D">
        <w:rPr>
          <w:rFonts w:cs="Tahoma"/>
        </w:rPr>
      </w:r>
      <w:r w:rsidRPr="00043B8D">
        <w:rPr>
          <w:rFonts w:cs="Tahoma"/>
        </w:rPr>
        <w:fldChar w:fldCharType="separate"/>
      </w:r>
      <w:r w:rsidR="00B30F9B" w:rsidRPr="00B30F9B">
        <w:t xml:space="preserve">formule </w:t>
      </w:r>
      <w:r w:rsidR="00B30F9B" w:rsidRPr="00B30F9B">
        <w:rPr>
          <w:noProof/>
        </w:rPr>
        <w:t>19</w:t>
      </w:r>
      <w:r w:rsidRPr="00043B8D">
        <w:rPr>
          <w:rFonts w:cs="Tahoma"/>
        </w:rPr>
        <w:fldChar w:fldCharType="end"/>
      </w:r>
      <w:r w:rsidRPr="00043B8D">
        <w:rPr>
          <w:rFonts w:cs="Tahoma"/>
        </w:rPr>
        <w:t xml:space="preserve"> voor een bepaalde distributienetbeheerder.</w:t>
      </w:r>
    </w:p>
    <w:p w14:paraId="1A6A46CD" w14:textId="77777777" w:rsidR="00D37FA0" w:rsidRPr="00043B8D" w:rsidRDefault="00D37FA0" w:rsidP="007514A4">
      <w:pPr>
        <w:tabs>
          <w:tab w:val="left" w:pos="1701"/>
        </w:tabs>
        <w:rPr>
          <w:rFonts w:cs="Tahoma"/>
        </w:rPr>
      </w:pPr>
    </w:p>
    <w:p w14:paraId="6976B465" w14:textId="77777777" w:rsidR="007514A4" w:rsidRPr="00043B8D" w:rsidRDefault="000937A6" w:rsidP="007514A4">
      <w:pPr>
        <w:pStyle w:val="StijlStijlBijschriftCambriaMathNietVetCursiefVet"/>
        <w:pBdr>
          <w:top w:val="dotted" w:sz="4" w:space="1" w:color="auto"/>
          <w:left w:val="dotted" w:sz="4" w:space="5" w:color="auto"/>
          <w:bottom w:val="dotted" w:sz="4" w:space="1" w:color="auto"/>
          <w:right w:val="dotted" w:sz="4" w:space="4" w:color="auto"/>
        </w:pBdr>
        <w:jc w:val="center"/>
        <w:rPr>
          <w:b w:val="0"/>
          <w:i/>
        </w:rPr>
      </w:pPr>
      <m:oMath>
        <m:sSub>
          <m:sSubPr>
            <m:ctrlPr>
              <w:rPr>
                <w:b w:val="0"/>
                <w:i/>
              </w:rPr>
            </m:ctrlPr>
          </m:sSubPr>
          <m:e>
            <m:r>
              <m:rPr>
                <m:sty m:val="bi"/>
              </m:rPr>
              <m:t>t</m:t>
            </m:r>
          </m:e>
          <m:sub>
            <m:r>
              <m:rPr>
                <m:sty m:val="bi"/>
              </m:rPr>
              <m:t>n-ex,j,i</m:t>
            </m:r>
          </m:sub>
        </m:sSub>
        <m:r>
          <m:rPr>
            <m:sty m:val="bi"/>
          </m:rPr>
          <m:t xml:space="preserve">= </m:t>
        </m:r>
        <m:sSub>
          <m:sSubPr>
            <m:ctrlPr>
              <w:rPr>
                <w:b w:val="0"/>
                <w:i/>
              </w:rPr>
            </m:ctrlPr>
          </m:sSubPr>
          <m:e>
            <m:r>
              <m:rPr>
                <m:sty m:val="bi"/>
              </m:rPr>
              <m:t>t</m:t>
            </m:r>
          </m:e>
          <m:sub>
            <m:r>
              <m:rPr>
                <m:sty m:val="bi"/>
              </m:rPr>
              <m:t>n-ex,j-1,i</m:t>
            </m:r>
          </m:sub>
        </m:sSub>
        <m:r>
          <m:rPr>
            <m:sty m:val="bi"/>
          </m:rPr>
          <m:t>×</m:t>
        </m:r>
        <m:d>
          <m:dPr>
            <m:ctrlPr>
              <w:rPr>
                <w:b w:val="0"/>
                <w:i/>
              </w:rPr>
            </m:ctrlPr>
          </m:dPr>
          <m:e>
            <m:r>
              <m:rPr>
                <m:sty m:val="bi"/>
              </m:rPr>
              <m:t>1+CPI-x+</m:t>
            </m:r>
            <m:sSub>
              <m:sSubPr>
                <m:ctrlPr>
                  <w:rPr>
                    <w:i/>
                  </w:rPr>
                </m:ctrlPr>
              </m:sSubPr>
              <m:e>
                <m:r>
                  <m:rPr>
                    <m:sty m:val="bi"/>
                  </m:rPr>
                  <m:t>q</m:t>
                </m:r>
              </m:e>
              <m:sub>
                <m:r>
                  <m:rPr>
                    <m:sty m:val="bi"/>
                  </m:rPr>
                  <m:t>i</m:t>
                </m:r>
              </m:sub>
            </m:sSub>
          </m:e>
        </m:d>
      </m:oMath>
      <w:r w:rsidR="007514A4" w:rsidRPr="00043B8D">
        <w:rPr>
          <w:b w:val="0"/>
          <w:i/>
        </w:rPr>
        <w:t xml:space="preserve"> </w:t>
      </w:r>
      <w:r w:rsidR="007514A4" w:rsidRPr="00043B8D">
        <w:rPr>
          <w:b w:val="0"/>
          <w:i/>
        </w:rPr>
        <w:tab/>
      </w:r>
    </w:p>
    <w:p w14:paraId="09F37CC8" w14:textId="344BDB77" w:rsidR="007514A4" w:rsidRPr="000D284A" w:rsidRDefault="007514A4" w:rsidP="000D284A">
      <w:pPr>
        <w:pStyle w:val="Bijschrift"/>
        <w:jc w:val="right"/>
        <w:rPr>
          <w:b w:val="0"/>
          <w:i/>
        </w:rPr>
      </w:pPr>
      <w:r w:rsidRPr="000D284A">
        <w:rPr>
          <w:b w:val="0"/>
          <w:i/>
        </w:rPr>
        <w:tab/>
      </w:r>
      <w:bookmarkStart w:id="392" w:name="_Ref388627708"/>
      <w:r w:rsidRPr="000D284A">
        <w:rPr>
          <w:b w:val="0"/>
          <w:i/>
        </w:rPr>
        <w:t xml:space="preserve">formule </w:t>
      </w:r>
      <w:r w:rsidRPr="000D284A">
        <w:rPr>
          <w:b w:val="0"/>
          <w:i/>
        </w:rPr>
        <w:fldChar w:fldCharType="begin"/>
      </w:r>
      <w:r w:rsidRPr="000D284A">
        <w:rPr>
          <w:b w:val="0"/>
          <w:i/>
        </w:rPr>
        <w:instrText xml:space="preserve"> SEQ formule \* ARABIC </w:instrText>
      </w:r>
      <w:r w:rsidRPr="000D284A">
        <w:rPr>
          <w:b w:val="0"/>
          <w:i/>
        </w:rPr>
        <w:fldChar w:fldCharType="separate"/>
      </w:r>
      <w:r w:rsidR="00BD536B">
        <w:rPr>
          <w:b w:val="0"/>
          <w:i/>
          <w:noProof/>
        </w:rPr>
        <w:t>23</w:t>
      </w:r>
      <w:r w:rsidRPr="000D284A">
        <w:rPr>
          <w:b w:val="0"/>
          <w:i/>
        </w:rPr>
        <w:fldChar w:fldCharType="end"/>
      </w:r>
      <w:bookmarkEnd w:id="392"/>
    </w:p>
    <w:p w14:paraId="5D06C252" w14:textId="77777777" w:rsidR="007514A4" w:rsidRPr="00043B8D" w:rsidRDefault="007514A4" w:rsidP="007514A4">
      <w:pPr>
        <w:rPr>
          <w:rFonts w:cs="Tahoma"/>
        </w:rPr>
      </w:pPr>
      <w:r w:rsidRPr="00043B8D">
        <w:rPr>
          <w:rFonts w:cs="Tahoma"/>
        </w:rPr>
        <w:t>Met hierin:</w:t>
      </w:r>
    </w:p>
    <w:p w14:paraId="6759B06F" w14:textId="77777777" w:rsidR="007514A4" w:rsidRPr="00043B8D" w:rsidRDefault="007514A4" w:rsidP="007514A4">
      <w:pPr>
        <w:rPr>
          <w:rFonts w:cs="Tahoma"/>
        </w:rPr>
      </w:pPr>
    </w:p>
    <w:p w14:paraId="76D27AB2" w14:textId="331D5722" w:rsidR="007514A4" w:rsidRPr="00043B8D" w:rsidRDefault="007514A4" w:rsidP="007514A4">
      <w:pPr>
        <w:tabs>
          <w:tab w:val="left" w:pos="1418"/>
        </w:tabs>
        <w:ind w:left="1418" w:hanging="710"/>
      </w:pPr>
      <w:r w:rsidRPr="00043B8D">
        <w:rPr>
          <w:rFonts w:cs="Tahoma"/>
          <w:i/>
        </w:rPr>
        <w:t>t</w:t>
      </w:r>
      <w:r w:rsidRPr="00043B8D">
        <w:rPr>
          <w:rFonts w:cs="Tahoma"/>
          <w:i/>
          <w:vertAlign w:val="subscript"/>
        </w:rPr>
        <w:t>n-ex,j,i</w:t>
      </w:r>
      <w:r w:rsidRPr="00043B8D">
        <w:rPr>
          <w:rFonts w:cs="Tahoma"/>
          <w:i/>
        </w:rPr>
        <w:tab/>
        <w:t xml:space="preserve">Het </w:t>
      </w:r>
      <w:r w:rsidRPr="00043B8D">
        <w:rPr>
          <w:rFonts w:cs="Tahoma"/>
          <w:i/>
          <w:lang w:val="nl-BE"/>
        </w:rPr>
        <w:t xml:space="preserve">periodiek distributienettarief </w:t>
      </w:r>
      <w:r w:rsidR="00056A17" w:rsidRPr="00043B8D">
        <w:rPr>
          <w:rFonts w:cs="Tahoma"/>
          <w:i/>
          <w:lang w:val="nl-BE"/>
        </w:rPr>
        <w:t xml:space="preserve">m.b.t. de niet-exogene kosten </w:t>
      </w:r>
      <w:r w:rsidRPr="00043B8D">
        <w:rPr>
          <w:rFonts w:cs="Tahoma"/>
          <w:i/>
          <w:lang w:val="nl-BE"/>
        </w:rPr>
        <w:t xml:space="preserve">van distributienetbeheerder i voor jaar j voor een bepaalde klantengroep en een bepaalde categorie in de tariefstructuur, afgeleid </w:t>
      </w:r>
      <w:r w:rsidR="00056A17" w:rsidRPr="00043B8D">
        <w:rPr>
          <w:rFonts w:cs="Tahoma"/>
          <w:i/>
          <w:lang w:val="nl-BE"/>
        </w:rPr>
        <w:t xml:space="preserve">d.m.v. de rekenvolumes </w:t>
      </w:r>
      <w:r w:rsidRPr="00043B8D">
        <w:rPr>
          <w:rFonts w:cs="Tahoma"/>
          <w:i/>
          <w:lang w:val="nl-BE"/>
        </w:rPr>
        <w:t xml:space="preserve">uit </w:t>
      </w:r>
      <w:r w:rsidR="00056A17" w:rsidRPr="00043B8D">
        <w:rPr>
          <w:rFonts w:cs="Tahoma"/>
          <w:i/>
          <w:lang w:val="nl-BE"/>
        </w:rPr>
        <w:t xml:space="preserve">zijn </w:t>
      </w:r>
      <w:r w:rsidR="001667E1" w:rsidRPr="00043B8D">
        <w:rPr>
          <w:rFonts w:cs="Tahoma"/>
          <w:i/>
          <w:lang w:val="nl-BE"/>
        </w:rPr>
        <w:t>toegelaten</w:t>
      </w:r>
      <w:r w:rsidRPr="00043B8D">
        <w:rPr>
          <w:rFonts w:cs="Tahoma"/>
          <w:i/>
          <w:lang w:val="nl-BE"/>
        </w:rPr>
        <w:t xml:space="preserve"> inkomsten m.b.t. niet-exogene kosten voor dat jaar j (EUR/tariefdrager). </w:t>
      </w:r>
    </w:p>
    <w:p w14:paraId="03B9FFD8" w14:textId="77777777" w:rsidR="007514A4" w:rsidRPr="00043B8D" w:rsidRDefault="007514A4" w:rsidP="007514A4">
      <w:pPr>
        <w:rPr>
          <w:rFonts w:cs="Tahoma"/>
        </w:rPr>
      </w:pPr>
    </w:p>
    <w:p w14:paraId="1198BAA4" w14:textId="4F19DEDA" w:rsidR="0046422E" w:rsidRPr="00043B8D" w:rsidRDefault="007514A4" w:rsidP="0046422E">
      <w:pPr>
        <w:tabs>
          <w:tab w:val="left" w:pos="1418"/>
        </w:tabs>
        <w:ind w:left="1418" w:hanging="710"/>
      </w:pPr>
      <w:r w:rsidRPr="00043B8D">
        <w:rPr>
          <w:rFonts w:cs="Tahoma"/>
          <w:i/>
        </w:rPr>
        <w:t>t</w:t>
      </w:r>
      <w:r w:rsidRPr="00043B8D">
        <w:rPr>
          <w:rFonts w:cs="Tahoma"/>
          <w:i/>
          <w:vertAlign w:val="subscript"/>
        </w:rPr>
        <w:t>n-ex,j-1,i</w:t>
      </w:r>
      <w:r w:rsidRPr="00043B8D">
        <w:rPr>
          <w:rFonts w:cs="Tahoma"/>
          <w:i/>
        </w:rPr>
        <w:tab/>
      </w:r>
      <w:r w:rsidR="0046422E" w:rsidRPr="00043B8D">
        <w:rPr>
          <w:rFonts w:cs="Tahoma"/>
          <w:i/>
        </w:rPr>
        <w:t xml:space="preserve">Het </w:t>
      </w:r>
      <w:r w:rsidR="0046422E" w:rsidRPr="00043B8D">
        <w:rPr>
          <w:rFonts w:cs="Tahoma"/>
          <w:i/>
          <w:lang w:val="nl-BE"/>
        </w:rPr>
        <w:t xml:space="preserve">periodiek distributienettarief m.b.t. de niet-exogene kosten van distributienetbeheerder i voor jaar j-1 voor een bepaalde klantengroep en een bepaalde categorie in de tariefstructuur, afgeleid d.m.v. de rekenvolumes uit zijn </w:t>
      </w:r>
      <w:r w:rsidR="001667E1" w:rsidRPr="00043B8D">
        <w:rPr>
          <w:rFonts w:cs="Tahoma"/>
          <w:i/>
          <w:lang w:val="nl-BE"/>
        </w:rPr>
        <w:t>toegelaten</w:t>
      </w:r>
      <w:r w:rsidR="0046422E" w:rsidRPr="00043B8D">
        <w:rPr>
          <w:rFonts w:cs="Tahoma"/>
          <w:i/>
          <w:lang w:val="nl-BE"/>
        </w:rPr>
        <w:t xml:space="preserve"> inkomsten m.b.t. niet-exogene kosten voor dat jaar j-1 (EUR/tariefdrager). </w:t>
      </w:r>
    </w:p>
    <w:p w14:paraId="2B3CEFC2" w14:textId="77777777" w:rsidR="007514A4" w:rsidRPr="00043B8D" w:rsidRDefault="007514A4" w:rsidP="007514A4">
      <w:pPr>
        <w:rPr>
          <w:rFonts w:cs="Tahoma"/>
        </w:rPr>
      </w:pPr>
    </w:p>
    <w:p w14:paraId="5BC6B892" w14:textId="45C6BF53" w:rsidR="007514A4" w:rsidRPr="00043B8D" w:rsidRDefault="007514A4" w:rsidP="007514A4">
      <w:pPr>
        <w:ind w:left="1418" w:hanging="709"/>
        <w:rPr>
          <w:rFonts w:cs="Tahoma"/>
          <w:i/>
        </w:rPr>
      </w:pPr>
      <w:r w:rsidRPr="00043B8D">
        <w:rPr>
          <w:rFonts w:cs="Tahoma"/>
          <w:i/>
        </w:rPr>
        <w:t>CPI</w:t>
      </w:r>
      <w:r w:rsidRPr="00043B8D">
        <w:rPr>
          <w:rFonts w:cs="Tahoma"/>
          <w:i/>
        </w:rPr>
        <w:tab/>
        <w:t xml:space="preserve">Idem als in </w:t>
      </w:r>
      <w:r w:rsidRPr="00043B8D">
        <w:rPr>
          <w:rFonts w:cs="Tahoma"/>
          <w:i/>
        </w:rPr>
        <w:fldChar w:fldCharType="begin"/>
      </w:r>
      <w:r w:rsidRPr="00043B8D">
        <w:rPr>
          <w:rFonts w:cs="Tahoma"/>
          <w:i/>
        </w:rPr>
        <w:instrText xml:space="preserve"> REF _Ref388628565 \h  \* MERGEFORMAT </w:instrText>
      </w:r>
      <w:r w:rsidRPr="00043B8D">
        <w:rPr>
          <w:rFonts w:cs="Tahoma"/>
          <w:i/>
        </w:rPr>
      </w:r>
      <w:r w:rsidRPr="00043B8D">
        <w:rPr>
          <w:rFonts w:cs="Tahoma"/>
          <w:i/>
        </w:rPr>
        <w:fldChar w:fldCharType="separate"/>
      </w:r>
      <w:r w:rsidR="00B30F9B" w:rsidRPr="00B30F9B">
        <w:rPr>
          <w:i/>
        </w:rPr>
        <w:t xml:space="preserve">formule </w:t>
      </w:r>
      <w:r w:rsidR="00B30F9B" w:rsidRPr="00B30F9B">
        <w:rPr>
          <w:i/>
          <w:noProof/>
        </w:rPr>
        <w:t>2</w:t>
      </w:r>
      <w:r w:rsidRPr="00043B8D">
        <w:rPr>
          <w:rFonts w:cs="Tahoma"/>
          <w:i/>
        </w:rPr>
        <w:fldChar w:fldCharType="end"/>
      </w:r>
      <w:r w:rsidRPr="00043B8D">
        <w:rPr>
          <w:rFonts w:cs="Tahoma"/>
          <w:i/>
        </w:rPr>
        <w:t>.</w:t>
      </w:r>
    </w:p>
    <w:p w14:paraId="71A3A3BC" w14:textId="77777777" w:rsidR="007514A4" w:rsidRPr="00043B8D" w:rsidRDefault="007514A4" w:rsidP="007514A4">
      <w:pPr>
        <w:ind w:left="1418" w:hanging="709"/>
        <w:rPr>
          <w:rFonts w:cs="Tahoma"/>
          <w:i/>
        </w:rPr>
      </w:pPr>
    </w:p>
    <w:p w14:paraId="2DCD5650" w14:textId="399ABA32" w:rsidR="007514A4" w:rsidRPr="00043B8D" w:rsidRDefault="007514A4" w:rsidP="007514A4">
      <w:pPr>
        <w:ind w:left="1418" w:hanging="709"/>
        <w:rPr>
          <w:rFonts w:cs="Tahoma"/>
          <w:i/>
        </w:rPr>
      </w:pPr>
      <w:r w:rsidRPr="00043B8D">
        <w:rPr>
          <w:rFonts w:cs="Tahoma"/>
          <w:i/>
        </w:rPr>
        <w:t>x</w:t>
      </w:r>
      <w:r w:rsidRPr="00043B8D">
        <w:rPr>
          <w:rFonts w:cs="Tahoma"/>
          <w:i/>
        </w:rPr>
        <w:tab/>
        <w:t xml:space="preserve">Idem als in </w:t>
      </w:r>
      <w:r w:rsidRPr="00043B8D">
        <w:rPr>
          <w:rFonts w:cs="Tahoma"/>
          <w:i/>
        </w:rPr>
        <w:fldChar w:fldCharType="begin"/>
      </w:r>
      <w:r w:rsidRPr="00043B8D">
        <w:rPr>
          <w:rFonts w:cs="Tahoma"/>
          <w:i/>
        </w:rPr>
        <w:instrText xml:space="preserve"> REF _Ref388628565 \h  \* MERGEFORMAT </w:instrText>
      </w:r>
      <w:r w:rsidRPr="00043B8D">
        <w:rPr>
          <w:rFonts w:cs="Tahoma"/>
          <w:i/>
        </w:rPr>
      </w:r>
      <w:r w:rsidRPr="00043B8D">
        <w:rPr>
          <w:rFonts w:cs="Tahoma"/>
          <w:i/>
        </w:rPr>
        <w:fldChar w:fldCharType="separate"/>
      </w:r>
      <w:r w:rsidR="00B30F9B" w:rsidRPr="00B30F9B">
        <w:rPr>
          <w:i/>
        </w:rPr>
        <w:t xml:space="preserve">formule </w:t>
      </w:r>
      <w:r w:rsidR="00B30F9B" w:rsidRPr="00B30F9B">
        <w:rPr>
          <w:i/>
          <w:noProof/>
        </w:rPr>
        <w:t>2</w:t>
      </w:r>
      <w:r w:rsidRPr="00043B8D">
        <w:rPr>
          <w:rFonts w:cs="Tahoma"/>
          <w:i/>
        </w:rPr>
        <w:fldChar w:fldCharType="end"/>
      </w:r>
      <w:r w:rsidRPr="00043B8D">
        <w:rPr>
          <w:rFonts w:cs="Tahoma"/>
          <w:i/>
        </w:rPr>
        <w:t>.</w:t>
      </w:r>
    </w:p>
    <w:p w14:paraId="39750E02" w14:textId="77777777" w:rsidR="007514A4" w:rsidRPr="00043B8D" w:rsidRDefault="007514A4" w:rsidP="007514A4">
      <w:pPr>
        <w:ind w:left="1418" w:hanging="709"/>
        <w:rPr>
          <w:rFonts w:cs="Tahoma"/>
          <w:i/>
        </w:rPr>
      </w:pPr>
    </w:p>
    <w:p w14:paraId="5AA73F7D" w14:textId="31970250" w:rsidR="007514A4" w:rsidRPr="00043B8D" w:rsidRDefault="007514A4" w:rsidP="007514A4">
      <w:pPr>
        <w:ind w:left="1418" w:hanging="709"/>
        <w:rPr>
          <w:rFonts w:cs="Tahoma"/>
          <w:i/>
        </w:rPr>
      </w:pPr>
      <w:r w:rsidRPr="00043B8D">
        <w:rPr>
          <w:rFonts w:cs="Tahoma"/>
          <w:i/>
        </w:rPr>
        <w:t>q</w:t>
      </w:r>
      <w:r w:rsidRPr="00043B8D">
        <w:rPr>
          <w:rFonts w:cs="Tahoma"/>
          <w:i/>
          <w:vertAlign w:val="subscript"/>
        </w:rPr>
        <w:t>i</w:t>
      </w:r>
      <w:r w:rsidRPr="00043B8D">
        <w:rPr>
          <w:rFonts w:cs="Tahoma"/>
          <w:i/>
        </w:rPr>
        <w:tab/>
        <w:t xml:space="preserve">Idem als in </w:t>
      </w:r>
      <w:r w:rsidRPr="00043B8D">
        <w:rPr>
          <w:rFonts w:cs="Tahoma"/>
          <w:i/>
        </w:rPr>
        <w:fldChar w:fldCharType="begin"/>
      </w:r>
      <w:r w:rsidRPr="00043B8D">
        <w:rPr>
          <w:rFonts w:cs="Tahoma"/>
          <w:i/>
        </w:rPr>
        <w:instrText xml:space="preserve"> REF _Ref388628565 \h  \* MERGEFORMAT </w:instrText>
      </w:r>
      <w:r w:rsidRPr="00043B8D">
        <w:rPr>
          <w:rFonts w:cs="Tahoma"/>
          <w:i/>
        </w:rPr>
      </w:r>
      <w:r w:rsidRPr="00043B8D">
        <w:rPr>
          <w:rFonts w:cs="Tahoma"/>
          <w:i/>
        </w:rPr>
        <w:fldChar w:fldCharType="separate"/>
      </w:r>
      <w:r w:rsidR="00B30F9B" w:rsidRPr="00B30F9B">
        <w:rPr>
          <w:i/>
        </w:rPr>
        <w:t xml:space="preserve">formule </w:t>
      </w:r>
      <w:r w:rsidR="00B30F9B" w:rsidRPr="00B30F9B">
        <w:rPr>
          <w:i/>
          <w:noProof/>
        </w:rPr>
        <w:t>2</w:t>
      </w:r>
      <w:r w:rsidRPr="00043B8D">
        <w:rPr>
          <w:rFonts w:cs="Tahoma"/>
          <w:i/>
        </w:rPr>
        <w:fldChar w:fldCharType="end"/>
      </w:r>
      <w:r w:rsidRPr="00043B8D">
        <w:rPr>
          <w:rFonts w:cs="Tahoma"/>
          <w:i/>
        </w:rPr>
        <w:t>.</w:t>
      </w:r>
    </w:p>
    <w:p w14:paraId="5D3B734D" w14:textId="77777777" w:rsidR="007514A4" w:rsidRPr="00043B8D" w:rsidRDefault="007514A4" w:rsidP="007514A4">
      <w:pPr>
        <w:tabs>
          <w:tab w:val="left" w:pos="1701"/>
        </w:tabs>
        <w:rPr>
          <w:rFonts w:cs="Tahoma"/>
          <w:lang w:val="nl-BE"/>
        </w:rPr>
      </w:pPr>
    </w:p>
    <w:p w14:paraId="4CC34975" w14:textId="49520773" w:rsidR="007514A4" w:rsidRPr="00043B8D" w:rsidRDefault="007514A4" w:rsidP="007514A4">
      <w:pPr>
        <w:tabs>
          <w:tab w:val="left" w:pos="1701"/>
        </w:tabs>
        <w:rPr>
          <w:rFonts w:cs="Tahoma"/>
          <w:lang w:val="nl-BE"/>
        </w:rPr>
      </w:pPr>
      <w:r w:rsidRPr="00043B8D">
        <w:rPr>
          <w:rFonts w:cs="Tahoma"/>
          <w:lang w:val="nl-BE"/>
        </w:rPr>
        <w:t xml:space="preserve">Omdat het volumerisico </w:t>
      </w:r>
      <w:r w:rsidR="0068071B" w:rsidRPr="00043B8D">
        <w:rPr>
          <w:rFonts w:cs="Tahoma"/>
          <w:lang w:val="nl-BE"/>
        </w:rPr>
        <w:t xml:space="preserve">voor de distributienetbeheerder </w:t>
      </w:r>
      <w:r w:rsidR="00064B3F" w:rsidRPr="00043B8D">
        <w:rPr>
          <w:rFonts w:cs="Tahoma"/>
          <w:lang w:val="nl-BE"/>
        </w:rPr>
        <w:t xml:space="preserve">in de reguleringsperiode 2015-2016 </w:t>
      </w:r>
      <w:r w:rsidR="0068071B" w:rsidRPr="00043B8D">
        <w:rPr>
          <w:rFonts w:cs="Tahoma"/>
          <w:lang w:val="nl-BE"/>
        </w:rPr>
        <w:t xml:space="preserve">grotendeels </w:t>
      </w:r>
      <w:r w:rsidRPr="00043B8D">
        <w:rPr>
          <w:rFonts w:cs="Tahoma"/>
          <w:lang w:val="nl-BE"/>
        </w:rPr>
        <w:t>zal gedekt worden</w:t>
      </w:r>
      <w:r w:rsidR="009B479B" w:rsidRPr="00043B8D">
        <w:rPr>
          <w:rFonts w:cs="Tahoma"/>
          <w:lang w:val="nl-BE"/>
        </w:rPr>
        <w:t xml:space="preserve"> (zie par</w:t>
      </w:r>
      <w:r w:rsidR="000B4252" w:rsidRPr="00043B8D">
        <w:rPr>
          <w:rFonts w:cs="Tahoma"/>
          <w:lang w:val="nl-BE"/>
        </w:rPr>
        <w:t>.</w:t>
      </w:r>
      <w:r w:rsidR="009B479B" w:rsidRPr="00043B8D">
        <w:rPr>
          <w:rFonts w:cs="Tahoma"/>
          <w:lang w:val="nl-BE"/>
        </w:rPr>
        <w:t xml:space="preserve"> </w:t>
      </w:r>
      <w:r w:rsidR="009B479B" w:rsidRPr="00043B8D">
        <w:rPr>
          <w:rFonts w:cs="Tahoma"/>
          <w:lang w:val="nl-BE"/>
        </w:rPr>
        <w:fldChar w:fldCharType="begin"/>
      </w:r>
      <w:r w:rsidR="009B479B" w:rsidRPr="00043B8D">
        <w:rPr>
          <w:rFonts w:cs="Tahoma"/>
          <w:lang w:val="nl-BE"/>
        </w:rPr>
        <w:instrText xml:space="preserve"> REF _Ref390418117 \r \h </w:instrText>
      </w:r>
      <w:r w:rsidR="00043B8D">
        <w:rPr>
          <w:rFonts w:cs="Tahoma"/>
          <w:lang w:val="nl-BE"/>
        </w:rPr>
        <w:instrText xml:space="preserve"> \* MERGEFORMAT </w:instrText>
      </w:r>
      <w:r w:rsidR="009B479B" w:rsidRPr="00043B8D">
        <w:rPr>
          <w:rFonts w:cs="Tahoma"/>
          <w:lang w:val="nl-BE"/>
        </w:rPr>
      </w:r>
      <w:r w:rsidR="009B479B" w:rsidRPr="00043B8D">
        <w:rPr>
          <w:rFonts w:cs="Tahoma"/>
          <w:lang w:val="nl-BE"/>
        </w:rPr>
        <w:fldChar w:fldCharType="separate"/>
      </w:r>
      <w:r w:rsidR="00B30F9B">
        <w:rPr>
          <w:rFonts w:cs="Tahoma"/>
          <w:lang w:val="nl-BE"/>
        </w:rPr>
        <w:t>5.5.2</w:t>
      </w:r>
      <w:r w:rsidR="009B479B" w:rsidRPr="00043B8D">
        <w:rPr>
          <w:rFonts w:cs="Tahoma"/>
          <w:lang w:val="nl-BE"/>
        </w:rPr>
        <w:fldChar w:fldCharType="end"/>
      </w:r>
      <w:r w:rsidR="009B479B" w:rsidRPr="00043B8D">
        <w:rPr>
          <w:rFonts w:cs="Tahoma"/>
          <w:lang w:val="nl-BE"/>
        </w:rPr>
        <w:t>)</w:t>
      </w:r>
      <w:r w:rsidRPr="00043B8D">
        <w:rPr>
          <w:rFonts w:cs="Tahoma"/>
          <w:lang w:val="nl-BE"/>
        </w:rPr>
        <w:t xml:space="preserve"> en gezien de korte duur van d</w:t>
      </w:r>
      <w:r w:rsidR="00064B3F" w:rsidRPr="00043B8D">
        <w:rPr>
          <w:rFonts w:cs="Tahoma"/>
          <w:lang w:val="nl-BE"/>
        </w:rPr>
        <w:t>i</w:t>
      </w:r>
      <w:r w:rsidRPr="00043B8D">
        <w:rPr>
          <w:rFonts w:cs="Tahoma"/>
          <w:lang w:val="nl-BE"/>
        </w:rPr>
        <w:t xml:space="preserve">e reguleringsperiode, is er volgens de VREG nu geen behoefte aan ruimte voor de distributienetbeheerder om aanpassingen aan specifieke distributienettarieven voor niet-exogene </w:t>
      </w:r>
      <w:r w:rsidR="00177AC1" w:rsidRPr="00043B8D">
        <w:rPr>
          <w:rFonts w:cs="Tahoma"/>
          <w:lang w:val="nl-BE"/>
        </w:rPr>
        <w:t xml:space="preserve">kosten </w:t>
      </w:r>
      <w:r w:rsidRPr="00043B8D">
        <w:rPr>
          <w:rFonts w:cs="Tahoma"/>
          <w:lang w:val="nl-BE"/>
        </w:rPr>
        <w:t>toe te laten</w:t>
      </w:r>
      <w:r w:rsidR="009B479B" w:rsidRPr="00043B8D">
        <w:rPr>
          <w:rFonts w:cs="Tahoma"/>
          <w:lang w:val="nl-BE"/>
        </w:rPr>
        <w:t>,</w:t>
      </w:r>
      <w:r w:rsidRPr="00043B8D">
        <w:rPr>
          <w:rFonts w:cs="Tahoma"/>
          <w:lang w:val="nl-BE"/>
        </w:rPr>
        <w:t xml:space="preserve"> die afwijken van de jaarlijkse indexering op het inkomen volgens </w:t>
      </w:r>
      <w:r w:rsidRPr="00043B8D">
        <w:rPr>
          <w:rFonts w:cs="Tahoma"/>
          <w:lang w:val="nl-BE"/>
        </w:rPr>
        <w:fldChar w:fldCharType="begin"/>
      </w:r>
      <w:r w:rsidRPr="00043B8D">
        <w:rPr>
          <w:rFonts w:cs="Tahoma"/>
          <w:lang w:val="nl-BE"/>
        </w:rPr>
        <w:instrText xml:space="preserve"> REF _Ref388627708 \h  \* MERGEFORMAT </w:instrText>
      </w:r>
      <w:r w:rsidRPr="00043B8D">
        <w:rPr>
          <w:rFonts w:cs="Tahoma"/>
          <w:lang w:val="nl-BE"/>
        </w:rPr>
      </w:r>
      <w:r w:rsidRPr="00043B8D">
        <w:rPr>
          <w:rFonts w:cs="Tahoma"/>
          <w:lang w:val="nl-BE"/>
        </w:rPr>
        <w:fldChar w:fldCharType="separate"/>
      </w:r>
      <w:r w:rsidR="00B30F9B" w:rsidRPr="00B30F9B">
        <w:t xml:space="preserve">formule </w:t>
      </w:r>
      <w:r w:rsidR="00B30F9B" w:rsidRPr="00B30F9B">
        <w:rPr>
          <w:noProof/>
        </w:rPr>
        <w:t>19</w:t>
      </w:r>
      <w:r w:rsidRPr="00043B8D">
        <w:rPr>
          <w:rFonts w:cs="Tahoma"/>
          <w:lang w:val="nl-BE"/>
        </w:rPr>
        <w:fldChar w:fldCharType="end"/>
      </w:r>
      <w:r w:rsidRPr="00043B8D">
        <w:rPr>
          <w:rStyle w:val="Voetnootmarkering"/>
          <w:rFonts w:cs="Tahoma"/>
          <w:lang w:val="nl-BE"/>
        </w:rPr>
        <w:footnoteReference w:id="53"/>
      </w:r>
      <w:r w:rsidR="002D4EF3" w:rsidRPr="00043B8D">
        <w:rPr>
          <w:rFonts w:cs="Tahoma"/>
          <w:lang w:val="nl-BE"/>
        </w:rPr>
        <w:t>.</w:t>
      </w:r>
      <w:r w:rsidRPr="00043B8D">
        <w:rPr>
          <w:rFonts w:cs="Tahoma"/>
          <w:lang w:val="nl-BE"/>
        </w:rPr>
        <w:t xml:space="preserve"> </w:t>
      </w:r>
    </w:p>
    <w:p w14:paraId="7AE5EA56" w14:textId="77777777" w:rsidR="007514A4" w:rsidRPr="00043B8D" w:rsidRDefault="007514A4" w:rsidP="007514A4">
      <w:pPr>
        <w:tabs>
          <w:tab w:val="left" w:pos="709"/>
          <w:tab w:val="left" w:pos="5245"/>
        </w:tabs>
        <w:rPr>
          <w:rFonts w:cs="Tahoma"/>
          <w:lang w:val="nl-BE"/>
        </w:rPr>
      </w:pPr>
    </w:p>
    <w:p w14:paraId="615BE777" w14:textId="77777777" w:rsidR="007514A4" w:rsidRPr="00043B8D" w:rsidRDefault="007514A4" w:rsidP="005251E2">
      <w:pPr>
        <w:pStyle w:val="Kop2"/>
        <w:numPr>
          <w:ilvl w:val="1"/>
          <w:numId w:val="24"/>
        </w:numPr>
        <w:ind w:hanging="644"/>
      </w:pPr>
      <w:bookmarkStart w:id="393" w:name="_Toc454186688"/>
      <w:r w:rsidRPr="00043B8D">
        <w:t>Opmaak van het tariefvoorstel</w:t>
      </w:r>
      <w:bookmarkEnd w:id="393"/>
      <w:r w:rsidRPr="00043B8D">
        <w:t xml:space="preserve"> </w:t>
      </w:r>
    </w:p>
    <w:p w14:paraId="1DCBB4BF" w14:textId="77777777" w:rsidR="007514A4" w:rsidRPr="00043B8D" w:rsidRDefault="007514A4" w:rsidP="007514A4"/>
    <w:p w14:paraId="2AE1C82C" w14:textId="77777777" w:rsidR="00247289" w:rsidRPr="00043B8D" w:rsidRDefault="00247289" w:rsidP="005251E2">
      <w:pPr>
        <w:pStyle w:val="Kop2"/>
        <w:numPr>
          <w:ilvl w:val="2"/>
          <w:numId w:val="24"/>
        </w:numPr>
        <w:ind w:left="993" w:hanging="993"/>
        <w:rPr>
          <w:i/>
          <w:sz w:val="22"/>
          <w:szCs w:val="22"/>
        </w:rPr>
      </w:pPr>
      <w:bookmarkStart w:id="394" w:name="_Toc454186689"/>
      <w:r w:rsidRPr="00043B8D">
        <w:rPr>
          <w:i/>
          <w:sz w:val="22"/>
          <w:szCs w:val="22"/>
        </w:rPr>
        <w:t>Rapporteringsmodel tariefvoorstel</w:t>
      </w:r>
      <w:bookmarkEnd w:id="394"/>
    </w:p>
    <w:p w14:paraId="32C91015" w14:textId="77777777" w:rsidR="00247289" w:rsidRPr="00043B8D" w:rsidRDefault="00247289" w:rsidP="007514A4"/>
    <w:p w14:paraId="3FE34BA0" w14:textId="77777777" w:rsidR="00DA0A21" w:rsidRDefault="007514A4" w:rsidP="007514A4">
      <w:r w:rsidRPr="00043B8D">
        <w:t xml:space="preserve">De distributienetbeheerder vertaalt de </w:t>
      </w:r>
      <w:r w:rsidR="001667E1" w:rsidRPr="00043B8D">
        <w:t>toegelaten</w:t>
      </w:r>
      <w:r w:rsidRPr="00043B8D">
        <w:t xml:space="preserve"> inkomsten voor exogene</w:t>
      </w:r>
      <w:r w:rsidR="00553288" w:rsidRPr="00043B8D">
        <w:t>-</w:t>
      </w:r>
      <w:r w:rsidRPr="00043B8D">
        <w:t xml:space="preserve"> en niet-exogene kosten in een tariefvoorstel </w:t>
      </w:r>
      <w:r w:rsidR="00B03EC1" w:rsidRPr="00043B8D">
        <w:t xml:space="preserve">voor </w:t>
      </w:r>
      <w:r w:rsidR="003A72C4" w:rsidRPr="00043B8D">
        <w:t xml:space="preserve">zijn </w:t>
      </w:r>
      <w:r w:rsidR="00B03EC1" w:rsidRPr="00043B8D">
        <w:t xml:space="preserve">periodieke </w:t>
      </w:r>
      <w:r w:rsidRPr="00043B8D">
        <w:t>distributienettarieven overeenkomstig de tariefstructuur en de klantengroepen (</w:t>
      </w:r>
      <w:r w:rsidR="00B03EC1" w:rsidRPr="00043B8D">
        <w:t>zie par</w:t>
      </w:r>
      <w:r w:rsidR="000B4252" w:rsidRPr="00043B8D">
        <w:t>.</w:t>
      </w:r>
      <w:r w:rsidR="00B03EC1" w:rsidRPr="00043B8D">
        <w:t xml:space="preserve"> </w:t>
      </w:r>
      <w:r w:rsidRPr="00043B8D">
        <w:fldChar w:fldCharType="begin"/>
      </w:r>
      <w:r w:rsidRPr="00043B8D">
        <w:instrText xml:space="preserve"> REF _Ref390241304 \r \h </w:instrText>
      </w:r>
      <w:r w:rsidR="00043B8D">
        <w:instrText xml:space="preserve"> \* MERGEFORMAT </w:instrText>
      </w:r>
      <w:r w:rsidRPr="00043B8D">
        <w:fldChar w:fldCharType="separate"/>
      </w:r>
      <w:r w:rsidR="00B30F9B">
        <w:t>6</w:t>
      </w:r>
      <w:r w:rsidRPr="00043B8D">
        <w:fldChar w:fldCharType="end"/>
      </w:r>
      <w:r w:rsidRPr="00043B8D">
        <w:t xml:space="preserve">). Hij gebruikt hiertoe </w:t>
      </w:r>
      <w:r w:rsidR="00AA0D37" w:rsidRPr="00043B8D">
        <w:t xml:space="preserve">het bij de tariefmethodologie horende </w:t>
      </w:r>
      <w:r w:rsidRPr="00043B8D">
        <w:t xml:space="preserve">rapporteringsmodel </w:t>
      </w:r>
      <w:r w:rsidR="009B479B" w:rsidRPr="00043B8D">
        <w:t>voor de vertaling van het toegestaan inkomen naar een tariefvoorstel</w:t>
      </w:r>
      <w:r w:rsidRPr="00043B8D">
        <w:t xml:space="preserve"> (</w:t>
      </w:r>
      <w:r w:rsidR="00B03EC1" w:rsidRPr="00043B8D">
        <w:t>zie par</w:t>
      </w:r>
      <w:r w:rsidR="000B4252" w:rsidRPr="00043B8D">
        <w:t>.</w:t>
      </w:r>
      <w:r w:rsidR="00B03EC1" w:rsidRPr="00043B8D">
        <w:t xml:space="preserve"> </w:t>
      </w:r>
      <w:r w:rsidRPr="00043B8D">
        <w:fldChar w:fldCharType="begin"/>
      </w:r>
      <w:r w:rsidRPr="00043B8D">
        <w:instrText xml:space="preserve"> REF _Ref390328906 \r \h </w:instrText>
      </w:r>
      <w:r w:rsidR="00043B8D">
        <w:instrText xml:space="preserve"> \* MERGEFORMAT </w:instrText>
      </w:r>
      <w:r w:rsidRPr="00043B8D">
        <w:fldChar w:fldCharType="separate"/>
      </w:r>
      <w:r w:rsidR="00B30F9B">
        <w:t>8</w:t>
      </w:r>
      <w:r w:rsidRPr="00043B8D">
        <w:fldChar w:fldCharType="end"/>
      </w:r>
      <w:r w:rsidRPr="00043B8D">
        <w:t>)</w:t>
      </w:r>
      <w:r w:rsidR="003A72C4" w:rsidRPr="00043B8D">
        <w:t xml:space="preserve"> gebruik makend van de rekenvolumes</w:t>
      </w:r>
      <w:r w:rsidRPr="00043B8D">
        <w:t>.</w:t>
      </w:r>
      <w:r w:rsidR="003A72C4" w:rsidRPr="00043B8D">
        <w:t xml:space="preserve"> </w:t>
      </w:r>
    </w:p>
    <w:p w14:paraId="5A800D7F" w14:textId="77777777" w:rsidR="00DA0A21" w:rsidRDefault="00DA0A21" w:rsidP="007514A4"/>
    <w:p w14:paraId="7DDC1C33" w14:textId="63773F88" w:rsidR="009D1459" w:rsidRDefault="005A2A71" w:rsidP="00A571D5">
      <w:r>
        <w:t>[</w:t>
      </w:r>
      <w:r w:rsidR="00DA0A21" w:rsidRPr="005A2A71">
        <w:t>De distributienettarieven</w:t>
      </w:r>
      <w:r w:rsidR="00BB3CDB" w:rsidRPr="005A2A71">
        <w:t xml:space="preserve"> </w:t>
      </w:r>
      <w:r w:rsidR="00DA0A21" w:rsidRPr="005A2A71">
        <w:t xml:space="preserve">zijn dezelfde voor alle distributienetgebruikers in het netgebied van </w:t>
      </w:r>
      <w:r w:rsidR="002264A3" w:rsidRPr="005A2A71">
        <w:t>de</w:t>
      </w:r>
      <w:r w:rsidR="00DA0A21" w:rsidRPr="005A2A71">
        <w:t xml:space="preserve"> distributienetbeheerder</w:t>
      </w:r>
      <w:r w:rsidR="00EB3790" w:rsidRPr="005A2A71">
        <w:t xml:space="preserve">, </w:t>
      </w:r>
      <w:r w:rsidR="00275A6A" w:rsidRPr="005A2A71">
        <w:t xml:space="preserve">tenzij de VREG een </w:t>
      </w:r>
      <w:r w:rsidR="002264A3" w:rsidRPr="005A2A71">
        <w:t>overgangsmaatregel</w:t>
      </w:r>
      <w:r w:rsidR="00275A6A" w:rsidRPr="005A2A71">
        <w:t xml:space="preserve"> toepast bij fusie, partiële splitsing of splitsing zoals beschreven </w:t>
      </w:r>
      <w:r w:rsidR="002264A3" w:rsidRPr="005A2A71">
        <w:t>in</w:t>
      </w:r>
      <w:r w:rsidR="00EB3790" w:rsidRPr="005A2A71">
        <w:t xml:space="preserve"> par. </w:t>
      </w:r>
      <w:r w:rsidR="006E008E" w:rsidRPr="005A2A71">
        <w:fldChar w:fldCharType="begin"/>
      </w:r>
      <w:r w:rsidR="006E008E" w:rsidRPr="005A2A71">
        <w:instrText xml:space="preserve"> REF _Ref434407912 \r \h </w:instrText>
      </w:r>
      <w:r>
        <w:instrText xml:space="preserve"> \* MERGEFORMAT </w:instrText>
      </w:r>
      <w:r w:rsidR="006E008E" w:rsidRPr="005A2A71">
        <w:fldChar w:fldCharType="separate"/>
      </w:r>
      <w:r w:rsidR="00B30F9B">
        <w:t>9</w:t>
      </w:r>
      <w:r w:rsidR="006E008E" w:rsidRPr="005A2A71">
        <w:fldChar w:fldCharType="end"/>
      </w:r>
      <w:r w:rsidR="00DA0A21" w:rsidRPr="005A2A71">
        <w:t>.</w:t>
      </w:r>
      <w:r>
        <w:t>]</w:t>
      </w:r>
      <w:r>
        <w:rPr>
          <w:rStyle w:val="Voetnootmarkering"/>
        </w:rPr>
        <w:footnoteReference w:id="54"/>
      </w:r>
      <w:r w:rsidR="00AA429B" w:rsidRPr="005A2A71">
        <w:t xml:space="preserve"> </w:t>
      </w:r>
    </w:p>
    <w:p w14:paraId="706FDA5C" w14:textId="77777777" w:rsidR="00247289" w:rsidRPr="00043B8D" w:rsidRDefault="00247289" w:rsidP="005251E2">
      <w:pPr>
        <w:pStyle w:val="Kop2"/>
        <w:numPr>
          <w:ilvl w:val="2"/>
          <w:numId w:val="24"/>
        </w:numPr>
        <w:ind w:left="993" w:hanging="993"/>
        <w:rPr>
          <w:i/>
          <w:sz w:val="22"/>
          <w:szCs w:val="22"/>
        </w:rPr>
      </w:pPr>
      <w:bookmarkStart w:id="395" w:name="_Ref436814247"/>
      <w:bookmarkStart w:id="396" w:name="_Toc454186690"/>
      <w:r w:rsidRPr="00043B8D">
        <w:rPr>
          <w:i/>
          <w:sz w:val="22"/>
          <w:szCs w:val="22"/>
        </w:rPr>
        <w:t>Werkwijze</w:t>
      </w:r>
      <w:bookmarkEnd w:id="395"/>
      <w:bookmarkEnd w:id="396"/>
      <w:r w:rsidRPr="00043B8D">
        <w:rPr>
          <w:i/>
          <w:sz w:val="22"/>
          <w:szCs w:val="22"/>
        </w:rPr>
        <w:t xml:space="preserve"> </w:t>
      </w:r>
    </w:p>
    <w:p w14:paraId="0E18EAFE" w14:textId="77777777" w:rsidR="00247289" w:rsidRPr="00043B8D" w:rsidRDefault="00247289" w:rsidP="007514A4"/>
    <w:p w14:paraId="6CFBD794" w14:textId="1BDFF8C0" w:rsidR="003A72C4" w:rsidRPr="00043B8D" w:rsidRDefault="003A72C4" w:rsidP="003A72C4">
      <w:r w:rsidRPr="00043B8D">
        <w:t xml:space="preserve">Het verwachte inkomen van de distributienetbeheerder uit zijn periodieke distributienettarieven voor niet-exogene kosten, volgend uit zijn tariefvoorstel en de daarbij gehanteerde rekenvolumes, mag het </w:t>
      </w:r>
      <w:r w:rsidR="001667E1" w:rsidRPr="00043B8D">
        <w:t>toegelaten</w:t>
      </w:r>
      <w:r w:rsidRPr="00043B8D">
        <w:t xml:space="preserve"> inkomen voor niet-exogene kosten niet overschrijden. </w:t>
      </w:r>
    </w:p>
    <w:p w14:paraId="148A49A5" w14:textId="77777777" w:rsidR="003A72C4" w:rsidRPr="00043B8D" w:rsidRDefault="003A72C4" w:rsidP="003A72C4"/>
    <w:p w14:paraId="1838029B" w14:textId="5B81CD2D" w:rsidR="003A72C4" w:rsidRPr="00043B8D" w:rsidRDefault="003A72C4" w:rsidP="003A72C4">
      <w:r w:rsidRPr="00043B8D">
        <w:t xml:space="preserve">Het verwachte inkomen van de distributienetbeheerder uit zijn periodieke distributienettarieven </w:t>
      </w:r>
      <w:r w:rsidR="00313965" w:rsidRPr="00043B8D">
        <w:t>m.b.t.</w:t>
      </w:r>
      <w:r w:rsidRPr="00043B8D">
        <w:t xml:space="preserve"> exogene kosten, volgend uit zijn tariefvoorstel en de daarbij gehanteerde rekenvolumes, dient gelijk te zijn</w:t>
      </w:r>
      <w:r w:rsidR="004F3830" w:rsidRPr="00043B8D">
        <w:t xml:space="preserve">, eventueel </w:t>
      </w:r>
      <w:r w:rsidRPr="00043B8D">
        <w:t xml:space="preserve">op afrondingsfouten na, aan het </w:t>
      </w:r>
      <w:r w:rsidR="001667E1" w:rsidRPr="00043B8D">
        <w:t>toegelaten</w:t>
      </w:r>
      <w:r w:rsidRPr="00043B8D">
        <w:t xml:space="preserve"> inkomen voor exogene kosten.</w:t>
      </w:r>
    </w:p>
    <w:p w14:paraId="37C8A89C" w14:textId="77777777" w:rsidR="008A7755" w:rsidRPr="00043B8D" w:rsidRDefault="008A7755" w:rsidP="007514A4">
      <w:pPr>
        <w:rPr>
          <w:rFonts w:cs="Tahoma"/>
        </w:rPr>
      </w:pPr>
    </w:p>
    <w:p w14:paraId="27F93A45" w14:textId="6DEAF676" w:rsidR="0036521A" w:rsidRPr="00043B8D" w:rsidRDefault="009B479B" w:rsidP="0036521A">
      <w:pPr>
        <w:rPr>
          <w:rFonts w:cs="Tahoma"/>
        </w:rPr>
      </w:pPr>
      <w:r w:rsidRPr="00043B8D">
        <w:t>De distributienetbeheerder rekent het toegelaten inkomen voor exogene en niet-exogene kosten toe aan de verschillende tariefcomponenten. Hierbij wordt het inkomen in eerste instantie toegerekend aan de diensten of activiteiten waarop deze betrekking hebben, op basis van aantoonbare causaliteit (‘directe kosten’).</w:t>
      </w:r>
      <w:r w:rsidR="0036521A" w:rsidRPr="00043B8D">
        <w:t xml:space="preserve"> De indirecte kosten, waarvoor geen aantoonbaar direct verband kan gelegd worden met een dienst of activiteit, moeten door de distributienetbeheerder verdeeld worden op basis van verdeelsleutels. Deze verdeelsleutels moeten aan de volgende voorwaarden voldoen:</w:t>
      </w:r>
    </w:p>
    <w:p w14:paraId="1F3D3B7D" w14:textId="77777777" w:rsidR="0036521A" w:rsidRPr="00043B8D" w:rsidRDefault="0036521A" w:rsidP="00B376D5">
      <w:pPr>
        <w:pStyle w:val="Lijstalinea"/>
        <w:numPr>
          <w:ilvl w:val="0"/>
          <w:numId w:val="19"/>
        </w:numPr>
      </w:pPr>
      <w:r w:rsidRPr="00043B8D">
        <w:t>Ze moeten objectief zijn.</w:t>
      </w:r>
    </w:p>
    <w:p w14:paraId="0B1FFCC3" w14:textId="77777777" w:rsidR="0036521A" w:rsidRPr="00043B8D" w:rsidRDefault="0036521A" w:rsidP="00B376D5">
      <w:pPr>
        <w:pStyle w:val="Lijstalinea"/>
        <w:numPr>
          <w:ilvl w:val="0"/>
          <w:numId w:val="19"/>
        </w:numPr>
      </w:pPr>
      <w:r w:rsidRPr="00043B8D">
        <w:t>Ze worden op een consistente wijze toegepast bij de toewijzing van indirecte kosten.</w:t>
      </w:r>
    </w:p>
    <w:p w14:paraId="653069DA" w14:textId="77777777" w:rsidR="0036521A" w:rsidRPr="00043B8D" w:rsidRDefault="0036521A" w:rsidP="00B376D5">
      <w:pPr>
        <w:pStyle w:val="Lijstalinea"/>
        <w:numPr>
          <w:ilvl w:val="0"/>
          <w:numId w:val="19"/>
        </w:numPr>
      </w:pPr>
      <w:r w:rsidRPr="00043B8D">
        <w:t xml:space="preserve">Ze moeten transparant zijn. </w:t>
      </w:r>
    </w:p>
    <w:p w14:paraId="0D59C610" w14:textId="77777777" w:rsidR="0036521A" w:rsidRPr="00043B8D" w:rsidRDefault="0036521A" w:rsidP="00B376D5">
      <w:pPr>
        <w:pStyle w:val="Lijstalinea"/>
        <w:numPr>
          <w:ilvl w:val="0"/>
          <w:numId w:val="19"/>
        </w:numPr>
      </w:pPr>
      <w:r w:rsidRPr="00043B8D">
        <w:t>Ze worden door de distributienetbeheerder op overtuigende wijze verantwoord en gedocumenteerd.</w:t>
      </w:r>
    </w:p>
    <w:p w14:paraId="480FFC93" w14:textId="77777777" w:rsidR="0036521A" w:rsidRPr="00043B8D" w:rsidRDefault="0036521A" w:rsidP="00B376D5">
      <w:pPr>
        <w:pStyle w:val="Lijstalinea"/>
        <w:numPr>
          <w:ilvl w:val="0"/>
          <w:numId w:val="19"/>
        </w:numPr>
      </w:pPr>
      <w:r w:rsidRPr="00043B8D">
        <w:t>Ze mogen geen opzettelijke discriminatie tussen distributienetgebruikers inhouden.</w:t>
      </w:r>
    </w:p>
    <w:p w14:paraId="2859660D" w14:textId="77777777" w:rsidR="0036521A" w:rsidRPr="00043B8D" w:rsidRDefault="0036521A" w:rsidP="00B376D5">
      <w:pPr>
        <w:pStyle w:val="Lijstalinea"/>
        <w:numPr>
          <w:ilvl w:val="0"/>
          <w:numId w:val="19"/>
        </w:numPr>
        <w:rPr>
          <w:rFonts w:cs="Tahoma"/>
        </w:rPr>
      </w:pPr>
      <w:r w:rsidRPr="00043B8D">
        <w:t>Ze weerspiegelen zo goed als mogelijk de werkelijke relatieve inzet van de productiemiddelen die de kosten hebben veroorzaakt voor een bepaalde dienst of activiteit (bijvoorbeeld via een systeem van Activity Based Costing).</w:t>
      </w:r>
    </w:p>
    <w:p w14:paraId="08ACC19D" w14:textId="77777777" w:rsidR="007514A4" w:rsidRPr="00043B8D" w:rsidRDefault="007514A4" w:rsidP="007514A4"/>
    <w:p w14:paraId="668C630C" w14:textId="77777777" w:rsidR="007514A4" w:rsidRPr="00043B8D" w:rsidRDefault="007514A4" w:rsidP="007514A4">
      <w:pPr>
        <w:rPr>
          <w:rFonts w:cs="Arial"/>
        </w:rPr>
      </w:pPr>
      <w:r w:rsidRPr="00043B8D">
        <w:rPr>
          <w:rFonts w:cs="Arial"/>
        </w:rPr>
        <w:t xml:space="preserve">Bij de toerekening door de elektriciteitsdistributienetbeheerder van kosten m.b.t. het ‘gebruik van het net’ en het ‘gebruik van het transmissienet’ aan de onderscheiden klantengroepen wordt gebruik gemaakt van het cascadebeginsel waarbij kosten van een net op een hoger spanningsniveau toegerekend worden aan een net op een lager spanningsniveau </w:t>
      </w:r>
      <w:r w:rsidR="00C13491" w:rsidRPr="00043B8D">
        <w:rPr>
          <w:rFonts w:cs="Arial"/>
        </w:rPr>
        <w:t xml:space="preserve">in verhouding tot </w:t>
      </w:r>
      <w:r w:rsidRPr="00043B8D">
        <w:rPr>
          <w:rFonts w:cs="Arial"/>
        </w:rPr>
        <w:t>het aandeel energie afgenomen op laatstgenoemde net in de totale afname van energie van het eerstgenoemde net.</w:t>
      </w:r>
    </w:p>
    <w:p w14:paraId="32C0BA59" w14:textId="77777777" w:rsidR="007514A4" w:rsidRPr="00043B8D" w:rsidRDefault="007514A4" w:rsidP="007514A4">
      <w:pPr>
        <w:rPr>
          <w:rFonts w:cs="Tahoma"/>
        </w:rPr>
      </w:pPr>
    </w:p>
    <w:p w14:paraId="26B9ACE5" w14:textId="77777777" w:rsidR="007514A4" w:rsidRPr="00043B8D" w:rsidRDefault="007514A4" w:rsidP="005251E2">
      <w:pPr>
        <w:pStyle w:val="Kop2"/>
        <w:numPr>
          <w:ilvl w:val="1"/>
          <w:numId w:val="24"/>
        </w:numPr>
        <w:ind w:hanging="644"/>
      </w:pPr>
      <w:bookmarkStart w:id="397" w:name="_Toc454186691"/>
      <w:r w:rsidRPr="00043B8D">
        <w:t>Lengte van de reguleringsperiode</w:t>
      </w:r>
      <w:bookmarkEnd w:id="397"/>
    </w:p>
    <w:p w14:paraId="3C2A8863" w14:textId="77777777" w:rsidR="007514A4" w:rsidRPr="00043B8D" w:rsidRDefault="007514A4" w:rsidP="007514A4"/>
    <w:p w14:paraId="46BF0479" w14:textId="6B1C781A" w:rsidR="007514A4" w:rsidRPr="00043B8D" w:rsidRDefault="007514A4" w:rsidP="007514A4">
      <w:r w:rsidRPr="00043B8D">
        <w:t xml:space="preserve">In een tariefmethode met een onderdeel inkomstenregulering omvat één reguleringsperiode normaliter meerdere opeenvolgende kalenderjaren. Het doel is immers de </w:t>
      </w:r>
      <w:r w:rsidR="006C6449" w:rsidRPr="00043B8D">
        <w:t xml:space="preserve">ondernemingen </w:t>
      </w:r>
      <w:r w:rsidRPr="00043B8D">
        <w:t xml:space="preserve">te stimuleren tot het maken van efficiëntiewinsten. </w:t>
      </w:r>
      <w:r w:rsidR="006C6449" w:rsidRPr="00043B8D">
        <w:t xml:space="preserve">Zij zullen </w:t>
      </w:r>
      <w:r w:rsidRPr="00043B8D">
        <w:t xml:space="preserve">deze pas realiseren indien </w:t>
      </w:r>
      <w:r w:rsidR="006C6449" w:rsidRPr="00043B8D">
        <w:t xml:space="preserve">zij </w:t>
      </w:r>
      <w:r w:rsidRPr="00043B8D">
        <w:t xml:space="preserve">ook werkelijk de vruchten </w:t>
      </w:r>
      <w:r w:rsidR="006C6449" w:rsidRPr="00043B8D">
        <w:t xml:space="preserve">kunnen </w:t>
      </w:r>
      <w:r w:rsidRPr="00043B8D">
        <w:t xml:space="preserve">plukken van </w:t>
      </w:r>
      <w:r w:rsidR="006C6449" w:rsidRPr="00043B8D">
        <w:t xml:space="preserve">hun </w:t>
      </w:r>
      <w:r w:rsidRPr="00043B8D">
        <w:t xml:space="preserve">inspanningen. Indien de efficiëntiewinsten snel zouden worden afgeroomd door een verlaging van de </w:t>
      </w:r>
      <w:r w:rsidR="006C6449" w:rsidRPr="00043B8D">
        <w:t xml:space="preserve">inkomsten </w:t>
      </w:r>
      <w:r w:rsidRPr="00043B8D">
        <w:t xml:space="preserve">in de volgende </w:t>
      </w:r>
      <w:r w:rsidR="00A00ABE" w:rsidRPr="00043B8D">
        <w:t>reguleringsperiode</w:t>
      </w:r>
      <w:r w:rsidRPr="00043B8D">
        <w:t xml:space="preserve">, zal de stimulans beperkt zijn. Indien de reguleringsperiode zeer lang zou zijn, zal de incentive maximaal zijn maar zouden de tarieven voor de </w:t>
      </w:r>
      <w:r w:rsidR="00055821" w:rsidRPr="00043B8D">
        <w:t>distributienetgebruikers</w:t>
      </w:r>
      <w:r w:rsidRPr="00043B8D">
        <w:t xml:space="preserve"> te lang op een te hoog niveau kunnen blijven.</w:t>
      </w:r>
    </w:p>
    <w:p w14:paraId="291B6CE0" w14:textId="77777777" w:rsidR="007514A4" w:rsidRPr="00043B8D" w:rsidRDefault="007514A4" w:rsidP="007514A4"/>
    <w:p w14:paraId="1C2C9BD4" w14:textId="77777777" w:rsidR="002876A4" w:rsidRPr="00043B8D" w:rsidRDefault="007514A4" w:rsidP="007514A4">
      <w:r w:rsidRPr="00043B8D">
        <w:t>Rekening houden</w:t>
      </w:r>
      <w:r w:rsidR="0036521A" w:rsidRPr="00043B8D">
        <w:t>d</w:t>
      </w:r>
      <w:r w:rsidRPr="00043B8D">
        <w:t xml:space="preserve"> met de vermelde aspecten, </w:t>
      </w:r>
      <w:r w:rsidR="002876A4" w:rsidRPr="00043B8D">
        <w:t xml:space="preserve">meent </w:t>
      </w:r>
      <w:r w:rsidRPr="00043B8D">
        <w:t xml:space="preserve">de VREG </w:t>
      </w:r>
      <w:r w:rsidR="002876A4" w:rsidRPr="00043B8D">
        <w:t xml:space="preserve">dat het </w:t>
      </w:r>
      <w:r w:rsidRPr="00043B8D">
        <w:t xml:space="preserve">op termijn </w:t>
      </w:r>
      <w:r w:rsidR="002876A4" w:rsidRPr="00043B8D">
        <w:t xml:space="preserve">goed zou zijn om </w:t>
      </w:r>
      <w:r w:rsidRPr="00043B8D">
        <w:t xml:space="preserve">een periodieke reguleringsperiode in te voeren </w:t>
      </w:r>
      <w:r w:rsidR="002876A4" w:rsidRPr="00043B8D">
        <w:t xml:space="preserve">die langer is dan twee </w:t>
      </w:r>
      <w:r w:rsidRPr="00043B8D">
        <w:t>jaar</w:t>
      </w:r>
      <w:r w:rsidR="002876A4" w:rsidRPr="00043B8D">
        <w:t>.</w:t>
      </w:r>
    </w:p>
    <w:p w14:paraId="7662CE4F" w14:textId="77777777" w:rsidR="007514A4" w:rsidRPr="00043B8D" w:rsidRDefault="002876A4" w:rsidP="007514A4">
      <w:r w:rsidRPr="00043B8D">
        <w:t xml:space="preserve"> </w:t>
      </w:r>
    </w:p>
    <w:p w14:paraId="479192AD" w14:textId="77777777" w:rsidR="007514A4" w:rsidRPr="00043B8D" w:rsidRDefault="007514A4" w:rsidP="007514A4">
      <w:r w:rsidRPr="00043B8D">
        <w:t>De VREG stelde tijdens de consultatie over de tariefmethodologie</w:t>
      </w:r>
      <w:r w:rsidR="002876A4" w:rsidRPr="00043B8D">
        <w:t xml:space="preserve"> in het najaar van 2013</w:t>
      </w:r>
      <w:r w:rsidRPr="00043B8D">
        <w:t xml:space="preserve"> vast dat de stakeholders die reageerden op de </w:t>
      </w:r>
      <w:r w:rsidR="002876A4" w:rsidRPr="00043B8D">
        <w:t xml:space="preserve">toen door de VREG </w:t>
      </w:r>
      <w:r w:rsidRPr="00043B8D">
        <w:t>voorgestelde lengte van vier jaar, pleitten voor een kortere eerste reguleringsperiode. De VREG meent dat het inderdaad opportuun kan zijn om, gezien de transitie van de bevoegdheid over de distributienettarieven met afloop van de huidige distributienettarieven al einde 2014, de lengte van de eerste reguleringsperiode</w:t>
      </w:r>
      <w:r w:rsidR="0036521A" w:rsidRPr="00043B8D">
        <w:t xml:space="preserve"> te</w:t>
      </w:r>
      <w:r w:rsidRPr="00043B8D">
        <w:t xml:space="preserve"> beperken tot twee jaar, van 1 januari 2015 tot en met 31 december 2016. Het biedt de VREG ook de gelegenheid om de tariefmethodologie </w:t>
      </w:r>
      <w:r w:rsidR="002876A4" w:rsidRPr="00043B8D">
        <w:t xml:space="preserve">eventueel </w:t>
      </w:r>
      <w:r w:rsidR="0036521A" w:rsidRPr="00043B8D">
        <w:t>bij te sturen</w:t>
      </w:r>
      <w:r w:rsidRPr="00043B8D">
        <w:t xml:space="preserve"> indien de omstandigheden dat zouden vragen.</w:t>
      </w:r>
    </w:p>
    <w:p w14:paraId="36B4D8EE" w14:textId="77777777" w:rsidR="008E4DF2" w:rsidRPr="00043B8D" w:rsidRDefault="008E4DF2" w:rsidP="007514A4">
      <w:pPr>
        <w:rPr>
          <w:rFonts w:cs="Tahoma"/>
          <w:i/>
        </w:rPr>
      </w:pPr>
    </w:p>
    <w:p w14:paraId="52F2F362" w14:textId="77777777" w:rsidR="00C91A04" w:rsidRPr="00043B8D" w:rsidRDefault="00721D00" w:rsidP="005251E2">
      <w:pPr>
        <w:pStyle w:val="Kop2"/>
        <w:numPr>
          <w:ilvl w:val="1"/>
          <w:numId w:val="24"/>
        </w:numPr>
        <w:ind w:hanging="644"/>
      </w:pPr>
      <w:bookmarkStart w:id="398" w:name="_Ref363635595"/>
      <w:bookmarkStart w:id="399" w:name="_Ref363639353"/>
      <w:bookmarkStart w:id="400" w:name="_Toc454186692"/>
      <w:r w:rsidRPr="00043B8D">
        <w:t>K</w:t>
      </w:r>
      <w:r w:rsidR="0093576D" w:rsidRPr="00043B8D">
        <w:t>waliteitsbewaking</w:t>
      </w:r>
      <w:bookmarkEnd w:id="398"/>
      <w:bookmarkEnd w:id="399"/>
      <w:bookmarkEnd w:id="400"/>
    </w:p>
    <w:p w14:paraId="4D6FD709" w14:textId="77777777" w:rsidR="0093576D" w:rsidRPr="00043B8D" w:rsidRDefault="0093576D" w:rsidP="00C91A04"/>
    <w:p w14:paraId="56994557" w14:textId="5ADA2C3B" w:rsidR="001A0B92" w:rsidRPr="00043B8D" w:rsidRDefault="008E4DF2" w:rsidP="00C91A04">
      <w:r w:rsidRPr="00043B8D">
        <w:t xml:space="preserve">De </w:t>
      </w:r>
      <w:r w:rsidR="001A0B92" w:rsidRPr="00043B8D">
        <w:t xml:space="preserve">kwaliteit van de dienstverlening door een distributienetbeheerder kan op </w:t>
      </w:r>
      <w:r w:rsidR="003C4797" w:rsidRPr="00043B8D">
        <w:t>een aantal</w:t>
      </w:r>
      <w:r w:rsidR="001A0B92" w:rsidRPr="00043B8D">
        <w:t xml:space="preserve"> wijzen </w:t>
      </w:r>
      <w:r w:rsidRPr="00043B8D">
        <w:t xml:space="preserve">beoordeeld </w:t>
      </w:r>
      <w:r w:rsidR="001A0B92" w:rsidRPr="00043B8D">
        <w:t xml:space="preserve">worden. Enerzijds zijn er de objectieve waarnemingen omtrent de onderbrekingen in </w:t>
      </w:r>
      <w:r w:rsidR="00291FA1" w:rsidRPr="00043B8D">
        <w:t>de</w:t>
      </w:r>
      <w:r w:rsidR="001A0B92" w:rsidRPr="00043B8D">
        <w:t xml:space="preserve"> energiedistributie </w:t>
      </w:r>
      <w:r w:rsidR="00B6650A" w:rsidRPr="00043B8D">
        <w:t xml:space="preserve">en </w:t>
      </w:r>
      <w:r w:rsidR="001A0B92" w:rsidRPr="00043B8D">
        <w:t xml:space="preserve">de snelheid waarmee </w:t>
      </w:r>
      <w:r w:rsidR="00B6650A" w:rsidRPr="00043B8D">
        <w:t xml:space="preserve">hij </w:t>
      </w:r>
      <w:r w:rsidR="001A0B92" w:rsidRPr="00043B8D">
        <w:t xml:space="preserve">ingaat op </w:t>
      </w:r>
      <w:r w:rsidR="00291FA1" w:rsidRPr="00043B8D">
        <w:t xml:space="preserve">bepaalde </w:t>
      </w:r>
      <w:r w:rsidR="001A0B92" w:rsidRPr="00043B8D">
        <w:t>verzoek</w:t>
      </w:r>
      <w:r w:rsidR="00291FA1" w:rsidRPr="00043B8D">
        <w:t>en</w:t>
      </w:r>
      <w:r w:rsidR="001A0B92" w:rsidRPr="00043B8D">
        <w:t xml:space="preserve"> van </w:t>
      </w:r>
      <w:r w:rsidR="00055821" w:rsidRPr="00043B8D">
        <w:t>distributienetgebruikers</w:t>
      </w:r>
      <w:r w:rsidR="001A0B92" w:rsidRPr="00043B8D">
        <w:t xml:space="preserve">. Anderzijds zijn er de meer subjectieve beoordelingen door </w:t>
      </w:r>
      <w:r w:rsidR="00055821" w:rsidRPr="00043B8D">
        <w:t xml:space="preserve">de distributienetgebruikers </w:t>
      </w:r>
      <w:r w:rsidR="001A0B92" w:rsidRPr="00043B8D">
        <w:t xml:space="preserve">en </w:t>
      </w:r>
      <w:r w:rsidR="00B6650A" w:rsidRPr="00043B8D">
        <w:t xml:space="preserve">hun </w:t>
      </w:r>
      <w:r w:rsidR="001A0B92" w:rsidRPr="00043B8D">
        <w:t xml:space="preserve">klachten </w:t>
      </w:r>
      <w:r w:rsidRPr="00043B8D">
        <w:t xml:space="preserve">over </w:t>
      </w:r>
      <w:r w:rsidR="001A0B92" w:rsidRPr="00043B8D">
        <w:t>of vragen</w:t>
      </w:r>
      <w:r w:rsidR="00B6650A" w:rsidRPr="00043B8D">
        <w:t xml:space="preserve"> aan </w:t>
      </w:r>
      <w:r w:rsidRPr="00043B8D">
        <w:t xml:space="preserve">hun </w:t>
      </w:r>
      <w:r w:rsidR="002F24EE" w:rsidRPr="00043B8D">
        <w:t>distributienetbeheerder</w:t>
      </w:r>
      <w:r w:rsidR="001A0B92" w:rsidRPr="00043B8D">
        <w:t xml:space="preserve">.   </w:t>
      </w:r>
    </w:p>
    <w:p w14:paraId="510608F9" w14:textId="77777777" w:rsidR="001A0B92" w:rsidRPr="00043B8D" w:rsidRDefault="001A0B92" w:rsidP="00C91A04"/>
    <w:p w14:paraId="6F9327A6" w14:textId="512B99EB" w:rsidR="008E4DF2" w:rsidRPr="00043B8D" w:rsidRDefault="001A0B92" w:rsidP="00C91A04">
      <w:r w:rsidRPr="00043B8D">
        <w:t>De prikkel voor kwaliteit (</w:t>
      </w:r>
      <w:r w:rsidR="00B6650A" w:rsidRPr="00043B8D">
        <w:t>kwaliteitsterm</w:t>
      </w:r>
      <w:r w:rsidR="00421763" w:rsidRPr="00043B8D">
        <w:t xml:space="preserve"> of q-factor</w:t>
      </w:r>
      <w:r w:rsidR="00B6650A" w:rsidRPr="00043B8D">
        <w:t xml:space="preserve"> </w:t>
      </w:r>
      <w:r w:rsidRPr="00043B8D">
        <w:rPr>
          <w:i/>
        </w:rPr>
        <w:t>q</w:t>
      </w:r>
      <w:r w:rsidRPr="00043B8D">
        <w:rPr>
          <w:i/>
          <w:vertAlign w:val="subscript"/>
        </w:rPr>
        <w:t>i</w:t>
      </w:r>
      <w:r w:rsidRPr="00043B8D">
        <w:t xml:space="preserve"> in </w:t>
      </w:r>
      <w:r w:rsidRPr="00043B8D">
        <w:fldChar w:fldCharType="begin"/>
      </w:r>
      <w:r w:rsidRPr="00043B8D">
        <w:instrText xml:space="preserve"> REF _Ref388628565 \h  \* MERGEFORMAT </w:instrText>
      </w:r>
      <w:r w:rsidRPr="00043B8D">
        <w:fldChar w:fldCharType="separate"/>
      </w:r>
      <w:r w:rsidR="00B30F9B" w:rsidRPr="00B30F9B">
        <w:t xml:space="preserve">formule </w:t>
      </w:r>
      <w:r w:rsidR="00B30F9B" w:rsidRPr="00B30F9B">
        <w:rPr>
          <w:noProof/>
        </w:rPr>
        <w:t>2</w:t>
      </w:r>
      <w:r w:rsidRPr="00043B8D">
        <w:fldChar w:fldCharType="end"/>
      </w:r>
      <w:r w:rsidRPr="00043B8D">
        <w:t xml:space="preserve">) is </w:t>
      </w:r>
      <w:r w:rsidR="00061191" w:rsidRPr="00043B8D">
        <w:t>de</w:t>
      </w:r>
      <w:r w:rsidRPr="00043B8D">
        <w:t xml:space="preserve"> vertaling van </w:t>
      </w:r>
      <w:r w:rsidR="00B6650A" w:rsidRPr="00043B8D">
        <w:t xml:space="preserve">de </w:t>
      </w:r>
      <w:r w:rsidRPr="00043B8D">
        <w:t xml:space="preserve">beoordeling van het niveau van de geleverde kwaliteit door een distributienetbeheerder </w:t>
      </w:r>
      <w:r w:rsidR="00061191" w:rsidRPr="00043B8D">
        <w:t xml:space="preserve">in </w:t>
      </w:r>
      <w:r w:rsidRPr="00043B8D">
        <w:t xml:space="preserve">een financiële beloning (of </w:t>
      </w:r>
      <w:r w:rsidR="00061191" w:rsidRPr="00043B8D">
        <w:t xml:space="preserve">eventueel </w:t>
      </w:r>
      <w:r w:rsidRPr="00043B8D">
        <w:t>bestraffing).</w:t>
      </w:r>
      <w:r w:rsidR="00291FA1" w:rsidRPr="00043B8D">
        <w:t xml:space="preserve"> De term zorg</w:t>
      </w:r>
      <w:r w:rsidR="003C4797" w:rsidRPr="00043B8D">
        <w:t>t</w:t>
      </w:r>
      <w:r w:rsidR="00291FA1" w:rsidRPr="00043B8D">
        <w:t xml:space="preserve"> voor een verhoging of eventueel verlaging van het inkomen van de distributienetbeheerder. </w:t>
      </w:r>
    </w:p>
    <w:p w14:paraId="7B64FA6C" w14:textId="77777777" w:rsidR="008E4DF2" w:rsidRPr="00043B8D" w:rsidRDefault="008E4DF2" w:rsidP="00C91A04"/>
    <w:p w14:paraId="6BE7E975" w14:textId="072080CB" w:rsidR="008D001E" w:rsidRPr="00043B8D" w:rsidRDefault="00305577" w:rsidP="00C91A04">
      <w:r w:rsidRPr="00043B8D">
        <w:t xml:space="preserve">De </w:t>
      </w:r>
      <w:r w:rsidR="008E4DF2" w:rsidRPr="00043B8D">
        <w:t xml:space="preserve">kwaliteitsterm wordt </w:t>
      </w:r>
      <w:r w:rsidRPr="00043B8D">
        <w:t xml:space="preserve">algemeen </w:t>
      </w:r>
      <w:r w:rsidR="008E4DF2" w:rsidRPr="00043B8D">
        <w:t xml:space="preserve">beschouwd als noodzakelijk in een inkomstenregulering </w:t>
      </w:r>
      <w:r w:rsidR="00D661DE" w:rsidRPr="00043B8D">
        <w:t xml:space="preserve">zoals opgenomen in voorliggende tariefmethodologie </w:t>
      </w:r>
      <w:r w:rsidR="008E4DF2" w:rsidRPr="00043B8D">
        <w:t xml:space="preserve">omdat, mocht deze term ontbreken, het voor een onderneming verleidelijk </w:t>
      </w:r>
      <w:r w:rsidRPr="00043B8D">
        <w:t xml:space="preserve">zou </w:t>
      </w:r>
      <w:r w:rsidR="003C4797" w:rsidRPr="00043B8D">
        <w:t xml:space="preserve">kunnen </w:t>
      </w:r>
      <w:r w:rsidR="008E4DF2" w:rsidRPr="00043B8D">
        <w:t xml:space="preserve">zijn om te besparen op kosten die louter in verband staan met de kwaliteit van </w:t>
      </w:r>
      <w:r w:rsidRPr="00043B8D">
        <w:t xml:space="preserve">de </w:t>
      </w:r>
      <w:r w:rsidR="008E4DF2" w:rsidRPr="00043B8D">
        <w:t xml:space="preserve">dienstverlening. </w:t>
      </w:r>
      <w:r w:rsidR="00E216D4" w:rsidRPr="00043B8D">
        <w:t>D</w:t>
      </w:r>
      <w:r w:rsidR="003C4797" w:rsidRPr="00043B8D">
        <w:t>i</w:t>
      </w:r>
      <w:r w:rsidR="00E216D4" w:rsidRPr="00043B8D">
        <w:t xml:space="preserve">e visie wordt ingegeven door </w:t>
      </w:r>
      <w:r w:rsidR="003C4797" w:rsidRPr="00043B8D">
        <w:t xml:space="preserve">de veronderstelling </w:t>
      </w:r>
      <w:r w:rsidR="00E216D4" w:rsidRPr="00043B8D">
        <w:t xml:space="preserve">dat een </w:t>
      </w:r>
      <w:r w:rsidR="003C4797" w:rsidRPr="00043B8D">
        <w:t xml:space="preserve">monopolistische </w:t>
      </w:r>
      <w:r w:rsidR="008D001E" w:rsidRPr="00043B8D">
        <w:t xml:space="preserve">onderneming </w:t>
      </w:r>
      <w:r w:rsidR="003C4797" w:rsidRPr="00043B8D">
        <w:t xml:space="preserve">eerder zou toegeven aan </w:t>
      </w:r>
      <w:r w:rsidR="008D001E" w:rsidRPr="00043B8D">
        <w:t xml:space="preserve">de belangen van haar aandeelhouders </w:t>
      </w:r>
      <w:r w:rsidR="003C4797" w:rsidRPr="00043B8D">
        <w:t xml:space="preserve">dan die </w:t>
      </w:r>
      <w:r w:rsidR="008D001E" w:rsidRPr="00043B8D">
        <w:t xml:space="preserve">van haar klanten. Wat betreft de Vlaamse elektriciteits- en </w:t>
      </w:r>
      <w:r w:rsidR="00E216D4" w:rsidRPr="00043B8D">
        <w:t>aardgas</w:t>
      </w:r>
      <w:r w:rsidR="008D001E" w:rsidRPr="00043B8D">
        <w:t>distributienetbeheerder</w:t>
      </w:r>
      <w:r w:rsidR="00E216D4" w:rsidRPr="00043B8D">
        <w:t xml:space="preserve">s dient dit te worden genuanceerd </w:t>
      </w:r>
      <w:r w:rsidR="00D661DE" w:rsidRPr="00043B8D">
        <w:t>aan</w:t>
      </w:r>
      <w:r w:rsidR="00E216D4" w:rsidRPr="00043B8D">
        <w:t xml:space="preserve">gezien </w:t>
      </w:r>
      <w:r w:rsidR="00D661DE" w:rsidRPr="00043B8D">
        <w:t xml:space="preserve">zij werken in </w:t>
      </w:r>
      <w:r w:rsidR="00E216D4" w:rsidRPr="00043B8D">
        <w:t xml:space="preserve">de context van de </w:t>
      </w:r>
      <w:r w:rsidR="008D001E" w:rsidRPr="00043B8D">
        <w:t>decretale verplichtingen</w:t>
      </w:r>
      <w:r w:rsidR="00E216D4" w:rsidRPr="00043B8D">
        <w:t xml:space="preserve"> </w:t>
      </w:r>
      <w:r w:rsidR="00E51554" w:rsidRPr="00043B8D">
        <w:t>waaraan</w:t>
      </w:r>
      <w:r w:rsidR="00E216D4" w:rsidRPr="00043B8D">
        <w:t xml:space="preserve"> </w:t>
      </w:r>
      <w:r w:rsidR="00D661DE" w:rsidRPr="00043B8D">
        <w:t xml:space="preserve">ze </w:t>
      </w:r>
      <w:r w:rsidR="00E51554" w:rsidRPr="00043B8D">
        <w:t xml:space="preserve">moeten voldoen, zoals het beheer </w:t>
      </w:r>
      <w:r w:rsidR="00391B00" w:rsidRPr="00043B8D">
        <w:t xml:space="preserve">en het ontwikkelen </w:t>
      </w:r>
      <w:r w:rsidR="00E51554" w:rsidRPr="00043B8D">
        <w:t>van een veilig</w:t>
      </w:r>
      <w:r w:rsidR="004066FA" w:rsidRPr="00043B8D">
        <w:t xml:space="preserve">, </w:t>
      </w:r>
      <w:r w:rsidR="00E51554" w:rsidRPr="00043B8D">
        <w:t xml:space="preserve">betrouwbaar </w:t>
      </w:r>
      <w:r w:rsidR="004066FA" w:rsidRPr="00043B8D">
        <w:t xml:space="preserve">en efficiënt </w:t>
      </w:r>
      <w:r w:rsidR="00E51554" w:rsidRPr="00043B8D">
        <w:t>net</w:t>
      </w:r>
      <w:r w:rsidR="00E51554" w:rsidRPr="00043B8D">
        <w:rPr>
          <w:rStyle w:val="Voetnootmarkering"/>
        </w:rPr>
        <w:footnoteReference w:id="55"/>
      </w:r>
      <w:r w:rsidR="008D001E" w:rsidRPr="00043B8D">
        <w:t>.</w:t>
      </w:r>
      <w:r w:rsidR="00D661DE" w:rsidRPr="00043B8D">
        <w:t xml:space="preserve"> Ondanks het gebrek aan prikkels m.b.t. de kwaliteit in vorige tariefmethodologieën, bleef het </w:t>
      </w:r>
      <w:r w:rsidR="003C4797" w:rsidRPr="00043B8D">
        <w:t xml:space="preserve">geleverde </w:t>
      </w:r>
      <w:r w:rsidR="00D661DE" w:rsidRPr="00043B8D">
        <w:t xml:space="preserve">kwaliteitsniveau </w:t>
      </w:r>
      <w:r w:rsidR="003C4797" w:rsidRPr="00043B8D">
        <w:t xml:space="preserve">toch </w:t>
      </w:r>
      <w:r w:rsidR="00D661DE" w:rsidRPr="00043B8D">
        <w:t xml:space="preserve">hoog. Tenslotte </w:t>
      </w:r>
      <w:r w:rsidR="006F0A9E" w:rsidRPr="00043B8D">
        <w:t xml:space="preserve">mag </w:t>
      </w:r>
      <w:r w:rsidR="00D661DE" w:rsidRPr="00043B8D">
        <w:t xml:space="preserve">een </w:t>
      </w:r>
      <w:r w:rsidR="006F0A9E" w:rsidRPr="00043B8D">
        <w:t xml:space="preserve">financiële prikkel </w:t>
      </w:r>
      <w:r w:rsidR="00D661DE" w:rsidRPr="00043B8D">
        <w:t xml:space="preserve">via een q-factor </w:t>
      </w:r>
      <w:r w:rsidR="00F27CD3" w:rsidRPr="00043B8D">
        <w:t xml:space="preserve">er niet voor zorgen dat </w:t>
      </w:r>
      <w:r w:rsidR="006F0A9E" w:rsidRPr="00043B8D">
        <w:t xml:space="preserve">de bedrijven met een goede kwaliteit zich </w:t>
      </w:r>
      <w:r w:rsidR="00D661DE" w:rsidRPr="00043B8D">
        <w:t xml:space="preserve">op dat vlak </w:t>
      </w:r>
      <w:r w:rsidR="006F0A9E" w:rsidRPr="00043B8D">
        <w:t>nog m</w:t>
      </w:r>
      <w:r w:rsidR="00D661DE" w:rsidRPr="00043B8D">
        <w:t>éé</w:t>
      </w:r>
      <w:r w:rsidR="006F0A9E" w:rsidRPr="00043B8D">
        <w:t xml:space="preserve">r kunnen verbeteren ten koste van </w:t>
      </w:r>
      <w:r w:rsidR="00EA1808" w:rsidRPr="00043B8D">
        <w:t xml:space="preserve">de </w:t>
      </w:r>
      <w:r w:rsidR="006F0A9E" w:rsidRPr="00043B8D">
        <w:t>ondernemingen met een mindere kwaliteit.</w:t>
      </w:r>
    </w:p>
    <w:p w14:paraId="3AF420D2" w14:textId="77777777" w:rsidR="008D001E" w:rsidRPr="00043B8D" w:rsidRDefault="008D001E" w:rsidP="00C91A04"/>
    <w:p w14:paraId="429BE0BF" w14:textId="400E47FC" w:rsidR="001A0B92" w:rsidRPr="00043B8D" w:rsidRDefault="008E4DF2" w:rsidP="00C91A04">
      <w:r w:rsidRPr="00043B8D">
        <w:t xml:space="preserve">M.b.t. </w:t>
      </w:r>
      <w:r w:rsidR="00305577" w:rsidRPr="00043B8D">
        <w:t xml:space="preserve">het </w:t>
      </w:r>
      <w:r w:rsidRPr="00043B8D">
        <w:t xml:space="preserve">distributienetbeheer is </w:t>
      </w:r>
      <w:r w:rsidR="00421763" w:rsidRPr="00043B8D">
        <w:t xml:space="preserve">een </w:t>
      </w:r>
      <w:r w:rsidR="00226AB2" w:rsidRPr="00043B8D">
        <w:t>q-factor</w:t>
      </w:r>
      <w:r w:rsidRPr="00043B8D">
        <w:t xml:space="preserve"> </w:t>
      </w:r>
      <w:r w:rsidR="00C135EC" w:rsidRPr="00043B8D">
        <w:t xml:space="preserve">vermoedelijk vooral </w:t>
      </w:r>
      <w:r w:rsidRPr="00043B8D">
        <w:t>relevant m.b.t. het elektriciteitsdistributienet</w:t>
      </w:r>
      <w:r w:rsidR="00305577" w:rsidRPr="00043B8D">
        <w:t xml:space="preserve"> waar er meer kans is op onderbrekingen of storingen. </w:t>
      </w:r>
      <w:r w:rsidRPr="00043B8D">
        <w:t xml:space="preserve"> </w:t>
      </w:r>
      <w:r w:rsidR="00C135EC" w:rsidRPr="00043B8D">
        <w:t xml:space="preserve">Wat betreft gasdistributie </w:t>
      </w:r>
      <w:r w:rsidR="000E30B4" w:rsidRPr="00043B8D">
        <w:t xml:space="preserve">verwacht de VREG dat </w:t>
      </w:r>
      <w:r w:rsidR="00C135EC" w:rsidRPr="00043B8D">
        <w:t xml:space="preserve">het moeilijk </w:t>
      </w:r>
      <w:r w:rsidR="000E30B4" w:rsidRPr="00043B8D">
        <w:t xml:space="preserve">wordt </w:t>
      </w:r>
      <w:r w:rsidR="00C135EC" w:rsidRPr="00043B8D">
        <w:t>om de q-waarde vast te stellen gezien de hog</w:t>
      </w:r>
      <w:r w:rsidR="001B65D2" w:rsidRPr="00043B8D">
        <w:t>e betrouwbaarheid van de netten</w:t>
      </w:r>
      <w:r w:rsidR="000E30B4" w:rsidRPr="00043B8D">
        <w:t xml:space="preserve"> en de </w:t>
      </w:r>
      <w:r w:rsidR="001B65D2" w:rsidRPr="00043B8D">
        <w:t>moeilijk meetbare en kwantificeerbare parameters m.b.t. kwaliteit</w:t>
      </w:r>
      <w:r w:rsidR="000E30B4" w:rsidRPr="00043B8D">
        <w:t xml:space="preserve">. Hierdoor kan </w:t>
      </w:r>
      <w:r w:rsidR="00C135EC" w:rsidRPr="00043B8D">
        <w:t xml:space="preserve">het zeer moeilijk </w:t>
      </w:r>
      <w:r w:rsidR="000E30B4" w:rsidRPr="00043B8D">
        <w:t xml:space="preserve">worden </w:t>
      </w:r>
      <w:r w:rsidR="00C135EC" w:rsidRPr="00043B8D">
        <w:t xml:space="preserve">om </w:t>
      </w:r>
      <w:r w:rsidR="00226AB2" w:rsidRPr="00043B8D">
        <w:t>de juiste kwaliteitsprikkels te geven aan de juiste aardgasdistributienetbeheerders</w:t>
      </w:r>
      <w:r w:rsidR="00D661DE" w:rsidRPr="00043B8D">
        <w:t>, mochten ze nodig zijn</w:t>
      </w:r>
      <w:r w:rsidR="00C135EC" w:rsidRPr="00043B8D">
        <w:t>.</w:t>
      </w:r>
      <w:r w:rsidR="00EC4B00" w:rsidRPr="00043B8D">
        <w:rPr>
          <w:rStyle w:val="Voetnootmarkering"/>
        </w:rPr>
        <w:footnoteReference w:id="56"/>
      </w:r>
    </w:p>
    <w:p w14:paraId="7109CBA9" w14:textId="77777777" w:rsidR="00B6650A" w:rsidRPr="00043B8D" w:rsidRDefault="00B6650A" w:rsidP="00C91A04"/>
    <w:p w14:paraId="1FD70F27" w14:textId="30977369" w:rsidR="00305577" w:rsidRPr="00043B8D" w:rsidRDefault="00BF06C4" w:rsidP="00BF06C4">
      <w:r w:rsidRPr="00043B8D">
        <w:t xml:space="preserve">Volgens de VREG is het voor de reguleringsperiode die aanvangt in 2015 niet mogelijk om per distributienetbeheerder zijn kwaliteitsterm </w:t>
      </w:r>
      <w:r w:rsidRPr="00043B8D">
        <w:rPr>
          <w:i/>
        </w:rPr>
        <w:t>q</w:t>
      </w:r>
      <w:r w:rsidRPr="00043B8D">
        <w:rPr>
          <w:i/>
          <w:vertAlign w:val="subscript"/>
        </w:rPr>
        <w:t>i</w:t>
      </w:r>
      <w:r w:rsidRPr="00043B8D">
        <w:t xml:space="preserve"> in </w:t>
      </w:r>
      <w:r w:rsidRPr="00043B8D">
        <w:fldChar w:fldCharType="begin"/>
      </w:r>
      <w:r w:rsidRPr="00043B8D">
        <w:instrText xml:space="preserve"> REF _Ref388628565 \h  \* MERGEFORMAT </w:instrText>
      </w:r>
      <w:r w:rsidRPr="00043B8D">
        <w:fldChar w:fldCharType="separate"/>
      </w:r>
      <w:r w:rsidR="00B30F9B" w:rsidRPr="00B30F9B">
        <w:t xml:space="preserve">formule </w:t>
      </w:r>
      <w:r w:rsidR="00B30F9B" w:rsidRPr="00B30F9B">
        <w:rPr>
          <w:noProof/>
        </w:rPr>
        <w:t>2</w:t>
      </w:r>
      <w:r w:rsidRPr="00043B8D">
        <w:fldChar w:fldCharType="end"/>
      </w:r>
      <w:r w:rsidRPr="00043B8D">
        <w:t xml:space="preserve"> te bepalen. De term </w:t>
      </w:r>
      <w:r w:rsidR="0041755B" w:rsidRPr="00043B8D">
        <w:t xml:space="preserve">is </w:t>
      </w:r>
      <w:r w:rsidR="00305577" w:rsidRPr="00043B8D">
        <w:t xml:space="preserve">immers </w:t>
      </w:r>
      <w:r w:rsidRPr="00043B8D">
        <w:t xml:space="preserve">een beoordeling van </w:t>
      </w:r>
      <w:r w:rsidR="0041755B" w:rsidRPr="00043B8D">
        <w:t xml:space="preserve">de </w:t>
      </w:r>
      <w:r w:rsidR="00305577" w:rsidRPr="00043B8D">
        <w:t xml:space="preserve">in het verleden </w:t>
      </w:r>
      <w:r w:rsidRPr="00043B8D">
        <w:t xml:space="preserve">geleverde prestaties </w:t>
      </w:r>
      <w:r w:rsidR="00305577" w:rsidRPr="00043B8D">
        <w:t>op het vlak van kwaliteit</w:t>
      </w:r>
      <w:r w:rsidRPr="00043B8D">
        <w:t xml:space="preserve">. </w:t>
      </w:r>
      <w:r w:rsidR="00305577" w:rsidRPr="00043B8D">
        <w:t xml:space="preserve">Omdat in het verleden </w:t>
      </w:r>
      <w:r w:rsidR="0041755B" w:rsidRPr="00043B8D">
        <w:t xml:space="preserve">(vóór 2015) </w:t>
      </w:r>
      <w:r w:rsidR="00F27CD3" w:rsidRPr="00043B8D">
        <w:t xml:space="preserve">door de distributienetbeheerders </w:t>
      </w:r>
      <w:r w:rsidR="00305577" w:rsidRPr="00043B8D">
        <w:t xml:space="preserve">niet geweten was op basis waarvan de hoogte van de kwaliteitsterm, met financiële impact, zou bepaald worden, kan </w:t>
      </w:r>
      <w:r w:rsidR="0041755B" w:rsidRPr="00043B8D">
        <w:t xml:space="preserve">de term nu niet opgesteld worden en </w:t>
      </w:r>
      <w:r w:rsidR="00305577" w:rsidRPr="00043B8D">
        <w:t>retroactief toegepast worden</w:t>
      </w:r>
      <w:r w:rsidR="00D419AF" w:rsidRPr="00043B8D">
        <w:t xml:space="preserve">. Het zou </w:t>
      </w:r>
      <w:r w:rsidR="0041755B" w:rsidRPr="00043B8D">
        <w:t>als een discriminatoir optreden door de regulator kunnen beschouwd worden.</w:t>
      </w:r>
    </w:p>
    <w:p w14:paraId="186D0F48" w14:textId="77777777" w:rsidR="00305577" w:rsidRPr="00043B8D" w:rsidRDefault="00305577" w:rsidP="00BF06C4"/>
    <w:p w14:paraId="2AEFF4E8" w14:textId="23850DF1" w:rsidR="00D419AF" w:rsidRPr="00043B8D" w:rsidRDefault="00D419AF" w:rsidP="00BF06C4">
      <w:r w:rsidRPr="00043B8D">
        <w:t xml:space="preserve">Daarnaast stelt zich momenteel het probleem van de </w:t>
      </w:r>
      <w:r w:rsidR="00E1743D" w:rsidRPr="00043B8D">
        <w:t>verificatie</w:t>
      </w:r>
      <w:r w:rsidRPr="00043B8D">
        <w:t xml:space="preserve"> en </w:t>
      </w:r>
      <w:r w:rsidR="00E1743D" w:rsidRPr="00043B8D">
        <w:t xml:space="preserve">de </w:t>
      </w:r>
      <w:r w:rsidRPr="00043B8D">
        <w:t xml:space="preserve">vergelijkbaarheid van de </w:t>
      </w:r>
      <w:r w:rsidR="00E1743D" w:rsidRPr="00043B8D">
        <w:t xml:space="preserve">door de distributienetbeheerders </w:t>
      </w:r>
      <w:r w:rsidRPr="00043B8D">
        <w:t xml:space="preserve">gerapporteerde cijfers over de kwaliteit. </w:t>
      </w:r>
      <w:r w:rsidR="00E1743D" w:rsidRPr="00043B8D">
        <w:t xml:space="preserve">Zij </w:t>
      </w:r>
      <w:r w:rsidR="00BF06C4" w:rsidRPr="00043B8D">
        <w:t xml:space="preserve">rapporteren jaarlijks </w:t>
      </w:r>
      <w:r w:rsidRPr="00043B8D">
        <w:t xml:space="preserve">aan de VREG </w:t>
      </w:r>
      <w:r w:rsidR="00BF06C4" w:rsidRPr="00043B8D">
        <w:t xml:space="preserve">over de kwaliteit van hun dienstverlening vanuit een decretale verplichting. De </w:t>
      </w:r>
      <w:r w:rsidRPr="00043B8D">
        <w:t xml:space="preserve">VREG wenst de gerapporteerde gegevens </w:t>
      </w:r>
      <w:r w:rsidR="00CE23C3" w:rsidRPr="00043B8D">
        <w:t xml:space="preserve">nu </w:t>
      </w:r>
      <w:r w:rsidRPr="00043B8D">
        <w:t>niet te gebruiken</w:t>
      </w:r>
      <w:r w:rsidR="00CE23C3" w:rsidRPr="00043B8D">
        <w:t xml:space="preserve"> in de tariefmethodologie</w:t>
      </w:r>
      <w:r w:rsidRPr="00043B8D">
        <w:t xml:space="preserve">. </w:t>
      </w:r>
      <w:r w:rsidR="00BF06C4" w:rsidRPr="00043B8D">
        <w:t xml:space="preserve">VREG dient eerst de zekerheid te hebben dat de kwaliteitsgegevens volledig </w:t>
      </w:r>
      <w:r w:rsidR="00CE23C3" w:rsidRPr="00043B8D">
        <w:t xml:space="preserve">betrouwbaar en </w:t>
      </w:r>
      <w:r w:rsidR="00BF06C4" w:rsidRPr="00043B8D">
        <w:t xml:space="preserve">vergelijkbaar zijn. </w:t>
      </w:r>
    </w:p>
    <w:p w14:paraId="52932127" w14:textId="77777777" w:rsidR="00D419AF" w:rsidRPr="00043B8D" w:rsidRDefault="00D419AF" w:rsidP="00BF06C4"/>
    <w:p w14:paraId="716BA9D6" w14:textId="71D50B43" w:rsidR="00BF06C4" w:rsidRPr="00043B8D" w:rsidRDefault="00D419AF" w:rsidP="00BF06C4">
      <w:r w:rsidRPr="00043B8D">
        <w:t xml:space="preserve">Vervolgens </w:t>
      </w:r>
      <w:r w:rsidR="00BF06C4" w:rsidRPr="00043B8D">
        <w:t xml:space="preserve">moet </w:t>
      </w:r>
      <w:r w:rsidRPr="00043B8D">
        <w:t xml:space="preserve">de VREG </w:t>
      </w:r>
      <w:r w:rsidR="00BF06C4" w:rsidRPr="00043B8D">
        <w:t>onderzo</w:t>
      </w:r>
      <w:r w:rsidRPr="00043B8D">
        <w:t xml:space="preserve">eken </w:t>
      </w:r>
      <w:r w:rsidR="00BF06C4" w:rsidRPr="00043B8D">
        <w:t xml:space="preserve">in welke mate de distributienetgebruikers </w:t>
      </w:r>
      <w:r w:rsidRPr="00043B8D">
        <w:t xml:space="preserve">in Vlaanderen </w:t>
      </w:r>
      <w:r w:rsidR="00BF06C4" w:rsidRPr="00043B8D">
        <w:t xml:space="preserve">hun distributienetbeheerder voor </w:t>
      </w:r>
      <w:r w:rsidRPr="00043B8D">
        <w:t xml:space="preserve">het niveau van de </w:t>
      </w:r>
      <w:r w:rsidR="00BF06C4" w:rsidRPr="00043B8D">
        <w:t xml:space="preserve">kwaliteit van zijn dienstverlening geldelijk </w:t>
      </w:r>
      <w:r w:rsidR="00CE23C3" w:rsidRPr="00043B8D">
        <w:t xml:space="preserve">meer of minder </w:t>
      </w:r>
      <w:r w:rsidR="00BF06C4" w:rsidRPr="00043B8D">
        <w:t xml:space="preserve">wensen te vergoeden. </w:t>
      </w:r>
      <w:r w:rsidRPr="00043B8D">
        <w:t>Op basis van dit onderzoek kan het verband gelegd worden tussen de geleverde kwaliteit en de hoogte van de kwaliteitsterm.</w:t>
      </w:r>
      <w:r w:rsidR="00BF06C4" w:rsidRPr="00043B8D">
        <w:t xml:space="preserve"> </w:t>
      </w:r>
    </w:p>
    <w:p w14:paraId="4A5F5A52" w14:textId="77777777" w:rsidR="003D1071" w:rsidRPr="00043B8D" w:rsidRDefault="003D1071" w:rsidP="00C91A04"/>
    <w:p w14:paraId="4718E510" w14:textId="752A10BC" w:rsidR="00892F0E" w:rsidRPr="00043B8D" w:rsidRDefault="00892F0E" w:rsidP="00C91A04">
      <w:r w:rsidRPr="00043B8D">
        <w:t>Bijgevolg geldt voor de reguleringsperiode 2015-2016</w:t>
      </w:r>
      <w:r w:rsidR="001E5267" w:rsidRPr="00043B8D">
        <w:t xml:space="preserve"> voor de factor </w:t>
      </w:r>
      <w:r w:rsidR="001E5267" w:rsidRPr="00043B8D">
        <w:rPr>
          <w:i/>
        </w:rPr>
        <w:t>q</w:t>
      </w:r>
      <w:r w:rsidR="001E5267" w:rsidRPr="00043B8D">
        <w:rPr>
          <w:i/>
          <w:vertAlign w:val="subscript"/>
        </w:rPr>
        <w:t>i</w:t>
      </w:r>
      <w:r w:rsidR="001E5267" w:rsidRPr="00043B8D">
        <w:t xml:space="preserve"> in </w:t>
      </w:r>
      <w:r w:rsidR="001E5267" w:rsidRPr="00043B8D">
        <w:fldChar w:fldCharType="begin"/>
      </w:r>
      <w:r w:rsidR="001E5267" w:rsidRPr="00043B8D">
        <w:instrText xml:space="preserve"> REF _Ref388628565 \h  \* MERGEFORMAT </w:instrText>
      </w:r>
      <w:r w:rsidR="001E5267" w:rsidRPr="00043B8D">
        <w:fldChar w:fldCharType="separate"/>
      </w:r>
      <w:r w:rsidR="00B30F9B" w:rsidRPr="00B30F9B">
        <w:t xml:space="preserve">formule </w:t>
      </w:r>
      <w:r w:rsidR="00B30F9B" w:rsidRPr="00B30F9B">
        <w:rPr>
          <w:noProof/>
        </w:rPr>
        <w:t>2</w:t>
      </w:r>
      <w:r w:rsidR="001E5267" w:rsidRPr="00043B8D">
        <w:fldChar w:fldCharType="end"/>
      </w:r>
      <w:r w:rsidRPr="00043B8D">
        <w:t>:</w:t>
      </w:r>
    </w:p>
    <w:p w14:paraId="21187885" w14:textId="77777777" w:rsidR="00892F0E" w:rsidRPr="00043B8D" w:rsidRDefault="00892F0E" w:rsidP="00C91A04"/>
    <w:p w14:paraId="42D45AC3" w14:textId="77777777" w:rsidR="00892F0E" w:rsidRPr="00043B8D" w:rsidRDefault="000937A6" w:rsidP="00892F0E">
      <w:pPr>
        <w:pStyle w:val="StijlStijlBijschriftCambriaMathNietVetCursiefVet"/>
        <w:pBdr>
          <w:top w:val="dotted" w:sz="4" w:space="1" w:color="auto"/>
          <w:left w:val="dotted" w:sz="4" w:space="5" w:color="auto"/>
          <w:bottom w:val="dotted" w:sz="4" w:space="1" w:color="auto"/>
          <w:right w:val="dotted" w:sz="4" w:space="4" w:color="auto"/>
        </w:pBdr>
        <w:jc w:val="center"/>
        <w:rPr>
          <w:b w:val="0"/>
          <w:i/>
        </w:rPr>
      </w:pPr>
      <m:oMath>
        <m:sSub>
          <m:sSubPr>
            <m:ctrlPr>
              <w:rPr>
                <w:i/>
              </w:rPr>
            </m:ctrlPr>
          </m:sSubPr>
          <m:e>
            <m:r>
              <m:rPr>
                <m:sty m:val="bi"/>
              </m:rPr>
              <m:t>q</m:t>
            </m:r>
          </m:e>
          <m:sub>
            <m:r>
              <m:rPr>
                <m:sty m:val="bi"/>
              </m:rPr>
              <m:t>i</m:t>
            </m:r>
          </m:sub>
        </m:sSub>
        <m:r>
          <m:rPr>
            <m:sty m:val="bi"/>
          </m:rPr>
          <m:t>=0</m:t>
        </m:r>
      </m:oMath>
      <w:r w:rsidR="00892F0E" w:rsidRPr="00043B8D">
        <w:rPr>
          <w:b w:val="0"/>
          <w:i/>
        </w:rPr>
        <w:t xml:space="preserve"> </w:t>
      </w:r>
      <w:r w:rsidR="00892F0E" w:rsidRPr="00043B8D">
        <w:rPr>
          <w:b w:val="0"/>
          <w:i/>
        </w:rPr>
        <w:tab/>
      </w:r>
    </w:p>
    <w:p w14:paraId="67AAB983" w14:textId="5D2F3A06" w:rsidR="00892F0E" w:rsidRPr="000D284A" w:rsidRDefault="00892F0E" w:rsidP="000D284A">
      <w:pPr>
        <w:pStyle w:val="Bijschrift"/>
        <w:jc w:val="right"/>
        <w:rPr>
          <w:b w:val="0"/>
          <w:i/>
        </w:rPr>
      </w:pPr>
      <w:r w:rsidRPr="000D284A">
        <w:rPr>
          <w:b w:val="0"/>
          <w:i/>
        </w:rPr>
        <w:tab/>
        <w:t xml:space="preserve">formule </w:t>
      </w:r>
      <w:r w:rsidRPr="000D284A">
        <w:rPr>
          <w:b w:val="0"/>
          <w:i/>
        </w:rPr>
        <w:fldChar w:fldCharType="begin"/>
      </w:r>
      <w:r w:rsidRPr="000D284A">
        <w:rPr>
          <w:b w:val="0"/>
          <w:i/>
        </w:rPr>
        <w:instrText xml:space="preserve"> SEQ formule \* ARABIC </w:instrText>
      </w:r>
      <w:r w:rsidRPr="000D284A">
        <w:rPr>
          <w:b w:val="0"/>
          <w:i/>
        </w:rPr>
        <w:fldChar w:fldCharType="separate"/>
      </w:r>
      <w:r w:rsidR="00BD536B">
        <w:rPr>
          <w:b w:val="0"/>
          <w:i/>
          <w:noProof/>
        </w:rPr>
        <w:t>24</w:t>
      </w:r>
      <w:r w:rsidRPr="000D284A">
        <w:rPr>
          <w:b w:val="0"/>
          <w:i/>
        </w:rPr>
        <w:fldChar w:fldCharType="end"/>
      </w:r>
    </w:p>
    <w:p w14:paraId="1B9BCC28" w14:textId="77777777" w:rsidR="00892F0E" w:rsidRPr="00043B8D" w:rsidRDefault="00892F0E" w:rsidP="00FD674B"/>
    <w:p w14:paraId="42F3CDC8" w14:textId="7A21363F" w:rsidR="00FD674B" w:rsidRPr="00043B8D" w:rsidRDefault="00AB0700" w:rsidP="00FD674B">
      <w:r w:rsidRPr="00043B8D">
        <w:t>De VREG</w:t>
      </w:r>
      <w:r w:rsidR="002E49C7" w:rsidRPr="00043B8D">
        <w:t xml:space="preserve"> </w:t>
      </w:r>
      <w:r w:rsidRPr="00043B8D">
        <w:t xml:space="preserve">stelt </w:t>
      </w:r>
      <w:r w:rsidR="007659F1" w:rsidRPr="00043B8D">
        <w:t xml:space="preserve">dus </w:t>
      </w:r>
      <w:r w:rsidR="002E49C7" w:rsidRPr="00043B8D">
        <w:t xml:space="preserve">al </w:t>
      </w:r>
      <w:r w:rsidRPr="00043B8D">
        <w:t xml:space="preserve">meerdere </w:t>
      </w:r>
      <w:r w:rsidR="002E49C7" w:rsidRPr="00043B8D">
        <w:t xml:space="preserve">jaren een vrij </w:t>
      </w:r>
      <w:r w:rsidR="002A254E" w:rsidRPr="00043B8D">
        <w:t>ho</w:t>
      </w:r>
      <w:r w:rsidR="002E49C7" w:rsidRPr="00043B8D">
        <w:t>o</w:t>
      </w:r>
      <w:r w:rsidR="002A254E" w:rsidRPr="00043B8D">
        <w:t xml:space="preserve">g </w:t>
      </w:r>
      <w:r w:rsidR="00930920" w:rsidRPr="00043B8D">
        <w:t xml:space="preserve">en stabiel </w:t>
      </w:r>
      <w:r w:rsidR="002A254E" w:rsidRPr="00043B8D">
        <w:t>kwaliteitsniveau</w:t>
      </w:r>
      <w:r w:rsidR="00930920" w:rsidRPr="00043B8D">
        <w:t xml:space="preserve"> </w:t>
      </w:r>
      <w:r w:rsidR="002E49C7" w:rsidRPr="00043B8D">
        <w:t>vast</w:t>
      </w:r>
      <w:r w:rsidR="00FD674B" w:rsidRPr="00043B8D">
        <w:t xml:space="preserve"> bij de Vlaamse aardgas- en elektriciteitsdistributienetbeheerders</w:t>
      </w:r>
      <w:r w:rsidR="00381DE4" w:rsidRPr="00043B8D">
        <w:t>, ondanks het feit dat er in het verleden geen specifieke financiële stimulans voor kwaliteit werd gegeven</w:t>
      </w:r>
      <w:r w:rsidR="002A254E" w:rsidRPr="00043B8D">
        <w:t xml:space="preserve">. </w:t>
      </w:r>
      <w:r w:rsidR="002E49C7" w:rsidRPr="00043B8D">
        <w:t xml:space="preserve">Op korte termijn </w:t>
      </w:r>
      <w:r w:rsidR="00245F4A" w:rsidRPr="00043B8D">
        <w:t>is</w:t>
      </w:r>
      <w:r w:rsidR="002E49C7" w:rsidRPr="00043B8D">
        <w:t xml:space="preserve"> een belangrijk verlies van kwaliteit onwaarschijnlijk</w:t>
      </w:r>
      <w:r w:rsidRPr="00043B8D">
        <w:t xml:space="preserve"> wegens o.a. het vermelde voornemen </w:t>
      </w:r>
      <w:r w:rsidR="007659F1" w:rsidRPr="00043B8D">
        <w:t xml:space="preserve">in de tariefmethodologie </w:t>
      </w:r>
      <w:r w:rsidRPr="00043B8D">
        <w:t xml:space="preserve">van de VREG en de </w:t>
      </w:r>
      <w:r w:rsidR="004066FA" w:rsidRPr="00043B8D">
        <w:t xml:space="preserve">vermelde </w:t>
      </w:r>
      <w:r w:rsidRPr="00043B8D">
        <w:t xml:space="preserve">decretale verplichting </w:t>
      </w:r>
      <w:r w:rsidR="004066FA" w:rsidRPr="00043B8D">
        <w:t xml:space="preserve">opgelegd </w:t>
      </w:r>
      <w:r w:rsidRPr="00043B8D">
        <w:t xml:space="preserve">aan de distributienetbeheerders </w:t>
      </w:r>
      <w:r w:rsidR="004066FA" w:rsidRPr="00043B8D">
        <w:t xml:space="preserve">m.b.t </w:t>
      </w:r>
      <w:r w:rsidRPr="00043B8D">
        <w:t xml:space="preserve">tot </w:t>
      </w:r>
      <w:r w:rsidR="004066FA" w:rsidRPr="00043B8D">
        <w:t>het net</w:t>
      </w:r>
      <w:r w:rsidRPr="00043B8D">
        <w:t xml:space="preserve">beheer. </w:t>
      </w:r>
      <w:r w:rsidR="00CB64C6" w:rsidRPr="00043B8D">
        <w:t>De distributienetbeheerders</w:t>
      </w:r>
      <w:r w:rsidRPr="00043B8D">
        <w:t xml:space="preserve"> </w:t>
      </w:r>
      <w:r w:rsidR="00381DE4" w:rsidRPr="00043B8D">
        <w:t xml:space="preserve">zullen </w:t>
      </w:r>
      <w:r w:rsidR="00CB64C6" w:rsidRPr="00043B8D">
        <w:t xml:space="preserve">vanaf 2015 </w:t>
      </w:r>
      <w:r w:rsidR="007659F1" w:rsidRPr="00043B8D">
        <w:t xml:space="preserve">ook </w:t>
      </w:r>
      <w:r w:rsidR="00CB64C6" w:rsidRPr="00043B8D">
        <w:t xml:space="preserve">enkel </w:t>
      </w:r>
      <w:r w:rsidR="00381DE4" w:rsidRPr="00043B8D">
        <w:t xml:space="preserve">financiële </w:t>
      </w:r>
      <w:r w:rsidR="00245F4A" w:rsidRPr="00043B8D">
        <w:t>prikkel</w:t>
      </w:r>
      <w:r w:rsidR="005B0FF0" w:rsidRPr="00043B8D">
        <w:t>s tot kwalitatieve dienstverlening</w:t>
      </w:r>
      <w:r w:rsidR="00245F4A" w:rsidRPr="00043B8D">
        <w:t xml:space="preserve"> </w:t>
      </w:r>
      <w:r w:rsidR="00381DE4" w:rsidRPr="00043B8D">
        <w:t>ontvangen</w:t>
      </w:r>
      <w:r w:rsidR="00CB64C6" w:rsidRPr="00043B8D">
        <w:t xml:space="preserve"> via de bepalingen </w:t>
      </w:r>
      <w:r w:rsidR="00033DB9" w:rsidRPr="00043B8D">
        <w:t>opgenomen</w:t>
      </w:r>
      <w:r w:rsidR="00381DE4" w:rsidRPr="00043B8D">
        <w:t xml:space="preserve"> </w:t>
      </w:r>
      <w:r w:rsidR="00245F4A" w:rsidRPr="00043B8D">
        <w:t>in h</w:t>
      </w:r>
      <w:r w:rsidR="00FD674B" w:rsidRPr="00043B8D">
        <w:t>et Energiedecreet</w:t>
      </w:r>
      <w:r w:rsidR="005B0FF0" w:rsidRPr="00043B8D">
        <w:rPr>
          <w:rStyle w:val="Voetnootmarkering"/>
        </w:rPr>
        <w:footnoteReference w:id="57"/>
      </w:r>
      <w:r w:rsidR="00033DB9" w:rsidRPr="00043B8D">
        <w:t>,</w:t>
      </w:r>
      <w:r w:rsidR="00FD674B" w:rsidRPr="00043B8D">
        <w:t xml:space="preserve"> </w:t>
      </w:r>
      <w:r w:rsidR="005B0FF0" w:rsidRPr="00043B8D">
        <w:t xml:space="preserve">zoals </w:t>
      </w:r>
      <w:r w:rsidR="00FD674B" w:rsidRPr="00043B8D">
        <w:t xml:space="preserve">een vergoedingsplicht ten aanzien van de distributienetgebruikers die getroffen werden door een langdurige stroomonderbreking. </w:t>
      </w:r>
    </w:p>
    <w:p w14:paraId="1E2A54CA" w14:textId="2F615992" w:rsidR="00E44479" w:rsidRPr="00043B8D" w:rsidRDefault="00E44479">
      <w:pPr>
        <w:jc w:val="left"/>
      </w:pPr>
    </w:p>
    <w:p w14:paraId="590388C5" w14:textId="77777777" w:rsidR="00480423" w:rsidRPr="00043B8D" w:rsidRDefault="00316E03" w:rsidP="005251E2">
      <w:pPr>
        <w:pStyle w:val="Kop2"/>
        <w:numPr>
          <w:ilvl w:val="1"/>
          <w:numId w:val="24"/>
        </w:numPr>
        <w:ind w:hanging="644"/>
      </w:pPr>
      <w:bookmarkStart w:id="401" w:name="_Ref392956380"/>
      <w:bookmarkStart w:id="402" w:name="_Ref392956561"/>
      <w:bookmarkStart w:id="403" w:name="_Toc454186693"/>
      <w:bookmarkStart w:id="404" w:name="_Ref363656846"/>
      <w:r w:rsidRPr="00043B8D">
        <w:t>Niet-periodieke distributienettarieven</w:t>
      </w:r>
      <w:bookmarkEnd w:id="401"/>
      <w:bookmarkEnd w:id="402"/>
      <w:bookmarkEnd w:id="403"/>
      <w:r w:rsidRPr="00043B8D">
        <w:t xml:space="preserve"> </w:t>
      </w:r>
      <w:bookmarkEnd w:id="404"/>
    </w:p>
    <w:p w14:paraId="77A2E107" w14:textId="77777777" w:rsidR="005E79DE" w:rsidRPr="00043B8D" w:rsidRDefault="005E79DE" w:rsidP="00480423">
      <w:r w:rsidRPr="00043B8D">
        <w:t xml:space="preserve"> </w:t>
      </w:r>
    </w:p>
    <w:p w14:paraId="3E9FC639" w14:textId="2C9A85D3" w:rsidR="00054AD4" w:rsidRPr="00043B8D" w:rsidRDefault="006479A3" w:rsidP="00054AD4">
      <w:r w:rsidRPr="00043B8D">
        <w:t>D</w:t>
      </w:r>
      <w:r w:rsidR="00054AD4" w:rsidRPr="00043B8D">
        <w:t xml:space="preserve">e opbrengsten </w:t>
      </w:r>
      <w:r w:rsidR="005B1862" w:rsidRPr="00043B8D">
        <w:t xml:space="preserve">van de distributienetbeheerder </w:t>
      </w:r>
      <w:r w:rsidR="00054AD4" w:rsidRPr="00043B8D">
        <w:t xml:space="preserve">uit </w:t>
      </w:r>
      <w:r w:rsidR="005B1862" w:rsidRPr="00043B8D">
        <w:t xml:space="preserve">zijn </w:t>
      </w:r>
      <w:r w:rsidR="00054AD4" w:rsidRPr="00043B8D">
        <w:t xml:space="preserve">niet-periodieke </w:t>
      </w:r>
      <w:r w:rsidRPr="00043B8D">
        <w:t xml:space="preserve">distributienettarieven voor werken aan </w:t>
      </w:r>
      <w:r w:rsidR="00054AD4" w:rsidRPr="00043B8D">
        <w:t>aansluitingen</w:t>
      </w:r>
      <w:r w:rsidRPr="00043B8D">
        <w:t xml:space="preserve">, worden </w:t>
      </w:r>
      <w:r w:rsidR="00054AD4" w:rsidRPr="00043B8D">
        <w:t>in mindering gebracht van de aanschaffingswaarde van de betreffende geactiveerde aansluitingen</w:t>
      </w:r>
      <w:r w:rsidR="00432122" w:rsidRPr="00043B8D">
        <w:t xml:space="preserve">, als </w:t>
      </w:r>
      <w:r w:rsidR="00054AD4" w:rsidRPr="00043B8D">
        <w:t xml:space="preserve">tussenkomsten door </w:t>
      </w:r>
      <w:r w:rsidR="0036516A" w:rsidRPr="00043B8D">
        <w:t>distributienetgebruikers</w:t>
      </w:r>
      <w:r w:rsidR="00054AD4" w:rsidRPr="00043B8D">
        <w:t xml:space="preserve">. </w:t>
      </w:r>
      <w:r w:rsidR="00BF2683" w:rsidRPr="00043B8D">
        <w:t>De overige o</w:t>
      </w:r>
      <w:r w:rsidR="00054AD4" w:rsidRPr="00043B8D">
        <w:t xml:space="preserve">pbrengsten </w:t>
      </w:r>
      <w:r w:rsidR="00BF2683" w:rsidRPr="00043B8D">
        <w:t xml:space="preserve">uit de niet-periodieke distributienettarieven </w:t>
      </w:r>
      <w:r w:rsidR="00054AD4" w:rsidRPr="00043B8D">
        <w:t xml:space="preserve">voor prestaties </w:t>
      </w:r>
      <w:r w:rsidR="00BF2683" w:rsidRPr="00043B8D">
        <w:t>(</w:t>
      </w:r>
      <w:r w:rsidR="00054AD4" w:rsidRPr="00043B8D">
        <w:t>diverse diensten</w:t>
      </w:r>
      <w:r w:rsidR="00BF2683" w:rsidRPr="00043B8D">
        <w:t xml:space="preserve"> en studies) </w:t>
      </w:r>
      <w:r w:rsidR="00054AD4" w:rsidRPr="00043B8D">
        <w:t xml:space="preserve">worden door de distributienetbeheerder in resultaat genomen ter compensatie van de verwachte gemiddelde kost van die prestaties. </w:t>
      </w:r>
    </w:p>
    <w:p w14:paraId="12845C24" w14:textId="77777777" w:rsidR="00054AD4" w:rsidRPr="00043B8D" w:rsidRDefault="00054AD4" w:rsidP="00054AD4"/>
    <w:p w14:paraId="033F6F0A" w14:textId="77777777" w:rsidR="006273E5" w:rsidRPr="00043B8D" w:rsidRDefault="00054AD4" w:rsidP="00054AD4">
      <w:r w:rsidRPr="00043B8D">
        <w:t xml:space="preserve">De niet-periodieke distributienettarieven </w:t>
      </w:r>
      <w:r w:rsidR="006479A3" w:rsidRPr="00043B8D">
        <w:t xml:space="preserve">zullen </w:t>
      </w:r>
      <w:r w:rsidRPr="00043B8D">
        <w:t xml:space="preserve">door de VREG </w:t>
      </w:r>
      <w:r w:rsidR="006479A3" w:rsidRPr="00043B8D">
        <w:t xml:space="preserve">worden </w:t>
      </w:r>
      <w:r w:rsidRPr="00043B8D">
        <w:t xml:space="preserve">vastgesteld </w:t>
      </w:r>
      <w:r w:rsidR="00096F23" w:rsidRPr="00043B8D">
        <w:t xml:space="preserve">per </w:t>
      </w:r>
      <w:r w:rsidRPr="00043B8D">
        <w:t xml:space="preserve">kalenderjaar. De distributienetbeheerder dient aan de VREG te verantwoorden dat de door hem voorgestelde niet-periodieke distributienettarieven kostenreflectief, niet-discriminatoir en transparant </w:t>
      </w:r>
      <w:r w:rsidR="00B91059" w:rsidRPr="00043B8D">
        <w:t xml:space="preserve">zijn </w:t>
      </w:r>
      <w:r w:rsidRPr="00043B8D">
        <w:t xml:space="preserve">opgebouwd volgens logische, objectieve verdeelsleutels. </w:t>
      </w:r>
    </w:p>
    <w:p w14:paraId="67D8C129" w14:textId="77777777" w:rsidR="006273E5" w:rsidRPr="00043B8D" w:rsidRDefault="006273E5" w:rsidP="00054AD4"/>
    <w:p w14:paraId="43548E5E" w14:textId="598A606F" w:rsidR="00166BE0" w:rsidRPr="00043B8D" w:rsidRDefault="00166BE0" w:rsidP="00166BE0">
      <w:r w:rsidRPr="00043B8D">
        <w:t>De niet-periodieke distributienettarieven voor 2015 zijn deze voor het  jaar 2012, indertijd vastgesteld onder toezicht van de CREG, en geïndexeerd</w:t>
      </w:r>
      <w:r w:rsidR="00C76FD8" w:rsidRPr="00043B8D">
        <w:t xml:space="preserve"> volgens inflatie</w:t>
      </w:r>
      <w:r w:rsidRPr="00043B8D">
        <w:t xml:space="preserve">. Voor de bepaling van de noodzakelijke indexatie van zijn niet-periodieke distributienettarieven houdt de distributienetbeheerder rekening met </w:t>
      </w:r>
      <w:r w:rsidR="00C76FD8" w:rsidRPr="00043B8D">
        <w:t xml:space="preserve">hun huidige </w:t>
      </w:r>
      <w:r w:rsidRPr="00043B8D">
        <w:t xml:space="preserve">kostenreflectiviteit. De VREG laat </w:t>
      </w:r>
      <w:r w:rsidR="008B557C" w:rsidRPr="00043B8D">
        <w:t xml:space="preserve">een </w:t>
      </w:r>
      <w:r w:rsidRPr="00043B8D">
        <w:t xml:space="preserve">indexatie </w:t>
      </w:r>
      <w:r w:rsidR="008B557C" w:rsidRPr="00043B8D">
        <w:t xml:space="preserve">toe die kleiner is of gelijk aan de inflatie die optrad volgens de consumptieprijsindex vanaf </w:t>
      </w:r>
      <w:r w:rsidRPr="00043B8D">
        <w:t>augustus 2010</w:t>
      </w:r>
      <w:r w:rsidR="008B557C" w:rsidRPr="00043B8D">
        <w:t xml:space="preserve">. De VREG beschouwt </w:t>
      </w:r>
      <w:r w:rsidR="00C76FD8" w:rsidRPr="00043B8D">
        <w:t xml:space="preserve">die index </w:t>
      </w:r>
      <w:r w:rsidR="008B557C" w:rsidRPr="00043B8D">
        <w:t xml:space="preserve">als </w:t>
      </w:r>
      <w:r w:rsidR="00C76FD8" w:rsidRPr="00043B8D">
        <w:t xml:space="preserve">deze op </w:t>
      </w:r>
      <w:r w:rsidRPr="00043B8D">
        <w:t xml:space="preserve">het gemiddelde tijdstip voor de niet-periodieke distributienettarieven die werden </w:t>
      </w:r>
      <w:r w:rsidR="008B557C" w:rsidRPr="00043B8D">
        <w:t xml:space="preserve">toegepast over </w:t>
      </w:r>
      <w:r w:rsidRPr="00043B8D">
        <w:t xml:space="preserve">de vorige reguleringsperiode 2009-2012. De distributienetbeheerder deelt aan de VREG mee </w:t>
      </w:r>
      <w:r w:rsidR="008B557C" w:rsidRPr="00043B8D">
        <w:t xml:space="preserve">welke </w:t>
      </w:r>
      <w:r w:rsidRPr="00043B8D">
        <w:t xml:space="preserve">indexatie </w:t>
      </w:r>
      <w:r w:rsidR="008B557C" w:rsidRPr="00043B8D">
        <w:t xml:space="preserve">hij </w:t>
      </w:r>
      <w:r w:rsidRPr="00043B8D">
        <w:t xml:space="preserve">toepast </w:t>
      </w:r>
      <w:r w:rsidR="008B557C" w:rsidRPr="00043B8D">
        <w:t xml:space="preserve">op zijn niet-periodieke distributienettarieven van 2012 </w:t>
      </w:r>
      <w:r w:rsidRPr="00043B8D">
        <w:t xml:space="preserve">en motiveert deze keuze. </w:t>
      </w:r>
    </w:p>
    <w:p w14:paraId="06609C30" w14:textId="77777777" w:rsidR="00166BE0" w:rsidRPr="00043B8D" w:rsidRDefault="00166BE0" w:rsidP="00143F6D"/>
    <w:p w14:paraId="7ACF85F9" w14:textId="2794322E" w:rsidR="00054AD4" w:rsidRPr="00043B8D" w:rsidRDefault="00B504F9" w:rsidP="006273E5">
      <w:r w:rsidRPr="00043B8D">
        <w:t xml:space="preserve">Voor de niet-periodieke distributienettarieven voor 2016 kan de distributienetbeheerder een tarievendossier indienen bij de VREG, zo niet worden de niet-periodieke distributienettarieven van 2015 </w:t>
      </w:r>
      <w:r w:rsidR="006479A3" w:rsidRPr="00043B8D">
        <w:t xml:space="preserve">overeenkomstig </w:t>
      </w:r>
      <w:r w:rsidR="00054AD4" w:rsidRPr="00043B8D">
        <w:t xml:space="preserve">de inflatie volgens </w:t>
      </w:r>
      <w:r w:rsidR="006479A3" w:rsidRPr="00043B8D">
        <w:t xml:space="preserve">de </w:t>
      </w:r>
      <w:r w:rsidRPr="00043B8D">
        <w:t xml:space="preserve">evolutie van de </w:t>
      </w:r>
      <w:r w:rsidR="00054AD4" w:rsidRPr="00043B8D">
        <w:t>consumptieprijsindex</w:t>
      </w:r>
      <w:r w:rsidRPr="00043B8D">
        <w:t xml:space="preserve"> tussen </w:t>
      </w:r>
      <w:r w:rsidR="00054AD4" w:rsidRPr="00043B8D">
        <w:t>augustus 201</w:t>
      </w:r>
      <w:r w:rsidRPr="00043B8D">
        <w:t>4</w:t>
      </w:r>
      <w:r w:rsidR="00054AD4" w:rsidRPr="00043B8D">
        <w:t xml:space="preserve"> </w:t>
      </w:r>
      <w:r w:rsidRPr="00043B8D">
        <w:t xml:space="preserve">en </w:t>
      </w:r>
      <w:r w:rsidR="00054AD4" w:rsidRPr="00043B8D">
        <w:t>augustus 201</w:t>
      </w:r>
      <w:r w:rsidRPr="00043B8D">
        <w:t>5 geïndexeerd</w:t>
      </w:r>
      <w:r w:rsidR="00054AD4" w:rsidRPr="00043B8D">
        <w:t>.</w:t>
      </w:r>
    </w:p>
    <w:p w14:paraId="0653AACE" w14:textId="77777777" w:rsidR="00054AD4" w:rsidRPr="00043B8D" w:rsidRDefault="00054AD4" w:rsidP="00054AD4"/>
    <w:p w14:paraId="52CC525D" w14:textId="33FBCB5F" w:rsidR="00054AD4" w:rsidRPr="00043B8D" w:rsidRDefault="00054AD4" w:rsidP="00054AD4">
      <w:r w:rsidRPr="00043B8D">
        <w:t>Wat betreft de omzetting van art. 16</w:t>
      </w:r>
      <w:r w:rsidR="00261A22" w:rsidRPr="00043B8D">
        <w:t>, lid 8</w:t>
      </w:r>
      <w:r w:rsidR="006479A3" w:rsidRPr="00043B8D">
        <w:t xml:space="preserve"> v</w:t>
      </w:r>
      <w:r w:rsidR="00FB5338" w:rsidRPr="00043B8D">
        <w:t>an</w:t>
      </w:r>
      <w:r w:rsidRPr="00043B8D">
        <w:t xml:space="preserve"> </w:t>
      </w:r>
      <w:r w:rsidR="00743F20" w:rsidRPr="00043B8D">
        <w:t xml:space="preserve">Richtlijn </w:t>
      </w:r>
      <w:r w:rsidR="00201DD0" w:rsidRPr="00043B8D">
        <w:t>2009/28/EG</w:t>
      </w:r>
      <w:r w:rsidRPr="00043B8D">
        <w:t xml:space="preserve"> wordt op dit ogenblik verwezen naar de bepaling hieromtrent in het Energiebesluit art. 6.4.13 en wenst de VREG te komen tot meer uitgewerkte standaardregels in overleg met de distributienetbeheerders tegen de volgende reguleringsperiode die aanvangt in 2017.</w:t>
      </w:r>
    </w:p>
    <w:p w14:paraId="3D18C550" w14:textId="723350BD" w:rsidR="003259BC" w:rsidRDefault="003259BC" w:rsidP="00187A58"/>
    <w:p w14:paraId="7A56661A" w14:textId="26C6954D" w:rsidR="008F0634" w:rsidRPr="00043B8D" w:rsidRDefault="00F445CE" w:rsidP="00A571D5">
      <w:r w:rsidRPr="00F445CE">
        <w:t>[</w:t>
      </w:r>
      <w:r w:rsidR="00A571D5" w:rsidRPr="00F445CE">
        <w:t xml:space="preserve">Bij fusie of </w:t>
      </w:r>
      <w:r w:rsidR="00742542" w:rsidRPr="00F445CE">
        <w:t xml:space="preserve">(partiële) </w:t>
      </w:r>
      <w:r w:rsidR="00A571D5" w:rsidRPr="00F445CE">
        <w:t>splitsing van een distributienetbeheerder is de behandeling door de VREG analoog met deze voor de periodieke distributienettarieven volgens par.</w:t>
      </w:r>
      <w:r w:rsidR="00742542" w:rsidRPr="00F445CE">
        <w:t xml:space="preserve"> </w:t>
      </w:r>
      <w:r w:rsidR="00742542" w:rsidRPr="00F445CE">
        <w:fldChar w:fldCharType="begin"/>
      </w:r>
      <w:r w:rsidR="00742542" w:rsidRPr="00F445CE">
        <w:instrText xml:space="preserve"> REF _Ref434407912 \r \h  \* MERGEFORMAT </w:instrText>
      </w:r>
      <w:r w:rsidR="00742542" w:rsidRPr="00F445CE">
        <w:fldChar w:fldCharType="separate"/>
      </w:r>
      <w:r w:rsidR="00B30F9B">
        <w:t>9</w:t>
      </w:r>
      <w:r w:rsidR="00742542" w:rsidRPr="00F445CE">
        <w:fldChar w:fldCharType="end"/>
      </w:r>
      <w:r w:rsidR="00A571D5" w:rsidRPr="00F445CE">
        <w:t>.</w:t>
      </w:r>
      <w:r w:rsidRPr="00F445CE">
        <w:t>]</w:t>
      </w:r>
      <w:r w:rsidRPr="00F445CE">
        <w:rPr>
          <w:rStyle w:val="Voetnootmarkering"/>
        </w:rPr>
        <w:footnoteReference w:id="58"/>
      </w:r>
      <w:r w:rsidR="008F0634" w:rsidRPr="00043B8D">
        <w:br w:type="page"/>
      </w:r>
    </w:p>
    <w:p w14:paraId="6020BF04" w14:textId="77777777" w:rsidR="00372E3B" w:rsidRPr="00043B8D" w:rsidRDefault="00372E3B" w:rsidP="00372E3B">
      <w:pPr>
        <w:pStyle w:val="Kop1"/>
      </w:pPr>
      <w:bookmarkStart w:id="405" w:name="_Ref390241304"/>
      <w:bookmarkStart w:id="406" w:name="_Toc454186694"/>
      <w:r w:rsidRPr="00043B8D">
        <w:t>Algemene tariefstructuur</w:t>
      </w:r>
      <w:bookmarkEnd w:id="405"/>
      <w:bookmarkEnd w:id="406"/>
    </w:p>
    <w:p w14:paraId="634CF5FC" w14:textId="77777777" w:rsidR="004D5BA6" w:rsidRPr="00043B8D" w:rsidRDefault="004D5BA6" w:rsidP="004D5BA6"/>
    <w:p w14:paraId="1A85B637" w14:textId="16C02294" w:rsidR="00A61AC0" w:rsidRPr="00043B8D" w:rsidRDefault="00DC7934" w:rsidP="004D5BA6">
      <w:r w:rsidRPr="00043B8D">
        <w:t xml:space="preserve">De tariefstructuur </w:t>
      </w:r>
      <w:r w:rsidR="000F7E19" w:rsidRPr="00043B8D">
        <w:t xml:space="preserve">van de Vlaamse distributienettarieven voor elektriciteit en aardgas </w:t>
      </w:r>
      <w:r w:rsidRPr="00043B8D">
        <w:t xml:space="preserve">voor de volgende reguleringsperiode 2015-2016 is </w:t>
      </w:r>
      <w:r w:rsidR="003A7F20" w:rsidRPr="00043B8D">
        <w:t xml:space="preserve">bijna volledig </w:t>
      </w:r>
      <w:r w:rsidRPr="00043B8D">
        <w:t xml:space="preserve">dezelfde als de structuur die </w:t>
      </w:r>
      <w:r w:rsidR="000F7E19" w:rsidRPr="00043B8D">
        <w:t xml:space="preserve">in 2014 </w:t>
      </w:r>
      <w:r w:rsidRPr="00043B8D">
        <w:t>wordt toegepast door de distributienetbeheerder</w:t>
      </w:r>
      <w:r w:rsidR="00575945" w:rsidRPr="00043B8D">
        <w:t>s</w:t>
      </w:r>
      <w:r w:rsidRPr="00043B8D">
        <w:t>.</w:t>
      </w:r>
    </w:p>
    <w:p w14:paraId="16AC2484" w14:textId="77777777" w:rsidR="00A61AC0" w:rsidRPr="00043B8D" w:rsidRDefault="00A61AC0" w:rsidP="004D5BA6"/>
    <w:p w14:paraId="650188D5" w14:textId="77777777" w:rsidR="00C0501E" w:rsidRPr="00043B8D" w:rsidRDefault="00C0501E" w:rsidP="00C0501E">
      <w:pPr>
        <w:jc w:val="left"/>
        <w:rPr>
          <w:rFonts w:cs="Arial"/>
        </w:rPr>
      </w:pPr>
      <w:r w:rsidRPr="00043B8D">
        <w:rPr>
          <w:rFonts w:cs="Arial"/>
        </w:rPr>
        <w:t>De tariefstructuur onderscheidt volgende tarieven:</w:t>
      </w:r>
    </w:p>
    <w:p w14:paraId="06EB4C04" w14:textId="22D93687" w:rsidR="00C0501E" w:rsidRPr="00043B8D" w:rsidRDefault="00C0501E" w:rsidP="00B376D5">
      <w:pPr>
        <w:pStyle w:val="Lijstalinea"/>
        <w:numPr>
          <w:ilvl w:val="0"/>
          <w:numId w:val="23"/>
        </w:numPr>
        <w:jc w:val="left"/>
        <w:rPr>
          <w:rFonts w:cs="Arial"/>
        </w:rPr>
      </w:pPr>
      <w:r w:rsidRPr="00043B8D">
        <w:rPr>
          <w:rFonts w:cs="Arial"/>
        </w:rPr>
        <w:t>de niet-periodieke tarieven voor de aansluiting</w:t>
      </w:r>
      <w:r w:rsidR="00A61AC0" w:rsidRPr="00043B8D">
        <w:rPr>
          <w:rFonts w:cs="Arial"/>
        </w:rPr>
        <w:t xml:space="preserve"> </w:t>
      </w:r>
      <w:r w:rsidRPr="00043B8D">
        <w:rPr>
          <w:rFonts w:cs="Arial"/>
        </w:rPr>
        <w:t xml:space="preserve">op het </w:t>
      </w:r>
      <w:r w:rsidR="00A61AC0" w:rsidRPr="00043B8D">
        <w:rPr>
          <w:rFonts w:cs="Arial"/>
        </w:rPr>
        <w:t>distributie</w:t>
      </w:r>
      <w:r w:rsidRPr="00043B8D">
        <w:rPr>
          <w:rFonts w:cs="Arial"/>
        </w:rPr>
        <w:t>net (</w:t>
      </w:r>
      <w:r w:rsidR="00536038" w:rsidRPr="00043B8D">
        <w:rPr>
          <w:rFonts w:cs="Arial"/>
        </w:rPr>
        <w:t>par</w:t>
      </w:r>
      <w:r w:rsidR="000B4252" w:rsidRPr="00043B8D">
        <w:rPr>
          <w:rFonts w:cs="Arial"/>
        </w:rPr>
        <w:t>.</w:t>
      </w:r>
      <w:r w:rsidR="00536038" w:rsidRPr="00043B8D">
        <w:rPr>
          <w:rFonts w:cs="Arial"/>
        </w:rPr>
        <w:t xml:space="preserve"> </w:t>
      </w:r>
      <w:r w:rsidRPr="00043B8D">
        <w:rPr>
          <w:rFonts w:cs="Arial"/>
        </w:rPr>
        <w:fldChar w:fldCharType="begin"/>
      </w:r>
      <w:r w:rsidRPr="00043B8D">
        <w:rPr>
          <w:rFonts w:cs="Arial"/>
        </w:rPr>
        <w:instrText xml:space="preserve"> REF _Ref390172032 \r \h </w:instrText>
      </w:r>
      <w:r w:rsidR="00043B8D">
        <w:rPr>
          <w:rFonts w:cs="Arial"/>
        </w:rPr>
        <w:instrText xml:space="preserve"> \* MERGEFORMAT </w:instrText>
      </w:r>
      <w:r w:rsidRPr="00043B8D">
        <w:rPr>
          <w:rFonts w:cs="Arial"/>
        </w:rPr>
      </w:r>
      <w:r w:rsidRPr="00043B8D">
        <w:rPr>
          <w:rFonts w:cs="Arial"/>
        </w:rPr>
        <w:fldChar w:fldCharType="separate"/>
      </w:r>
      <w:r w:rsidR="00B30F9B">
        <w:rPr>
          <w:rFonts w:cs="Arial"/>
        </w:rPr>
        <w:t>6.1</w:t>
      </w:r>
      <w:r w:rsidRPr="00043B8D">
        <w:rPr>
          <w:rFonts w:cs="Arial"/>
        </w:rPr>
        <w:fldChar w:fldCharType="end"/>
      </w:r>
      <w:r w:rsidRPr="00043B8D">
        <w:rPr>
          <w:rFonts w:cs="Arial"/>
        </w:rPr>
        <w:t>) en</w:t>
      </w:r>
    </w:p>
    <w:p w14:paraId="0BCFF9DE" w14:textId="020DA0D4" w:rsidR="00C0501E" w:rsidRPr="00043B8D" w:rsidRDefault="00C0501E" w:rsidP="00B376D5">
      <w:pPr>
        <w:pStyle w:val="Lijstalinea"/>
        <w:numPr>
          <w:ilvl w:val="0"/>
          <w:numId w:val="23"/>
        </w:numPr>
        <w:jc w:val="left"/>
        <w:rPr>
          <w:rFonts w:cs="Arial"/>
        </w:rPr>
      </w:pPr>
      <w:r w:rsidRPr="00043B8D">
        <w:rPr>
          <w:rFonts w:cs="Arial"/>
        </w:rPr>
        <w:t xml:space="preserve">de </w:t>
      </w:r>
      <w:r w:rsidR="00A61AC0" w:rsidRPr="00043B8D">
        <w:rPr>
          <w:rFonts w:cs="Arial"/>
        </w:rPr>
        <w:t>p</w:t>
      </w:r>
      <w:r w:rsidRPr="00043B8D">
        <w:rPr>
          <w:rFonts w:cs="Arial"/>
        </w:rPr>
        <w:t>eriodieke tarieven (</w:t>
      </w:r>
      <w:r w:rsidR="00536038" w:rsidRPr="00043B8D">
        <w:rPr>
          <w:rFonts w:cs="Arial"/>
        </w:rPr>
        <w:t>par</w:t>
      </w:r>
      <w:r w:rsidR="000B4252" w:rsidRPr="00043B8D">
        <w:rPr>
          <w:rFonts w:cs="Arial"/>
        </w:rPr>
        <w:t>.</w:t>
      </w:r>
      <w:r w:rsidR="00536038" w:rsidRPr="00043B8D">
        <w:rPr>
          <w:rFonts w:cs="Arial"/>
        </w:rPr>
        <w:t xml:space="preserve"> </w:t>
      </w:r>
      <w:r w:rsidRPr="00043B8D">
        <w:rPr>
          <w:rFonts w:cs="Arial"/>
        </w:rPr>
        <w:fldChar w:fldCharType="begin"/>
      </w:r>
      <w:r w:rsidRPr="00043B8D">
        <w:rPr>
          <w:rFonts w:cs="Arial"/>
        </w:rPr>
        <w:instrText xml:space="preserve"> REF _Ref390172069 \r \h </w:instrText>
      </w:r>
      <w:r w:rsidR="00043B8D">
        <w:rPr>
          <w:rFonts w:cs="Arial"/>
        </w:rPr>
        <w:instrText xml:space="preserve"> \* MERGEFORMAT </w:instrText>
      </w:r>
      <w:r w:rsidRPr="00043B8D">
        <w:rPr>
          <w:rFonts w:cs="Arial"/>
        </w:rPr>
      </w:r>
      <w:r w:rsidRPr="00043B8D">
        <w:rPr>
          <w:rFonts w:cs="Arial"/>
        </w:rPr>
        <w:fldChar w:fldCharType="separate"/>
      </w:r>
      <w:r w:rsidR="00B30F9B">
        <w:rPr>
          <w:rFonts w:cs="Arial"/>
        </w:rPr>
        <w:t>6.3</w:t>
      </w:r>
      <w:r w:rsidRPr="00043B8D">
        <w:rPr>
          <w:rFonts w:cs="Arial"/>
        </w:rPr>
        <w:fldChar w:fldCharType="end"/>
      </w:r>
      <w:r w:rsidRPr="00043B8D">
        <w:rPr>
          <w:rFonts w:cs="Arial"/>
        </w:rPr>
        <w:t>).</w:t>
      </w:r>
    </w:p>
    <w:p w14:paraId="44B166E8" w14:textId="77777777" w:rsidR="00C0501E" w:rsidRPr="00043B8D" w:rsidRDefault="00C0501E" w:rsidP="00C0501E">
      <w:pPr>
        <w:jc w:val="left"/>
        <w:rPr>
          <w:rFonts w:cs="Arial"/>
        </w:rPr>
      </w:pPr>
    </w:p>
    <w:p w14:paraId="64C5A107" w14:textId="77777777" w:rsidR="00C0501E" w:rsidRPr="00043B8D" w:rsidRDefault="00C0501E" w:rsidP="00C0501E">
      <w:pPr>
        <w:pStyle w:val="Kop2"/>
      </w:pPr>
      <w:bookmarkStart w:id="407" w:name="_Ref390172032"/>
      <w:bookmarkStart w:id="408" w:name="_Toc454186695"/>
      <w:r w:rsidRPr="00043B8D">
        <w:t>Niet-periodieke distributienettarieven</w:t>
      </w:r>
      <w:bookmarkEnd w:id="407"/>
      <w:bookmarkEnd w:id="408"/>
      <w:r w:rsidRPr="00043B8D">
        <w:t xml:space="preserve"> </w:t>
      </w:r>
    </w:p>
    <w:p w14:paraId="0CBF8614" w14:textId="77777777" w:rsidR="00C0501E" w:rsidRPr="00043B8D" w:rsidRDefault="00C0501E" w:rsidP="00C0501E">
      <w:pPr>
        <w:jc w:val="left"/>
        <w:rPr>
          <w:rFonts w:cs="Arial"/>
        </w:rPr>
      </w:pPr>
    </w:p>
    <w:p w14:paraId="2A875C66" w14:textId="5FDF98F0" w:rsidR="00956558" w:rsidRPr="00043B8D" w:rsidRDefault="002417F4" w:rsidP="00C0501E">
      <w:pPr>
        <w:jc w:val="left"/>
        <w:rPr>
          <w:rFonts w:cs="Arial"/>
        </w:rPr>
      </w:pPr>
      <w:r w:rsidRPr="00043B8D">
        <w:rPr>
          <w:rFonts w:cs="Arial"/>
        </w:rPr>
        <w:t xml:space="preserve">De niet-periodieke distributienettarieven worden vermeld in </w:t>
      </w:r>
      <w:r w:rsidRPr="00043B8D">
        <w:rPr>
          <w:rFonts w:cs="Arial"/>
        </w:rPr>
        <w:fldChar w:fldCharType="begin"/>
      </w:r>
      <w:r w:rsidRPr="00043B8D">
        <w:rPr>
          <w:rFonts w:cs="Arial"/>
        </w:rPr>
        <w:instrText xml:space="preserve"> REF _Ref390173978 \h </w:instrText>
      </w:r>
      <w:r w:rsidR="00043B8D">
        <w:rPr>
          <w:rFonts w:cs="Arial"/>
        </w:rPr>
        <w:instrText xml:space="preserve"> \* MERGEFORMAT </w:instrText>
      </w:r>
      <w:r w:rsidRPr="00043B8D">
        <w:rPr>
          <w:rFonts w:cs="Arial"/>
        </w:rPr>
      </w:r>
      <w:r w:rsidRPr="00043B8D">
        <w:rPr>
          <w:rFonts w:cs="Arial"/>
        </w:rPr>
        <w:fldChar w:fldCharType="separate"/>
      </w:r>
      <w:r w:rsidR="00B30F9B" w:rsidRPr="00043B8D">
        <w:t xml:space="preserve">Tabel </w:t>
      </w:r>
      <w:r w:rsidR="00B30F9B">
        <w:rPr>
          <w:noProof/>
        </w:rPr>
        <w:t>4</w:t>
      </w:r>
      <w:r w:rsidRPr="00043B8D">
        <w:rPr>
          <w:rFonts w:cs="Arial"/>
        </w:rPr>
        <w:fldChar w:fldCharType="end"/>
      </w:r>
      <w:r w:rsidRPr="00043B8D">
        <w:rPr>
          <w:rFonts w:cs="Arial"/>
        </w:rPr>
        <w:t>.</w:t>
      </w:r>
    </w:p>
    <w:p w14:paraId="25F07233" w14:textId="77777777" w:rsidR="00956558" w:rsidRPr="00043B8D" w:rsidRDefault="00956558" w:rsidP="00C0501E">
      <w:pPr>
        <w:jc w:val="left"/>
        <w:rPr>
          <w:rFonts w:cs="Arial"/>
        </w:rPr>
      </w:pPr>
    </w:p>
    <w:p w14:paraId="1459CA66" w14:textId="77777777" w:rsidR="002417F4" w:rsidRPr="000D284A" w:rsidRDefault="002417F4" w:rsidP="00654C50">
      <w:pPr>
        <w:pStyle w:val="Bijschrift"/>
        <w:keepNext/>
        <w:jc w:val="left"/>
        <w:rPr>
          <w:b w:val="0"/>
          <w:i/>
        </w:rPr>
      </w:pPr>
      <w:bookmarkStart w:id="409" w:name="_Ref390173978"/>
      <w:r w:rsidRPr="000D284A">
        <w:rPr>
          <w:b w:val="0"/>
          <w:i/>
        </w:rPr>
        <w:t xml:space="preserve">Tabel </w:t>
      </w:r>
      <w:r w:rsidRPr="000D284A">
        <w:rPr>
          <w:b w:val="0"/>
          <w:i/>
        </w:rPr>
        <w:fldChar w:fldCharType="begin"/>
      </w:r>
      <w:r w:rsidRPr="000D284A">
        <w:rPr>
          <w:b w:val="0"/>
          <w:i/>
        </w:rPr>
        <w:instrText xml:space="preserve"> SEQ Tabel \* ARABIC </w:instrText>
      </w:r>
      <w:r w:rsidRPr="000D284A">
        <w:rPr>
          <w:b w:val="0"/>
          <w:i/>
        </w:rPr>
        <w:fldChar w:fldCharType="separate"/>
      </w:r>
      <w:r w:rsidR="000D284A">
        <w:rPr>
          <w:b w:val="0"/>
          <w:i/>
          <w:noProof/>
        </w:rPr>
        <w:t>4</w:t>
      </w:r>
      <w:r w:rsidRPr="000D284A">
        <w:rPr>
          <w:b w:val="0"/>
          <w:i/>
        </w:rPr>
        <w:fldChar w:fldCharType="end"/>
      </w:r>
      <w:bookmarkEnd w:id="409"/>
      <w:r w:rsidRPr="000D284A">
        <w:rPr>
          <w:b w:val="0"/>
          <w:i/>
        </w:rPr>
        <w:t xml:space="preserve"> Niet-periodieke distributienettarieven elektriciteit en aardgas</w:t>
      </w:r>
    </w:p>
    <w:tbl>
      <w:tblPr>
        <w:tblStyle w:val="Tabelraster"/>
        <w:tblW w:w="0" w:type="auto"/>
        <w:tblCellMar>
          <w:top w:w="57" w:type="dxa"/>
          <w:bottom w:w="57" w:type="dxa"/>
        </w:tblCellMar>
        <w:tblLook w:val="04A0" w:firstRow="1" w:lastRow="0" w:firstColumn="1" w:lastColumn="0" w:noHBand="0" w:noVBand="1"/>
      </w:tblPr>
      <w:tblGrid>
        <w:gridCol w:w="534"/>
        <w:gridCol w:w="3260"/>
        <w:gridCol w:w="5416"/>
      </w:tblGrid>
      <w:tr w:rsidR="00956558" w:rsidRPr="00043B8D" w14:paraId="1715F06B" w14:textId="77777777" w:rsidTr="001D44C4">
        <w:trPr>
          <w:trHeight w:val="469"/>
        </w:trPr>
        <w:tc>
          <w:tcPr>
            <w:tcW w:w="9210" w:type="dxa"/>
            <w:gridSpan w:val="3"/>
            <w:vAlign w:val="center"/>
          </w:tcPr>
          <w:p w14:paraId="53B6638D" w14:textId="77777777" w:rsidR="000E266A" w:rsidRPr="00043B8D" w:rsidRDefault="00956558" w:rsidP="00AF663D">
            <w:pPr>
              <w:jc w:val="center"/>
              <w:rPr>
                <w:rFonts w:cs="Arial"/>
                <w:b/>
              </w:rPr>
            </w:pPr>
            <w:r w:rsidRPr="00043B8D">
              <w:rPr>
                <w:rFonts w:cs="Arial"/>
                <w:b/>
              </w:rPr>
              <w:t>Tariefstructuur</w:t>
            </w:r>
            <w:r w:rsidRPr="00043B8D">
              <w:rPr>
                <w:rFonts w:cs="Arial"/>
              </w:rPr>
              <w:t xml:space="preserve"> </w:t>
            </w:r>
            <w:r w:rsidRPr="00043B8D">
              <w:rPr>
                <w:rFonts w:cs="Arial"/>
                <w:b/>
              </w:rPr>
              <w:t>activiteit distributie elektriciteit</w:t>
            </w:r>
            <w:r w:rsidR="00356E77" w:rsidRPr="00043B8D">
              <w:rPr>
                <w:rFonts w:cs="Arial"/>
                <w:b/>
              </w:rPr>
              <w:t xml:space="preserve"> (E)</w:t>
            </w:r>
            <w:r w:rsidRPr="00043B8D">
              <w:rPr>
                <w:rFonts w:cs="Arial"/>
                <w:b/>
              </w:rPr>
              <w:t xml:space="preserve"> en distributie aardgas</w:t>
            </w:r>
            <w:r w:rsidR="00356E77" w:rsidRPr="00043B8D">
              <w:rPr>
                <w:rFonts w:cs="Arial"/>
                <w:b/>
              </w:rPr>
              <w:t xml:space="preserve"> (G)</w:t>
            </w:r>
          </w:p>
        </w:tc>
      </w:tr>
      <w:tr w:rsidR="00956558" w:rsidRPr="00043B8D" w14:paraId="05D0DBA5" w14:textId="77777777" w:rsidTr="001D44C4">
        <w:trPr>
          <w:trHeight w:val="419"/>
        </w:trPr>
        <w:tc>
          <w:tcPr>
            <w:tcW w:w="534" w:type="dxa"/>
          </w:tcPr>
          <w:p w14:paraId="3FB4E454" w14:textId="77777777" w:rsidR="00956558" w:rsidRPr="00043B8D" w:rsidRDefault="00956558" w:rsidP="00C0501E">
            <w:pPr>
              <w:jc w:val="left"/>
              <w:rPr>
                <w:rFonts w:cs="Arial"/>
              </w:rPr>
            </w:pPr>
          </w:p>
        </w:tc>
        <w:tc>
          <w:tcPr>
            <w:tcW w:w="3260" w:type="dxa"/>
            <w:vAlign w:val="center"/>
          </w:tcPr>
          <w:p w14:paraId="19A851D8" w14:textId="77777777" w:rsidR="000E266A" w:rsidRPr="00043B8D" w:rsidRDefault="00956558" w:rsidP="00AF663D">
            <w:pPr>
              <w:jc w:val="center"/>
              <w:rPr>
                <w:rFonts w:cs="Arial"/>
                <w:b/>
              </w:rPr>
            </w:pPr>
            <w:r w:rsidRPr="00043B8D">
              <w:rPr>
                <w:rFonts w:cs="Arial"/>
                <w:b/>
              </w:rPr>
              <w:t>Niet-periodiek tarief</w:t>
            </w:r>
          </w:p>
        </w:tc>
        <w:tc>
          <w:tcPr>
            <w:tcW w:w="5416" w:type="dxa"/>
            <w:vAlign w:val="center"/>
          </w:tcPr>
          <w:p w14:paraId="69589173" w14:textId="7A52FC63" w:rsidR="00956558" w:rsidRPr="00043B8D" w:rsidRDefault="00956558" w:rsidP="007B69F9">
            <w:pPr>
              <w:jc w:val="center"/>
              <w:rPr>
                <w:rFonts w:cs="Arial"/>
                <w:b/>
              </w:rPr>
            </w:pPr>
          </w:p>
        </w:tc>
      </w:tr>
      <w:tr w:rsidR="00956558" w:rsidRPr="00043B8D" w14:paraId="4EAC4A6A" w14:textId="77777777" w:rsidTr="001D44C4">
        <w:tc>
          <w:tcPr>
            <w:tcW w:w="534" w:type="dxa"/>
          </w:tcPr>
          <w:p w14:paraId="38870DE0" w14:textId="77777777" w:rsidR="00956558" w:rsidRPr="00043B8D" w:rsidRDefault="00956558" w:rsidP="00C0501E">
            <w:pPr>
              <w:jc w:val="left"/>
              <w:rPr>
                <w:rFonts w:cs="Arial"/>
              </w:rPr>
            </w:pPr>
            <w:r w:rsidRPr="00043B8D">
              <w:rPr>
                <w:rFonts w:cs="Arial"/>
              </w:rPr>
              <w:t>1</w:t>
            </w:r>
          </w:p>
        </w:tc>
        <w:tc>
          <w:tcPr>
            <w:tcW w:w="3260" w:type="dxa"/>
          </w:tcPr>
          <w:p w14:paraId="302C2869" w14:textId="77777777" w:rsidR="00956558" w:rsidRPr="00043B8D" w:rsidRDefault="00956558" w:rsidP="00B22601">
            <w:r w:rsidRPr="00043B8D">
              <w:t>tarieven voor de opmaak van de oriëntatiestudie voor een nieuwe aansluiting of voor de aanpassing van de bestaande aansluiting</w:t>
            </w:r>
          </w:p>
          <w:p w14:paraId="29171C69" w14:textId="77777777" w:rsidR="00956558" w:rsidRPr="00043B8D" w:rsidRDefault="00956558" w:rsidP="00B22601">
            <w:pPr>
              <w:rPr>
                <w:rFonts w:cs="Arial"/>
              </w:rPr>
            </w:pPr>
          </w:p>
        </w:tc>
        <w:tc>
          <w:tcPr>
            <w:tcW w:w="5416" w:type="dxa"/>
          </w:tcPr>
          <w:p w14:paraId="76A9C0EE" w14:textId="77777777" w:rsidR="00956558" w:rsidRPr="00043B8D" w:rsidRDefault="00DD2074" w:rsidP="00B22601">
            <w:r w:rsidRPr="00043B8D">
              <w:t xml:space="preserve">E: </w:t>
            </w:r>
            <w:r w:rsidR="00956558" w:rsidRPr="00043B8D">
              <w:t>Het tarief is functie van de exploitatiespanning, het vermogen en de bestemming (injectie of afname) van de aansluiting.</w:t>
            </w:r>
          </w:p>
          <w:p w14:paraId="695B7407" w14:textId="77777777" w:rsidR="00956558" w:rsidRPr="00043B8D" w:rsidRDefault="00956558" w:rsidP="00B22601">
            <w:pPr>
              <w:rPr>
                <w:rFonts w:cs="Arial"/>
              </w:rPr>
            </w:pPr>
          </w:p>
          <w:p w14:paraId="4B9282AF" w14:textId="0E8D9E2A" w:rsidR="00DD2074" w:rsidRPr="00043B8D" w:rsidRDefault="00DD2074" w:rsidP="008E06D8">
            <w:pPr>
              <w:rPr>
                <w:rFonts w:cs="Arial"/>
              </w:rPr>
            </w:pPr>
            <w:r w:rsidRPr="00043B8D">
              <w:rPr>
                <w:rFonts w:cs="Arial"/>
              </w:rPr>
              <w:t>G: Het tarief is functie van het aan te sluiten vermogen.</w:t>
            </w:r>
          </w:p>
        </w:tc>
      </w:tr>
      <w:tr w:rsidR="00956558" w:rsidRPr="00043B8D" w14:paraId="6E88F7FE" w14:textId="77777777" w:rsidTr="001D44C4">
        <w:tc>
          <w:tcPr>
            <w:tcW w:w="534" w:type="dxa"/>
          </w:tcPr>
          <w:p w14:paraId="42AFB25A" w14:textId="77777777" w:rsidR="00956558" w:rsidRPr="00043B8D" w:rsidRDefault="00956558" w:rsidP="00C0501E">
            <w:pPr>
              <w:jc w:val="left"/>
              <w:rPr>
                <w:rFonts w:cs="Arial"/>
              </w:rPr>
            </w:pPr>
            <w:r w:rsidRPr="00043B8D">
              <w:rPr>
                <w:rFonts w:cs="Arial"/>
              </w:rPr>
              <w:t>2</w:t>
            </w:r>
          </w:p>
        </w:tc>
        <w:tc>
          <w:tcPr>
            <w:tcW w:w="3260" w:type="dxa"/>
          </w:tcPr>
          <w:p w14:paraId="3E77068F" w14:textId="69F96C39" w:rsidR="00956558" w:rsidRPr="00043B8D" w:rsidRDefault="00956558" w:rsidP="00B22601">
            <w:pPr>
              <w:rPr>
                <w:rFonts w:cs="Arial"/>
              </w:rPr>
            </w:pPr>
            <w:r w:rsidRPr="00043B8D">
              <w:rPr>
                <w:rFonts w:cs="Arial"/>
              </w:rPr>
              <w:t>tarieven voor de opmaak van de detailstudie voor nieuwe aansluitingsuitrustingen of voor de aanpassing van bestaande aansluitingsuitrustingen</w:t>
            </w:r>
          </w:p>
        </w:tc>
        <w:tc>
          <w:tcPr>
            <w:tcW w:w="5416" w:type="dxa"/>
          </w:tcPr>
          <w:p w14:paraId="77438179" w14:textId="2F051F4F" w:rsidR="00956558" w:rsidRPr="00043B8D" w:rsidRDefault="00DD2074" w:rsidP="00B22601">
            <w:pPr>
              <w:rPr>
                <w:rFonts w:cs="Arial"/>
              </w:rPr>
            </w:pPr>
            <w:r w:rsidRPr="00043B8D">
              <w:rPr>
                <w:rFonts w:cs="Arial"/>
              </w:rPr>
              <w:t xml:space="preserve">E: </w:t>
            </w:r>
            <w:r w:rsidR="00956558" w:rsidRPr="00043B8D">
              <w:rPr>
                <w:rFonts w:cs="Arial"/>
              </w:rPr>
              <w:t>Het tarief is functie van de technologische parameters gedefinieerd in het technisch reglement distributie</w:t>
            </w:r>
            <w:r w:rsidR="006370E4" w:rsidRPr="00043B8D">
              <w:rPr>
                <w:rFonts w:cs="Arial"/>
              </w:rPr>
              <w:t xml:space="preserve"> elektriciteit</w:t>
            </w:r>
            <w:r w:rsidR="00956558" w:rsidRPr="00043B8D">
              <w:rPr>
                <w:rFonts w:cs="Arial"/>
              </w:rPr>
              <w:t>.</w:t>
            </w:r>
          </w:p>
          <w:p w14:paraId="73CB03E1" w14:textId="77777777" w:rsidR="00DD2074" w:rsidRPr="00043B8D" w:rsidRDefault="00DD2074" w:rsidP="00B22601">
            <w:pPr>
              <w:rPr>
                <w:rFonts w:cs="Arial"/>
              </w:rPr>
            </w:pPr>
          </w:p>
          <w:p w14:paraId="4E60B191" w14:textId="77777777" w:rsidR="00DD2074" w:rsidRPr="00043B8D" w:rsidRDefault="00DD2074" w:rsidP="00B22601">
            <w:pPr>
              <w:rPr>
                <w:rFonts w:cs="Arial"/>
              </w:rPr>
            </w:pPr>
            <w:r w:rsidRPr="00043B8D">
              <w:rPr>
                <w:rFonts w:cs="Arial"/>
              </w:rPr>
              <w:t>G: Het tarief is functie van het aan te sluiten vermogen.</w:t>
            </w:r>
          </w:p>
        </w:tc>
      </w:tr>
      <w:tr w:rsidR="00956558" w:rsidRPr="00043B8D" w14:paraId="5652C419" w14:textId="77777777" w:rsidTr="001D44C4">
        <w:tc>
          <w:tcPr>
            <w:tcW w:w="534" w:type="dxa"/>
          </w:tcPr>
          <w:p w14:paraId="179EAFD4" w14:textId="77777777" w:rsidR="00956558" w:rsidRPr="00043B8D" w:rsidRDefault="00956558" w:rsidP="00C0501E">
            <w:pPr>
              <w:jc w:val="left"/>
              <w:rPr>
                <w:rFonts w:cs="Arial"/>
              </w:rPr>
            </w:pPr>
            <w:r w:rsidRPr="00043B8D">
              <w:rPr>
                <w:rFonts w:cs="Arial"/>
              </w:rPr>
              <w:t>3</w:t>
            </w:r>
          </w:p>
        </w:tc>
        <w:tc>
          <w:tcPr>
            <w:tcW w:w="3260" w:type="dxa"/>
          </w:tcPr>
          <w:p w14:paraId="3DCC28DD" w14:textId="3C19EE67" w:rsidR="00956558" w:rsidRPr="00043B8D" w:rsidRDefault="00956558" w:rsidP="00B22601">
            <w:pPr>
              <w:rPr>
                <w:rFonts w:cs="Arial"/>
              </w:rPr>
            </w:pPr>
            <w:r w:rsidRPr="00043B8D">
              <w:rPr>
                <w:rFonts w:cs="Arial"/>
              </w:rPr>
              <w:t>tarieven voor de realisatie van nieuwe aansluitingen van afnemers of producenten op het distributienet en aanpassing van bestaande aansluitingen</w:t>
            </w:r>
          </w:p>
          <w:p w14:paraId="5C487FC0" w14:textId="77777777" w:rsidR="00956558" w:rsidRPr="00043B8D" w:rsidRDefault="00956558" w:rsidP="00B22601">
            <w:pPr>
              <w:rPr>
                <w:rFonts w:cs="Arial"/>
              </w:rPr>
            </w:pPr>
          </w:p>
        </w:tc>
        <w:tc>
          <w:tcPr>
            <w:tcW w:w="5416" w:type="dxa"/>
          </w:tcPr>
          <w:p w14:paraId="6459BDF1" w14:textId="77777777" w:rsidR="00956558" w:rsidRPr="00043B8D" w:rsidRDefault="00DD2074" w:rsidP="00B22601">
            <w:pPr>
              <w:rPr>
                <w:rFonts w:cs="Arial"/>
              </w:rPr>
            </w:pPr>
            <w:r w:rsidRPr="00043B8D">
              <w:rPr>
                <w:rFonts w:cs="Arial"/>
              </w:rPr>
              <w:t xml:space="preserve">E: </w:t>
            </w:r>
            <w:r w:rsidR="00956558" w:rsidRPr="00043B8D">
              <w:rPr>
                <w:rFonts w:cs="Arial"/>
              </w:rPr>
              <w:t>Het tarief is functie van de exploitatiespanning, de lengte, het vermogen, de bestemming (injectie of afname) van de aansluiting en, in voorkomend geval, van de technologische parameters gedefinieerd in het technisch reglement distributie</w:t>
            </w:r>
            <w:r w:rsidRPr="00043B8D">
              <w:rPr>
                <w:rFonts w:cs="Arial"/>
              </w:rPr>
              <w:t xml:space="preserve"> elektriciteit</w:t>
            </w:r>
            <w:r w:rsidR="00956558" w:rsidRPr="00043B8D">
              <w:rPr>
                <w:rFonts w:cs="Arial"/>
              </w:rPr>
              <w:t>.</w:t>
            </w:r>
          </w:p>
          <w:p w14:paraId="61D8B48B" w14:textId="77777777" w:rsidR="00DD2074" w:rsidRPr="00043B8D" w:rsidRDefault="00DD2074" w:rsidP="00B22601">
            <w:pPr>
              <w:rPr>
                <w:rFonts w:cs="Arial"/>
              </w:rPr>
            </w:pPr>
          </w:p>
          <w:p w14:paraId="15ED93FB" w14:textId="20B9C50A" w:rsidR="00DD2074" w:rsidRPr="00043B8D" w:rsidRDefault="00DD2074" w:rsidP="00B22601">
            <w:pPr>
              <w:rPr>
                <w:rFonts w:cs="Arial"/>
              </w:rPr>
            </w:pPr>
            <w:r w:rsidRPr="00043B8D">
              <w:rPr>
                <w:rFonts w:cs="Arial"/>
              </w:rPr>
              <w:t>G: Het tarief is functie van de druk en, in voorkomend geval, van de technologische parameters gedefinieerd in het technisch reglement distributie gas.</w:t>
            </w:r>
          </w:p>
        </w:tc>
      </w:tr>
      <w:tr w:rsidR="00F92DD0" w:rsidRPr="00043B8D" w14:paraId="2C79C4E1" w14:textId="77777777" w:rsidTr="001D44C4">
        <w:tc>
          <w:tcPr>
            <w:tcW w:w="534" w:type="dxa"/>
          </w:tcPr>
          <w:p w14:paraId="529932EF" w14:textId="5682C32E" w:rsidR="00F92DD0" w:rsidRPr="00043B8D" w:rsidRDefault="00F92DD0" w:rsidP="00C0501E">
            <w:pPr>
              <w:jc w:val="left"/>
              <w:rPr>
                <w:rFonts w:cs="Arial"/>
              </w:rPr>
            </w:pPr>
            <w:r w:rsidRPr="00043B8D">
              <w:rPr>
                <w:rFonts w:cs="Arial"/>
              </w:rPr>
              <w:t>4</w:t>
            </w:r>
          </w:p>
        </w:tc>
        <w:tc>
          <w:tcPr>
            <w:tcW w:w="3260" w:type="dxa"/>
          </w:tcPr>
          <w:p w14:paraId="5A43CED1" w14:textId="7B370E6A" w:rsidR="00F92DD0" w:rsidRPr="00043B8D" w:rsidRDefault="009F61B0" w:rsidP="00450583">
            <w:pPr>
              <w:rPr>
                <w:rFonts w:cs="Arial"/>
              </w:rPr>
            </w:pPr>
            <w:r w:rsidRPr="00043B8D">
              <w:rPr>
                <w:rFonts w:cs="Arial"/>
              </w:rPr>
              <w:t>t</w:t>
            </w:r>
            <w:r w:rsidR="00F92DD0" w:rsidRPr="00043B8D">
              <w:rPr>
                <w:rFonts w:cs="Arial"/>
              </w:rPr>
              <w:t>arieven voor overige dienstverlening aan de distributienetgebruiker</w:t>
            </w:r>
            <w:r w:rsidR="00450583" w:rsidRPr="00043B8D">
              <w:rPr>
                <w:rFonts w:cs="Arial"/>
              </w:rPr>
              <w:t xml:space="preserve"> </w:t>
            </w:r>
            <w:r w:rsidR="00F92DD0" w:rsidRPr="00043B8D">
              <w:rPr>
                <w:rFonts w:cs="Arial"/>
              </w:rPr>
              <w:t>op verzoek van de distributienetgebruiker</w:t>
            </w:r>
          </w:p>
        </w:tc>
        <w:tc>
          <w:tcPr>
            <w:tcW w:w="5416" w:type="dxa"/>
          </w:tcPr>
          <w:p w14:paraId="76621984" w14:textId="479EC3FB" w:rsidR="00F92DD0" w:rsidRPr="00043B8D" w:rsidRDefault="009F61B0" w:rsidP="009F61B0">
            <w:pPr>
              <w:rPr>
                <w:rFonts w:cs="Arial"/>
              </w:rPr>
            </w:pPr>
            <w:r w:rsidRPr="00043B8D">
              <w:rPr>
                <w:rFonts w:cs="Arial"/>
              </w:rPr>
              <w:t>Het tarief is forfaitair, per één of meer stuks of in functie van de te verrichten prestatie.</w:t>
            </w:r>
          </w:p>
        </w:tc>
      </w:tr>
    </w:tbl>
    <w:p w14:paraId="041E2F6B" w14:textId="6FE32435" w:rsidR="00E44479" w:rsidRPr="00043B8D" w:rsidRDefault="00E44479" w:rsidP="0011560F"/>
    <w:p w14:paraId="63FB370B" w14:textId="5C0D7333" w:rsidR="003A7F20" w:rsidRPr="00043B8D" w:rsidRDefault="003A7F20" w:rsidP="0011560F">
      <w:r w:rsidRPr="00043B8D">
        <w:t>Nr. 4 is nieuw in vergelijking met voorgaande wettelijke beschrijvingen over de tariefstructuur. Hier</w:t>
      </w:r>
      <w:r w:rsidR="004522CC" w:rsidRPr="00043B8D">
        <w:t xml:space="preserve">onder kunnen enkel </w:t>
      </w:r>
      <w:r w:rsidR="00155A9D" w:rsidRPr="00043B8D">
        <w:t xml:space="preserve">de </w:t>
      </w:r>
      <w:r w:rsidRPr="00043B8D">
        <w:t xml:space="preserve">reeds </w:t>
      </w:r>
      <w:r w:rsidR="004522CC" w:rsidRPr="00043B8D">
        <w:t xml:space="preserve">in 2014 </w:t>
      </w:r>
      <w:r w:rsidRPr="00043B8D">
        <w:t xml:space="preserve">bestaande </w:t>
      </w:r>
      <w:r w:rsidR="004522CC" w:rsidRPr="00043B8D">
        <w:t xml:space="preserve">niet-periodieke </w:t>
      </w:r>
      <w:r w:rsidR="00155A9D" w:rsidRPr="00043B8D">
        <w:t>net</w:t>
      </w:r>
      <w:r w:rsidRPr="00043B8D">
        <w:t xml:space="preserve">tarieven, die niet </w:t>
      </w:r>
      <w:r w:rsidR="00155A9D" w:rsidRPr="00043B8D">
        <w:t xml:space="preserve">strikt </w:t>
      </w:r>
      <w:r w:rsidRPr="00043B8D">
        <w:t xml:space="preserve">onder de punten 1 t.e.m. 3 </w:t>
      </w:r>
      <w:r w:rsidR="00155A9D" w:rsidRPr="00043B8D">
        <w:t>kunnen ingedeeld worden</w:t>
      </w:r>
      <w:r w:rsidRPr="00043B8D">
        <w:t xml:space="preserve">, </w:t>
      </w:r>
      <w:r w:rsidR="002E268A" w:rsidRPr="00043B8D">
        <w:t xml:space="preserve">worden </w:t>
      </w:r>
      <w:r w:rsidR="004522CC" w:rsidRPr="00043B8D">
        <w:t xml:space="preserve">ondergebracht </w:t>
      </w:r>
      <w:r w:rsidRPr="00043B8D">
        <w:t xml:space="preserve">.  </w:t>
      </w:r>
    </w:p>
    <w:p w14:paraId="6F90BCC3" w14:textId="77777777" w:rsidR="00DE2FE8" w:rsidRPr="00043B8D" w:rsidRDefault="00DE2FE8">
      <w:pPr>
        <w:jc w:val="left"/>
      </w:pPr>
    </w:p>
    <w:p w14:paraId="1EA68605" w14:textId="77777777" w:rsidR="00DE2FE8" w:rsidRPr="00043B8D" w:rsidRDefault="00DE2FE8" w:rsidP="00DE2FE8">
      <w:pPr>
        <w:jc w:val="left"/>
        <w:rPr>
          <w:rFonts w:cs="Arial"/>
        </w:rPr>
      </w:pPr>
      <w:r w:rsidRPr="00043B8D">
        <w:rPr>
          <w:rFonts w:cs="Arial"/>
        </w:rPr>
        <w:br w:type="page"/>
      </w:r>
    </w:p>
    <w:p w14:paraId="757026FC" w14:textId="0B09412D" w:rsidR="00DE2FE8" w:rsidRPr="00043B8D" w:rsidRDefault="00DE2FE8" w:rsidP="00DE2FE8">
      <w:pPr>
        <w:pStyle w:val="Kop2"/>
      </w:pPr>
      <w:bookmarkStart w:id="410" w:name="_Toc454186696"/>
      <w:r w:rsidRPr="00043B8D">
        <w:t>Klantengroepen</w:t>
      </w:r>
      <w:bookmarkEnd w:id="410"/>
    </w:p>
    <w:p w14:paraId="6A948216" w14:textId="77777777" w:rsidR="00DE2FE8" w:rsidRPr="00043B8D" w:rsidRDefault="00DE2FE8" w:rsidP="00DE2FE8">
      <w:pPr>
        <w:jc w:val="left"/>
        <w:rPr>
          <w:rFonts w:cs="Arial"/>
        </w:rPr>
      </w:pPr>
    </w:p>
    <w:p w14:paraId="5E4F7F99" w14:textId="77777777" w:rsidR="00DE2FE8" w:rsidRPr="00043B8D" w:rsidRDefault="00DE2FE8" w:rsidP="00DE2FE8">
      <w:pPr>
        <w:jc w:val="left"/>
        <w:rPr>
          <w:rFonts w:cs="Arial"/>
        </w:rPr>
      </w:pPr>
      <w:r w:rsidRPr="00043B8D">
        <w:rPr>
          <w:rFonts w:cs="Arial"/>
        </w:rPr>
        <w:t>Hieronder volgt de opdeling van de klantengroepen per activiteit.</w:t>
      </w:r>
    </w:p>
    <w:p w14:paraId="2ADF0938" w14:textId="77777777" w:rsidR="00DE2FE8" w:rsidRPr="00043B8D" w:rsidRDefault="00DE2FE8" w:rsidP="00DE2FE8">
      <w:pPr>
        <w:jc w:val="left"/>
        <w:rPr>
          <w:rFonts w:cs="Arial"/>
        </w:rPr>
      </w:pPr>
    </w:p>
    <w:p w14:paraId="2E5AA81A" w14:textId="77777777" w:rsidR="0031696F" w:rsidRPr="00043B8D" w:rsidRDefault="0031696F" w:rsidP="005251E2">
      <w:pPr>
        <w:pStyle w:val="Lijstalinea"/>
        <w:keepNext/>
        <w:numPr>
          <w:ilvl w:val="0"/>
          <w:numId w:val="24"/>
        </w:numPr>
        <w:spacing w:before="240" w:after="60"/>
        <w:jc w:val="left"/>
        <w:outlineLvl w:val="1"/>
        <w:rPr>
          <w:rFonts w:cs="Arial"/>
          <w:b/>
          <w:bCs/>
          <w:i/>
          <w:iCs/>
          <w:vanish/>
          <w:sz w:val="22"/>
          <w:szCs w:val="22"/>
        </w:rPr>
      </w:pPr>
      <w:bookmarkStart w:id="411" w:name="_Toc399749541"/>
      <w:bookmarkStart w:id="412" w:name="_Toc399749824"/>
      <w:bookmarkStart w:id="413" w:name="_Toc399749955"/>
      <w:bookmarkStart w:id="414" w:name="_Toc399767205"/>
      <w:bookmarkStart w:id="415" w:name="_Toc399767295"/>
      <w:bookmarkStart w:id="416" w:name="_Toc399846865"/>
      <w:bookmarkStart w:id="417" w:name="_Toc399847060"/>
      <w:bookmarkStart w:id="418" w:name="_Toc399848553"/>
      <w:bookmarkStart w:id="419" w:name="_Toc421105701"/>
      <w:bookmarkStart w:id="420" w:name="_Toc424033098"/>
      <w:bookmarkStart w:id="421" w:name="_Toc424038195"/>
      <w:bookmarkStart w:id="422" w:name="_Toc430157371"/>
      <w:bookmarkStart w:id="423" w:name="_Toc431470805"/>
      <w:bookmarkStart w:id="424" w:name="_Toc431470896"/>
      <w:bookmarkStart w:id="425" w:name="_Toc431470987"/>
      <w:bookmarkStart w:id="426" w:name="_Toc431471078"/>
      <w:bookmarkStart w:id="427" w:name="_Toc434257279"/>
      <w:bookmarkStart w:id="428" w:name="_Toc434407078"/>
      <w:bookmarkStart w:id="429" w:name="_Toc434407257"/>
      <w:bookmarkStart w:id="430" w:name="_Toc434408010"/>
      <w:bookmarkStart w:id="431" w:name="_Toc434408110"/>
      <w:bookmarkStart w:id="432" w:name="_Toc434408210"/>
      <w:bookmarkStart w:id="433" w:name="_Toc434408525"/>
      <w:bookmarkStart w:id="434" w:name="_Toc437246294"/>
      <w:bookmarkStart w:id="435" w:name="_Toc447635541"/>
      <w:bookmarkStart w:id="436" w:name="_Toc447722353"/>
      <w:bookmarkStart w:id="437" w:name="_Toc454186697"/>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14:paraId="172D53A9" w14:textId="77777777" w:rsidR="0031696F" w:rsidRPr="00043B8D" w:rsidRDefault="0031696F" w:rsidP="005251E2">
      <w:pPr>
        <w:pStyle w:val="Lijstalinea"/>
        <w:keepNext/>
        <w:numPr>
          <w:ilvl w:val="1"/>
          <w:numId w:val="24"/>
        </w:numPr>
        <w:spacing w:before="240" w:after="60"/>
        <w:jc w:val="left"/>
        <w:outlineLvl w:val="1"/>
        <w:rPr>
          <w:rFonts w:cs="Arial"/>
          <w:b/>
          <w:bCs/>
          <w:i/>
          <w:iCs/>
          <w:vanish/>
          <w:sz w:val="22"/>
          <w:szCs w:val="22"/>
        </w:rPr>
      </w:pPr>
      <w:bookmarkStart w:id="438" w:name="_Toc399749956"/>
      <w:bookmarkStart w:id="439" w:name="_Toc399767206"/>
      <w:bookmarkStart w:id="440" w:name="_Toc399767296"/>
      <w:bookmarkStart w:id="441" w:name="_Toc399846866"/>
      <w:bookmarkStart w:id="442" w:name="_Toc399847061"/>
      <w:bookmarkStart w:id="443" w:name="_Toc399848554"/>
      <w:bookmarkStart w:id="444" w:name="_Toc421105702"/>
      <w:bookmarkStart w:id="445" w:name="_Toc424033099"/>
      <w:bookmarkStart w:id="446" w:name="_Toc424038196"/>
      <w:bookmarkStart w:id="447" w:name="_Toc430157372"/>
      <w:bookmarkStart w:id="448" w:name="_Toc431470806"/>
      <w:bookmarkStart w:id="449" w:name="_Toc431470897"/>
      <w:bookmarkStart w:id="450" w:name="_Toc431470988"/>
      <w:bookmarkStart w:id="451" w:name="_Toc431471079"/>
      <w:bookmarkStart w:id="452" w:name="_Toc434257280"/>
      <w:bookmarkStart w:id="453" w:name="_Toc434407079"/>
      <w:bookmarkStart w:id="454" w:name="_Toc434407258"/>
      <w:bookmarkStart w:id="455" w:name="_Toc434408011"/>
      <w:bookmarkStart w:id="456" w:name="_Toc434408111"/>
      <w:bookmarkStart w:id="457" w:name="_Toc434408211"/>
      <w:bookmarkStart w:id="458" w:name="_Toc434408526"/>
      <w:bookmarkStart w:id="459" w:name="_Toc437246295"/>
      <w:bookmarkStart w:id="460" w:name="_Toc447635542"/>
      <w:bookmarkStart w:id="461" w:name="_Toc447722354"/>
      <w:bookmarkStart w:id="462" w:name="_Toc454186698"/>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p w14:paraId="34D07DE3" w14:textId="77777777" w:rsidR="0031696F" w:rsidRPr="00043B8D" w:rsidRDefault="0031696F" w:rsidP="005251E2">
      <w:pPr>
        <w:pStyle w:val="Lijstalinea"/>
        <w:keepNext/>
        <w:numPr>
          <w:ilvl w:val="1"/>
          <w:numId w:val="24"/>
        </w:numPr>
        <w:spacing w:before="240" w:after="60"/>
        <w:jc w:val="left"/>
        <w:outlineLvl w:val="1"/>
        <w:rPr>
          <w:rFonts w:cs="Arial"/>
          <w:b/>
          <w:bCs/>
          <w:i/>
          <w:iCs/>
          <w:vanish/>
          <w:sz w:val="22"/>
          <w:szCs w:val="22"/>
        </w:rPr>
      </w:pPr>
      <w:bookmarkStart w:id="463" w:name="_Toc399749957"/>
      <w:bookmarkStart w:id="464" w:name="_Toc399767207"/>
      <w:bookmarkStart w:id="465" w:name="_Toc399767297"/>
      <w:bookmarkStart w:id="466" w:name="_Toc399846867"/>
      <w:bookmarkStart w:id="467" w:name="_Toc399847062"/>
      <w:bookmarkStart w:id="468" w:name="_Toc399848555"/>
      <w:bookmarkStart w:id="469" w:name="_Toc421105703"/>
      <w:bookmarkStart w:id="470" w:name="_Toc424033100"/>
      <w:bookmarkStart w:id="471" w:name="_Toc424038197"/>
      <w:bookmarkStart w:id="472" w:name="_Toc430157373"/>
      <w:bookmarkStart w:id="473" w:name="_Toc431470807"/>
      <w:bookmarkStart w:id="474" w:name="_Toc431470898"/>
      <w:bookmarkStart w:id="475" w:name="_Toc431470989"/>
      <w:bookmarkStart w:id="476" w:name="_Toc431471080"/>
      <w:bookmarkStart w:id="477" w:name="_Toc434257281"/>
      <w:bookmarkStart w:id="478" w:name="_Toc434407080"/>
      <w:bookmarkStart w:id="479" w:name="_Toc434407259"/>
      <w:bookmarkStart w:id="480" w:name="_Toc434408012"/>
      <w:bookmarkStart w:id="481" w:name="_Toc434408112"/>
      <w:bookmarkStart w:id="482" w:name="_Toc434408212"/>
      <w:bookmarkStart w:id="483" w:name="_Toc434408527"/>
      <w:bookmarkStart w:id="484" w:name="_Toc437246296"/>
      <w:bookmarkStart w:id="485" w:name="_Toc447635543"/>
      <w:bookmarkStart w:id="486" w:name="_Toc447722355"/>
      <w:bookmarkStart w:id="487" w:name="_Toc454186699"/>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p>
    <w:p w14:paraId="1F8C58BC" w14:textId="40EF3BA8" w:rsidR="00DE2FE8" w:rsidRPr="00043B8D" w:rsidRDefault="00DE2FE8" w:rsidP="005251E2">
      <w:pPr>
        <w:pStyle w:val="Kop2"/>
        <w:numPr>
          <w:ilvl w:val="2"/>
          <w:numId w:val="24"/>
        </w:numPr>
        <w:rPr>
          <w:i/>
          <w:sz w:val="22"/>
          <w:szCs w:val="22"/>
        </w:rPr>
      </w:pPr>
      <w:bookmarkStart w:id="488" w:name="_Toc454186700"/>
      <w:r w:rsidRPr="00043B8D">
        <w:rPr>
          <w:i/>
          <w:sz w:val="22"/>
          <w:szCs w:val="22"/>
        </w:rPr>
        <w:t>Elektriciteitsdistributie</w:t>
      </w:r>
      <w:bookmarkEnd w:id="488"/>
    </w:p>
    <w:p w14:paraId="6634F30B" w14:textId="77777777" w:rsidR="00DE2FE8" w:rsidRPr="00043B8D" w:rsidRDefault="00DE2FE8" w:rsidP="00DE2FE8">
      <w:pPr>
        <w:jc w:val="left"/>
        <w:rPr>
          <w:rFonts w:cs="Arial"/>
        </w:rPr>
      </w:pPr>
    </w:p>
    <w:p w14:paraId="185CE988" w14:textId="1FFB2AAD" w:rsidR="00DE2FE8" w:rsidRPr="00043B8D" w:rsidRDefault="00DE2FE8" w:rsidP="00DE2FE8">
      <w:pPr>
        <w:jc w:val="left"/>
        <w:rPr>
          <w:rFonts w:cs="Arial"/>
        </w:rPr>
      </w:pPr>
      <w:r w:rsidRPr="00043B8D">
        <w:rPr>
          <w:rFonts w:cs="Arial"/>
        </w:rPr>
        <w:t>De klantengroepen bij distributie van elektriciteit zijn de volgende volgens</w:t>
      </w:r>
      <w:r w:rsidR="00D5066A" w:rsidRPr="00043B8D">
        <w:rPr>
          <w:rFonts w:cs="Arial"/>
          <w:b/>
          <w:bCs/>
        </w:rPr>
        <w:t xml:space="preserve"> </w:t>
      </w:r>
      <w:r w:rsidR="00D5066A" w:rsidRPr="00043B8D">
        <w:rPr>
          <w:rFonts w:cs="Arial"/>
          <w:b/>
          <w:bCs/>
        </w:rPr>
        <w:fldChar w:fldCharType="begin"/>
      </w:r>
      <w:r w:rsidR="00D5066A" w:rsidRPr="00043B8D">
        <w:rPr>
          <w:rFonts w:cs="Arial"/>
          <w:b/>
          <w:bCs/>
        </w:rPr>
        <w:instrText xml:space="preserve"> REF _Ref399752306 \h </w:instrText>
      </w:r>
      <w:r w:rsidR="00043B8D">
        <w:rPr>
          <w:rFonts w:cs="Arial"/>
          <w:b/>
          <w:bCs/>
        </w:rPr>
        <w:instrText xml:space="preserve"> \* MERGEFORMAT </w:instrText>
      </w:r>
      <w:r w:rsidR="00D5066A" w:rsidRPr="00043B8D">
        <w:rPr>
          <w:rFonts w:cs="Arial"/>
          <w:b/>
          <w:bCs/>
        </w:rPr>
      </w:r>
      <w:r w:rsidR="00D5066A" w:rsidRPr="00043B8D">
        <w:rPr>
          <w:rFonts w:cs="Arial"/>
          <w:b/>
          <w:bCs/>
        </w:rPr>
        <w:fldChar w:fldCharType="separate"/>
      </w:r>
      <w:r w:rsidR="00B30F9B" w:rsidRPr="00043B8D">
        <w:t xml:space="preserve">Tabel </w:t>
      </w:r>
      <w:r w:rsidR="00B30F9B">
        <w:rPr>
          <w:noProof/>
        </w:rPr>
        <w:t>5</w:t>
      </w:r>
      <w:r w:rsidR="00D5066A" w:rsidRPr="00043B8D">
        <w:rPr>
          <w:rFonts w:cs="Arial"/>
          <w:b/>
          <w:bCs/>
        </w:rPr>
        <w:fldChar w:fldCharType="end"/>
      </w:r>
      <w:r w:rsidRPr="00043B8D">
        <w:rPr>
          <w:rFonts w:cs="Arial"/>
        </w:rPr>
        <w:t>:</w:t>
      </w:r>
    </w:p>
    <w:p w14:paraId="3F77B589" w14:textId="77777777" w:rsidR="00DE2FE8" w:rsidRPr="00043B8D" w:rsidRDefault="00DE2FE8" w:rsidP="00DE2FE8">
      <w:pPr>
        <w:jc w:val="left"/>
        <w:rPr>
          <w:rFonts w:cs="Arial"/>
        </w:rPr>
      </w:pPr>
    </w:p>
    <w:p w14:paraId="6E7C2C46" w14:textId="456D0C3B" w:rsidR="00DE2FE8" w:rsidRPr="000D284A" w:rsidRDefault="00DE2FE8" w:rsidP="00654C50">
      <w:pPr>
        <w:pStyle w:val="Bijschrift"/>
        <w:keepNext/>
        <w:jc w:val="left"/>
        <w:rPr>
          <w:b w:val="0"/>
          <w:i/>
        </w:rPr>
      </w:pPr>
      <w:bookmarkStart w:id="489" w:name="_Ref399752306"/>
      <w:r w:rsidRPr="000D284A">
        <w:rPr>
          <w:b w:val="0"/>
          <w:i/>
        </w:rPr>
        <w:t xml:space="preserve">Tabel </w:t>
      </w:r>
      <w:r w:rsidRPr="000D284A">
        <w:rPr>
          <w:b w:val="0"/>
          <w:i/>
        </w:rPr>
        <w:fldChar w:fldCharType="begin"/>
      </w:r>
      <w:r w:rsidRPr="000D284A">
        <w:rPr>
          <w:b w:val="0"/>
          <w:i/>
        </w:rPr>
        <w:instrText xml:space="preserve"> SEQ Tabel \* ARABIC </w:instrText>
      </w:r>
      <w:r w:rsidRPr="000D284A">
        <w:rPr>
          <w:b w:val="0"/>
          <w:i/>
        </w:rPr>
        <w:fldChar w:fldCharType="separate"/>
      </w:r>
      <w:r w:rsidR="000D284A">
        <w:rPr>
          <w:b w:val="0"/>
          <w:i/>
          <w:noProof/>
        </w:rPr>
        <w:t>5</w:t>
      </w:r>
      <w:r w:rsidRPr="000D284A">
        <w:rPr>
          <w:b w:val="0"/>
          <w:i/>
        </w:rPr>
        <w:fldChar w:fldCharType="end"/>
      </w:r>
      <w:bookmarkEnd w:id="489"/>
      <w:r w:rsidRPr="000D284A">
        <w:rPr>
          <w:b w:val="0"/>
          <w:i/>
        </w:rPr>
        <w:t xml:space="preserve"> Klantengroepen elektriciteit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376"/>
        <w:gridCol w:w="6237"/>
      </w:tblGrid>
      <w:tr w:rsidR="00DE2FE8" w:rsidRPr="00043B8D" w14:paraId="79AF12AC" w14:textId="77777777" w:rsidTr="004066B0">
        <w:trPr>
          <w:trHeight w:val="98"/>
        </w:trPr>
        <w:tc>
          <w:tcPr>
            <w:tcW w:w="2376" w:type="dxa"/>
          </w:tcPr>
          <w:p w14:paraId="2CBB5BAA" w14:textId="77777777" w:rsidR="00DE2FE8" w:rsidRPr="00043B8D" w:rsidRDefault="00DE2FE8" w:rsidP="004066B0">
            <w:pPr>
              <w:pStyle w:val="Default"/>
              <w:rPr>
                <w:rFonts w:ascii="Tahoma" w:hAnsi="Tahoma" w:cs="Tahoma"/>
                <w:sz w:val="20"/>
                <w:szCs w:val="20"/>
              </w:rPr>
            </w:pPr>
            <w:r w:rsidRPr="00043B8D">
              <w:rPr>
                <w:rFonts w:ascii="Tahoma" w:hAnsi="Tahoma" w:cs="Tahoma"/>
                <w:b/>
                <w:bCs/>
                <w:sz w:val="20"/>
                <w:szCs w:val="20"/>
              </w:rPr>
              <w:t xml:space="preserve">Klantengroep benaming </w:t>
            </w:r>
          </w:p>
        </w:tc>
        <w:tc>
          <w:tcPr>
            <w:tcW w:w="6237" w:type="dxa"/>
          </w:tcPr>
          <w:p w14:paraId="2AB84155" w14:textId="77777777" w:rsidR="00DE2FE8" w:rsidRPr="00043B8D" w:rsidRDefault="00DE2FE8" w:rsidP="004066B0">
            <w:pPr>
              <w:pStyle w:val="Default"/>
              <w:rPr>
                <w:rFonts w:ascii="Tahoma" w:hAnsi="Tahoma" w:cs="Tahoma"/>
                <w:b/>
                <w:bCs/>
                <w:sz w:val="20"/>
                <w:szCs w:val="20"/>
              </w:rPr>
            </w:pPr>
            <w:r w:rsidRPr="00043B8D">
              <w:rPr>
                <w:rFonts w:ascii="Tahoma" w:hAnsi="Tahoma" w:cs="Tahoma"/>
                <w:b/>
                <w:bCs/>
                <w:sz w:val="20"/>
                <w:szCs w:val="20"/>
              </w:rPr>
              <w:t>Omschrijving</w:t>
            </w:r>
          </w:p>
        </w:tc>
      </w:tr>
      <w:tr w:rsidR="00DE2FE8" w:rsidRPr="00043B8D" w14:paraId="2935B4A5" w14:textId="77777777" w:rsidTr="004066B0">
        <w:trPr>
          <w:trHeight w:val="190"/>
        </w:trPr>
        <w:tc>
          <w:tcPr>
            <w:tcW w:w="2376" w:type="dxa"/>
          </w:tcPr>
          <w:p w14:paraId="4C6C448C" w14:textId="77777777" w:rsidR="00DE2FE8" w:rsidRPr="00043B8D" w:rsidRDefault="00DE2FE8" w:rsidP="004066B0">
            <w:pPr>
              <w:pStyle w:val="Default"/>
              <w:rPr>
                <w:rFonts w:ascii="Tahoma" w:hAnsi="Tahoma" w:cs="Tahoma"/>
                <w:sz w:val="20"/>
                <w:szCs w:val="20"/>
              </w:rPr>
            </w:pPr>
            <w:r w:rsidRPr="00043B8D">
              <w:rPr>
                <w:rFonts w:ascii="Tahoma" w:hAnsi="Tahoma" w:cs="Tahoma"/>
                <w:sz w:val="20"/>
                <w:szCs w:val="20"/>
              </w:rPr>
              <w:t xml:space="preserve">Trans HS </w:t>
            </w:r>
          </w:p>
        </w:tc>
        <w:tc>
          <w:tcPr>
            <w:tcW w:w="6237" w:type="dxa"/>
          </w:tcPr>
          <w:p w14:paraId="708E96A2" w14:textId="77777777" w:rsidR="00DE2FE8" w:rsidRPr="00043B8D" w:rsidRDefault="00DE2FE8" w:rsidP="004066B0">
            <w:pPr>
              <w:pStyle w:val="Default"/>
              <w:jc w:val="both"/>
              <w:rPr>
                <w:rFonts w:ascii="Tahoma" w:hAnsi="Tahoma" w:cs="Tahoma"/>
                <w:sz w:val="20"/>
                <w:szCs w:val="20"/>
              </w:rPr>
            </w:pPr>
            <w:r w:rsidRPr="00043B8D">
              <w:rPr>
                <w:rFonts w:ascii="Tahoma" w:hAnsi="Tahoma" w:cs="Tahoma"/>
                <w:sz w:val="20"/>
                <w:szCs w:val="20"/>
              </w:rPr>
              <w:t xml:space="preserve">Distributienetgebruikers rechtstreeks aangesloten op transformatoren tussen het hoogspanningsnet en het middenspanningsnet. </w:t>
            </w:r>
          </w:p>
        </w:tc>
      </w:tr>
      <w:tr w:rsidR="00DE2FE8" w:rsidRPr="00043B8D" w14:paraId="666E6877" w14:textId="77777777" w:rsidTr="004066B0">
        <w:trPr>
          <w:trHeight w:val="189"/>
        </w:trPr>
        <w:tc>
          <w:tcPr>
            <w:tcW w:w="2376" w:type="dxa"/>
          </w:tcPr>
          <w:p w14:paraId="0C5FF815" w14:textId="3857BB79" w:rsidR="00DE2FE8" w:rsidRPr="00043B8D" w:rsidRDefault="00BD7CDA" w:rsidP="004066B0">
            <w:pPr>
              <w:pStyle w:val="Default"/>
              <w:rPr>
                <w:rFonts w:ascii="Tahoma" w:hAnsi="Tahoma" w:cs="Tahoma"/>
                <w:sz w:val="20"/>
                <w:szCs w:val="20"/>
              </w:rPr>
            </w:pPr>
            <w:r w:rsidRPr="00043B8D">
              <w:rPr>
                <w:rFonts w:ascii="Tahoma" w:hAnsi="Tahoma" w:cs="Tahoma"/>
                <w:sz w:val="20"/>
                <w:szCs w:val="20"/>
              </w:rPr>
              <w:t>&gt;26-36 kV</w:t>
            </w:r>
          </w:p>
        </w:tc>
        <w:tc>
          <w:tcPr>
            <w:tcW w:w="6237" w:type="dxa"/>
          </w:tcPr>
          <w:p w14:paraId="58BD04CF" w14:textId="13321F55" w:rsidR="00DE2FE8" w:rsidRPr="00043B8D" w:rsidRDefault="00DE2FE8" w:rsidP="00BD7CDA">
            <w:pPr>
              <w:pStyle w:val="Default"/>
              <w:jc w:val="both"/>
              <w:rPr>
                <w:rFonts w:ascii="Tahoma" w:hAnsi="Tahoma" w:cs="Tahoma"/>
                <w:sz w:val="20"/>
                <w:szCs w:val="20"/>
              </w:rPr>
            </w:pPr>
            <w:r w:rsidRPr="00043B8D">
              <w:rPr>
                <w:rFonts w:ascii="Tahoma" w:hAnsi="Tahoma" w:cs="Tahoma"/>
                <w:sz w:val="20"/>
                <w:szCs w:val="20"/>
              </w:rPr>
              <w:t xml:space="preserve">Distributienetgebruikers aangesloten op het netwerk met een nominale spanning </w:t>
            </w:r>
            <w:r w:rsidR="00BD7CDA" w:rsidRPr="00043B8D">
              <w:rPr>
                <w:rFonts w:ascii="Tahoma" w:hAnsi="Tahoma" w:cs="Tahoma"/>
                <w:sz w:val="20"/>
                <w:szCs w:val="20"/>
              </w:rPr>
              <w:t xml:space="preserve">groter dan 26 kV en tot en met  </w:t>
            </w:r>
            <w:r w:rsidRPr="00043B8D">
              <w:rPr>
                <w:rFonts w:ascii="Tahoma" w:hAnsi="Tahoma" w:cs="Tahoma"/>
                <w:sz w:val="20"/>
                <w:szCs w:val="20"/>
              </w:rPr>
              <w:t>36 kV.</w:t>
            </w:r>
            <w:r w:rsidRPr="00043B8D">
              <w:rPr>
                <w:rStyle w:val="Voetnootmarkering"/>
                <w:rFonts w:ascii="Tahoma" w:hAnsi="Tahoma" w:cs="Tahoma"/>
                <w:sz w:val="20"/>
                <w:szCs w:val="20"/>
              </w:rPr>
              <w:footnoteReference w:id="59"/>
            </w:r>
          </w:p>
        </w:tc>
      </w:tr>
      <w:tr w:rsidR="00DE2FE8" w:rsidRPr="00043B8D" w14:paraId="1FB444CA" w14:textId="77777777" w:rsidTr="004066B0">
        <w:trPr>
          <w:trHeight w:val="189"/>
        </w:trPr>
        <w:tc>
          <w:tcPr>
            <w:tcW w:w="2376" w:type="dxa"/>
          </w:tcPr>
          <w:p w14:paraId="34AA9352" w14:textId="77777777" w:rsidR="00DE2FE8" w:rsidRPr="00043B8D" w:rsidRDefault="00DE2FE8" w:rsidP="004066B0">
            <w:pPr>
              <w:pStyle w:val="Default"/>
              <w:rPr>
                <w:rFonts w:ascii="Tahoma" w:hAnsi="Tahoma" w:cs="Tahoma"/>
                <w:sz w:val="20"/>
                <w:szCs w:val="20"/>
              </w:rPr>
            </w:pPr>
            <w:r w:rsidRPr="00043B8D">
              <w:rPr>
                <w:rFonts w:ascii="Tahoma" w:hAnsi="Tahoma" w:cs="Tahoma"/>
                <w:sz w:val="20"/>
                <w:szCs w:val="20"/>
              </w:rPr>
              <w:t xml:space="preserve">26 – 1 kV </w:t>
            </w:r>
          </w:p>
        </w:tc>
        <w:tc>
          <w:tcPr>
            <w:tcW w:w="6237" w:type="dxa"/>
          </w:tcPr>
          <w:p w14:paraId="0EE26E75" w14:textId="77777777" w:rsidR="00DE2FE8" w:rsidRPr="00043B8D" w:rsidRDefault="00DE2FE8" w:rsidP="004066B0">
            <w:pPr>
              <w:pStyle w:val="Default"/>
              <w:jc w:val="both"/>
              <w:rPr>
                <w:rFonts w:ascii="Tahoma" w:hAnsi="Tahoma" w:cs="Tahoma"/>
                <w:sz w:val="20"/>
                <w:szCs w:val="20"/>
              </w:rPr>
            </w:pPr>
            <w:r w:rsidRPr="00043B8D">
              <w:rPr>
                <w:rFonts w:ascii="Tahoma" w:hAnsi="Tahoma" w:cs="Tahoma"/>
                <w:sz w:val="20"/>
                <w:szCs w:val="20"/>
              </w:rPr>
              <w:t xml:space="preserve">Distributienetgebruikers aangesloten op het netwerk met een nominale spanning tussen 26 en 1 kV. </w:t>
            </w:r>
          </w:p>
        </w:tc>
      </w:tr>
      <w:tr w:rsidR="00DE2FE8" w:rsidRPr="00043B8D" w14:paraId="6D71F065" w14:textId="77777777" w:rsidTr="004066B0">
        <w:trPr>
          <w:trHeight w:val="190"/>
        </w:trPr>
        <w:tc>
          <w:tcPr>
            <w:tcW w:w="2376" w:type="dxa"/>
          </w:tcPr>
          <w:p w14:paraId="61BFBB65" w14:textId="77777777" w:rsidR="00DE2FE8" w:rsidRPr="00043B8D" w:rsidRDefault="00DE2FE8" w:rsidP="004066B0">
            <w:pPr>
              <w:pStyle w:val="Default"/>
              <w:rPr>
                <w:rFonts w:ascii="Tahoma" w:hAnsi="Tahoma" w:cs="Tahoma"/>
                <w:sz w:val="20"/>
                <w:szCs w:val="20"/>
              </w:rPr>
            </w:pPr>
            <w:r w:rsidRPr="00043B8D">
              <w:rPr>
                <w:rFonts w:ascii="Tahoma" w:hAnsi="Tahoma" w:cs="Tahoma"/>
                <w:sz w:val="20"/>
                <w:szCs w:val="20"/>
              </w:rPr>
              <w:t xml:space="preserve">Trans LS </w:t>
            </w:r>
          </w:p>
        </w:tc>
        <w:tc>
          <w:tcPr>
            <w:tcW w:w="6237" w:type="dxa"/>
          </w:tcPr>
          <w:p w14:paraId="1384EC82" w14:textId="77777777" w:rsidR="00DE2FE8" w:rsidRPr="00043B8D" w:rsidRDefault="00DE2FE8" w:rsidP="004066B0">
            <w:pPr>
              <w:pStyle w:val="Default"/>
              <w:jc w:val="both"/>
              <w:rPr>
                <w:rFonts w:ascii="Tahoma" w:hAnsi="Tahoma" w:cs="Tahoma"/>
                <w:sz w:val="20"/>
                <w:szCs w:val="20"/>
              </w:rPr>
            </w:pPr>
            <w:r w:rsidRPr="00043B8D">
              <w:rPr>
                <w:rFonts w:ascii="Tahoma" w:hAnsi="Tahoma" w:cs="Tahoma"/>
                <w:sz w:val="20"/>
                <w:szCs w:val="20"/>
              </w:rPr>
              <w:t xml:space="preserve">Distributienetgebruikers rechtstreeks aangesloten op een transformator tussen het middenspanningsnet en het laagspanningsnetwerk. </w:t>
            </w:r>
          </w:p>
        </w:tc>
      </w:tr>
      <w:tr w:rsidR="00DE2FE8" w:rsidRPr="00043B8D" w14:paraId="34901B7A" w14:textId="77777777" w:rsidTr="004066B0">
        <w:trPr>
          <w:trHeight w:val="190"/>
        </w:trPr>
        <w:tc>
          <w:tcPr>
            <w:tcW w:w="2376" w:type="dxa"/>
          </w:tcPr>
          <w:p w14:paraId="4720433C" w14:textId="77777777" w:rsidR="00DE2FE8" w:rsidRPr="00043B8D" w:rsidRDefault="00DE2FE8" w:rsidP="004066B0">
            <w:pPr>
              <w:pStyle w:val="Default"/>
              <w:rPr>
                <w:rFonts w:ascii="Tahoma" w:hAnsi="Tahoma" w:cs="Tahoma"/>
                <w:sz w:val="20"/>
                <w:szCs w:val="20"/>
              </w:rPr>
            </w:pPr>
            <w:r w:rsidRPr="00043B8D">
              <w:rPr>
                <w:rFonts w:ascii="Tahoma" w:hAnsi="Tahoma" w:cs="Tahoma"/>
                <w:sz w:val="20"/>
                <w:szCs w:val="20"/>
              </w:rPr>
              <w:t xml:space="preserve">LS </w:t>
            </w:r>
          </w:p>
        </w:tc>
        <w:tc>
          <w:tcPr>
            <w:tcW w:w="6237" w:type="dxa"/>
          </w:tcPr>
          <w:p w14:paraId="3BC0280B" w14:textId="77777777" w:rsidR="00DE2FE8" w:rsidRPr="00043B8D" w:rsidRDefault="00DE2FE8" w:rsidP="004066B0">
            <w:pPr>
              <w:pStyle w:val="Default"/>
              <w:jc w:val="both"/>
              <w:rPr>
                <w:rFonts w:ascii="Tahoma" w:hAnsi="Tahoma" w:cs="Tahoma"/>
                <w:sz w:val="20"/>
                <w:szCs w:val="20"/>
              </w:rPr>
            </w:pPr>
            <w:r w:rsidRPr="00043B8D">
              <w:rPr>
                <w:rFonts w:ascii="Tahoma" w:hAnsi="Tahoma" w:cs="Tahoma"/>
                <w:sz w:val="20"/>
                <w:szCs w:val="20"/>
              </w:rPr>
              <w:t xml:space="preserve">Distributienetgebruikers aangesloten op het laagspanningsnetwerk </w:t>
            </w:r>
          </w:p>
          <w:p w14:paraId="55CD0044" w14:textId="547F6131" w:rsidR="00DE2FE8" w:rsidRPr="00043B8D" w:rsidRDefault="00DE2FE8" w:rsidP="004066B0">
            <w:pPr>
              <w:pStyle w:val="Default"/>
              <w:jc w:val="both"/>
              <w:rPr>
                <w:rFonts w:ascii="Tahoma" w:hAnsi="Tahoma" w:cs="Tahoma"/>
                <w:sz w:val="20"/>
                <w:szCs w:val="20"/>
              </w:rPr>
            </w:pPr>
            <w:r w:rsidRPr="00043B8D">
              <w:rPr>
                <w:rFonts w:ascii="Tahoma" w:hAnsi="Tahoma" w:cs="Tahoma"/>
                <w:sz w:val="20"/>
                <w:szCs w:val="20"/>
              </w:rPr>
              <w:t xml:space="preserve">(het netwerk met een nominale spanning lager dan 1 kV) </w:t>
            </w:r>
            <w:r w:rsidR="00DF2275" w:rsidRPr="00043B8D">
              <w:rPr>
                <w:rFonts w:ascii="Tahoma" w:hAnsi="Tahoma" w:cs="Tahoma"/>
                <w:sz w:val="20"/>
                <w:szCs w:val="20"/>
              </w:rPr>
              <w:t>en niet behoren</w:t>
            </w:r>
            <w:r w:rsidR="00BD7CDA" w:rsidRPr="00043B8D">
              <w:rPr>
                <w:rFonts w:ascii="Tahoma" w:hAnsi="Tahoma" w:cs="Tahoma"/>
                <w:sz w:val="20"/>
                <w:szCs w:val="20"/>
              </w:rPr>
              <w:t>d</w:t>
            </w:r>
            <w:r w:rsidR="00DF2275" w:rsidRPr="00043B8D">
              <w:rPr>
                <w:rFonts w:ascii="Tahoma" w:hAnsi="Tahoma" w:cs="Tahoma"/>
                <w:sz w:val="20"/>
                <w:szCs w:val="20"/>
              </w:rPr>
              <w:t xml:space="preserve"> tot de klantengroep ‘Prosumenten met terugdraaiende teller’</w:t>
            </w:r>
          </w:p>
        </w:tc>
      </w:tr>
      <w:tr w:rsidR="00DE2FE8" w:rsidRPr="00043B8D" w14:paraId="0329D625" w14:textId="77777777" w:rsidTr="004066B0">
        <w:trPr>
          <w:trHeight w:val="190"/>
        </w:trPr>
        <w:tc>
          <w:tcPr>
            <w:tcW w:w="2376" w:type="dxa"/>
          </w:tcPr>
          <w:p w14:paraId="177AEAF1" w14:textId="35C08784" w:rsidR="00DE2FE8" w:rsidRPr="00043B8D" w:rsidRDefault="00BD7CDA" w:rsidP="004066B0">
            <w:pPr>
              <w:pStyle w:val="Default"/>
              <w:rPr>
                <w:rFonts w:ascii="Tahoma" w:hAnsi="Tahoma" w:cs="Tahoma"/>
                <w:b/>
                <w:sz w:val="20"/>
                <w:szCs w:val="20"/>
              </w:rPr>
            </w:pPr>
            <w:r w:rsidRPr="00043B8D">
              <w:rPr>
                <w:rFonts w:ascii="Tahoma" w:hAnsi="Tahoma" w:cs="Tahoma"/>
                <w:sz w:val="20"/>
                <w:szCs w:val="20"/>
              </w:rPr>
              <w:t>Prosumenten met terugdraaiende teller</w:t>
            </w:r>
          </w:p>
        </w:tc>
        <w:tc>
          <w:tcPr>
            <w:tcW w:w="6237" w:type="dxa"/>
          </w:tcPr>
          <w:p w14:paraId="6193EE4C" w14:textId="489BD587" w:rsidR="00DE2FE8" w:rsidRPr="00043B8D" w:rsidRDefault="00BD7CDA" w:rsidP="004831B1">
            <w:pPr>
              <w:pStyle w:val="Default"/>
              <w:jc w:val="both"/>
              <w:rPr>
                <w:rFonts w:ascii="Tahoma" w:hAnsi="Tahoma" w:cs="Tahoma"/>
                <w:sz w:val="20"/>
                <w:szCs w:val="20"/>
              </w:rPr>
            </w:pPr>
            <w:r w:rsidRPr="00043B8D">
              <w:rPr>
                <w:rFonts w:ascii="Tahoma" w:hAnsi="Tahoma" w:cs="Tahoma"/>
                <w:sz w:val="20"/>
                <w:szCs w:val="20"/>
              </w:rPr>
              <w:t xml:space="preserve">Prosumenten </w:t>
            </w:r>
            <w:r w:rsidR="004831B1" w:rsidRPr="00043B8D">
              <w:rPr>
                <w:rFonts w:ascii="Tahoma" w:hAnsi="Tahoma" w:cs="Tahoma"/>
                <w:sz w:val="20"/>
                <w:szCs w:val="20"/>
              </w:rPr>
              <w:t>van wie de</w:t>
            </w:r>
            <w:r w:rsidRPr="00043B8D">
              <w:rPr>
                <w:rFonts w:ascii="Tahoma" w:hAnsi="Tahoma" w:cs="Tahoma"/>
                <w:sz w:val="20"/>
                <w:szCs w:val="20"/>
              </w:rPr>
              <w:t xml:space="preserve"> aansluiting op het elektriciteitsdistributienet is uitgerust met een terugdraaiende teller.</w:t>
            </w:r>
          </w:p>
        </w:tc>
      </w:tr>
    </w:tbl>
    <w:p w14:paraId="7708F891" w14:textId="77777777" w:rsidR="00DE2FE8" w:rsidRPr="00043B8D" w:rsidRDefault="00DE2FE8" w:rsidP="00DE2FE8">
      <w:pPr>
        <w:jc w:val="left"/>
        <w:rPr>
          <w:rFonts w:cs="Arial"/>
        </w:rPr>
      </w:pPr>
    </w:p>
    <w:p w14:paraId="2E34DC8C" w14:textId="77777777" w:rsidR="00DE2FE8" w:rsidRPr="00043B8D" w:rsidRDefault="00DE2FE8" w:rsidP="00DE2FE8">
      <w:pPr>
        <w:rPr>
          <w:rFonts w:cs="Arial"/>
        </w:rPr>
      </w:pPr>
      <w:r w:rsidRPr="00043B8D">
        <w:rPr>
          <w:rFonts w:cs="Arial"/>
        </w:rPr>
        <w:t>Als een soort bijkomende klantengroep vermelden de distributienetbeheerders in hun rapporteringen ook de doorvoer van energie tussen de distributienetbeheerders onderling, met verdere onderverdeling volgens het spannings- of drukniveau van de koppelpunten tussen de respectievelijke elektriciteits- of aardgasdistributienetten waarlangs de doorvoer verloopt.</w:t>
      </w:r>
    </w:p>
    <w:p w14:paraId="3CFDB9CE" w14:textId="77777777" w:rsidR="00DE2FE8" w:rsidRPr="00043B8D" w:rsidRDefault="00DE2FE8" w:rsidP="00DE2FE8">
      <w:pPr>
        <w:rPr>
          <w:rFonts w:cs="Arial"/>
        </w:rPr>
      </w:pPr>
    </w:p>
    <w:p w14:paraId="6CCDF098" w14:textId="77777777" w:rsidR="00DE2FE8" w:rsidRPr="00043B8D" w:rsidRDefault="00DE2FE8" w:rsidP="00DE2FE8">
      <w:pPr>
        <w:rPr>
          <w:rFonts w:cs="Arial"/>
        </w:rPr>
      </w:pPr>
      <w:r w:rsidRPr="00043B8D">
        <w:rPr>
          <w:rFonts w:cs="Arial"/>
        </w:rPr>
        <w:t xml:space="preserve">Binnen een klantengroep kan een distributienetbeheerder een onderscheid maken naar gelang het type van aansluiting van de distributienetgebruiker op het distributienet (‘type of connection’). </w:t>
      </w:r>
    </w:p>
    <w:p w14:paraId="3393F27A" w14:textId="77777777" w:rsidR="00DE2FE8" w:rsidRPr="00043B8D" w:rsidRDefault="00DE2FE8" w:rsidP="00DE2FE8">
      <w:pPr>
        <w:jc w:val="left"/>
        <w:rPr>
          <w:rFonts w:cs="Arial"/>
        </w:rPr>
      </w:pPr>
    </w:p>
    <w:p w14:paraId="4DCA0484" w14:textId="77777777" w:rsidR="00DE2FE8" w:rsidRPr="00043B8D" w:rsidRDefault="00DE2FE8" w:rsidP="005251E2">
      <w:pPr>
        <w:pStyle w:val="Kop2"/>
        <w:numPr>
          <w:ilvl w:val="2"/>
          <w:numId w:val="24"/>
        </w:numPr>
        <w:rPr>
          <w:i/>
          <w:sz w:val="22"/>
          <w:szCs w:val="22"/>
        </w:rPr>
      </w:pPr>
      <w:bookmarkStart w:id="490" w:name="_Toc454186701"/>
      <w:r w:rsidRPr="00043B8D">
        <w:rPr>
          <w:i/>
          <w:sz w:val="22"/>
          <w:szCs w:val="22"/>
        </w:rPr>
        <w:t>Aardgasdistributie</w:t>
      </w:r>
      <w:bookmarkEnd w:id="490"/>
    </w:p>
    <w:p w14:paraId="5A1C1FC2" w14:textId="77777777" w:rsidR="00DE2FE8" w:rsidRPr="00043B8D" w:rsidRDefault="00DE2FE8" w:rsidP="00DE2FE8">
      <w:pPr>
        <w:jc w:val="left"/>
        <w:rPr>
          <w:rFonts w:cs="Arial"/>
        </w:rPr>
      </w:pPr>
    </w:p>
    <w:p w14:paraId="03FB2D39" w14:textId="01A0E028" w:rsidR="00DE2FE8" w:rsidRPr="00043B8D" w:rsidRDefault="00DE2FE8" w:rsidP="00DE2FE8">
      <w:pPr>
        <w:jc w:val="left"/>
        <w:rPr>
          <w:rFonts w:cs="Arial"/>
        </w:rPr>
      </w:pPr>
      <w:r w:rsidRPr="00043B8D">
        <w:rPr>
          <w:rFonts w:cs="Arial"/>
        </w:rPr>
        <w:t>De klantengroepen bij distributie van gas zijn de volgende volgens</w:t>
      </w:r>
      <w:r w:rsidR="00704FCC" w:rsidRPr="00043B8D">
        <w:rPr>
          <w:rFonts w:cs="Arial"/>
        </w:rPr>
        <w:t xml:space="preserve"> </w:t>
      </w:r>
      <w:r w:rsidR="00704FCC" w:rsidRPr="00043B8D">
        <w:rPr>
          <w:rFonts w:cs="Arial"/>
        </w:rPr>
        <w:fldChar w:fldCharType="begin"/>
      </w:r>
      <w:r w:rsidR="00704FCC" w:rsidRPr="00043B8D">
        <w:rPr>
          <w:rFonts w:cs="Arial"/>
        </w:rPr>
        <w:instrText xml:space="preserve"> REF _Ref399752486 \h </w:instrText>
      </w:r>
      <w:r w:rsidR="00043B8D">
        <w:rPr>
          <w:rFonts w:cs="Arial"/>
        </w:rPr>
        <w:instrText xml:space="preserve"> \* MERGEFORMAT </w:instrText>
      </w:r>
      <w:r w:rsidR="00704FCC" w:rsidRPr="00043B8D">
        <w:rPr>
          <w:rFonts w:cs="Arial"/>
        </w:rPr>
      </w:r>
      <w:r w:rsidR="00704FCC" w:rsidRPr="00043B8D">
        <w:rPr>
          <w:rFonts w:cs="Arial"/>
        </w:rPr>
        <w:fldChar w:fldCharType="separate"/>
      </w:r>
      <w:r w:rsidR="00B30F9B" w:rsidRPr="00043B8D">
        <w:t xml:space="preserve">Tabel </w:t>
      </w:r>
      <w:r w:rsidR="00B30F9B">
        <w:rPr>
          <w:noProof/>
        </w:rPr>
        <w:t>6</w:t>
      </w:r>
      <w:r w:rsidR="00704FCC" w:rsidRPr="00043B8D">
        <w:rPr>
          <w:rFonts w:cs="Arial"/>
        </w:rPr>
        <w:fldChar w:fldCharType="end"/>
      </w:r>
      <w:r w:rsidRPr="00043B8D">
        <w:rPr>
          <w:rFonts w:cs="Arial"/>
        </w:rPr>
        <w:t>:</w:t>
      </w:r>
    </w:p>
    <w:p w14:paraId="56028BB8" w14:textId="77777777" w:rsidR="00DE2FE8" w:rsidRPr="00043B8D" w:rsidRDefault="00DE2FE8" w:rsidP="00DE2FE8">
      <w:pPr>
        <w:jc w:val="left"/>
        <w:rPr>
          <w:rFonts w:cs="Arial"/>
        </w:rPr>
      </w:pPr>
      <w:r w:rsidRPr="00043B8D">
        <w:rPr>
          <w:rFonts w:cs="Arial"/>
        </w:rPr>
        <w:br w:type="page"/>
      </w:r>
    </w:p>
    <w:p w14:paraId="3AB6EB89" w14:textId="77777777" w:rsidR="00DE2FE8" w:rsidRPr="00043B8D" w:rsidRDefault="00DE2FE8" w:rsidP="00DE2FE8">
      <w:pPr>
        <w:jc w:val="left"/>
        <w:rPr>
          <w:rFonts w:cs="Arial"/>
        </w:rPr>
      </w:pPr>
    </w:p>
    <w:p w14:paraId="1676AA82" w14:textId="44B22F43" w:rsidR="00DE2FE8" w:rsidRPr="000D284A" w:rsidRDefault="00DE2FE8" w:rsidP="00654C50">
      <w:pPr>
        <w:pStyle w:val="Bijschrift"/>
        <w:keepNext/>
        <w:jc w:val="left"/>
        <w:rPr>
          <w:b w:val="0"/>
          <w:i/>
        </w:rPr>
      </w:pPr>
      <w:bookmarkStart w:id="491" w:name="_Ref399752486"/>
      <w:r w:rsidRPr="000D284A">
        <w:rPr>
          <w:b w:val="0"/>
          <w:i/>
        </w:rPr>
        <w:t xml:space="preserve">Tabel </w:t>
      </w:r>
      <w:r w:rsidRPr="000D284A">
        <w:rPr>
          <w:b w:val="0"/>
          <w:i/>
        </w:rPr>
        <w:fldChar w:fldCharType="begin"/>
      </w:r>
      <w:r w:rsidRPr="000D284A">
        <w:rPr>
          <w:b w:val="0"/>
          <w:i/>
        </w:rPr>
        <w:instrText xml:space="preserve"> SEQ Tabel \* ARABIC </w:instrText>
      </w:r>
      <w:r w:rsidRPr="000D284A">
        <w:rPr>
          <w:b w:val="0"/>
          <w:i/>
        </w:rPr>
        <w:fldChar w:fldCharType="separate"/>
      </w:r>
      <w:r w:rsidR="000D284A">
        <w:rPr>
          <w:b w:val="0"/>
          <w:i/>
          <w:noProof/>
        </w:rPr>
        <w:t>6</w:t>
      </w:r>
      <w:r w:rsidRPr="000D284A">
        <w:rPr>
          <w:b w:val="0"/>
          <w:i/>
        </w:rPr>
        <w:fldChar w:fldCharType="end"/>
      </w:r>
      <w:bookmarkEnd w:id="491"/>
      <w:r w:rsidRPr="000D284A">
        <w:rPr>
          <w:b w:val="0"/>
          <w:i/>
        </w:rPr>
        <w:t xml:space="preserve"> Klantengroepen aardgas</w:t>
      </w:r>
    </w:p>
    <w:tbl>
      <w:tblPr>
        <w:tblStyle w:val="Tabelraster"/>
        <w:tblW w:w="0" w:type="auto"/>
        <w:tblInd w:w="108" w:type="dxa"/>
        <w:tblLayout w:type="fixed"/>
        <w:tblCellMar>
          <w:top w:w="28" w:type="dxa"/>
          <w:bottom w:w="28" w:type="dxa"/>
        </w:tblCellMar>
        <w:tblLook w:val="04A0" w:firstRow="1" w:lastRow="0" w:firstColumn="1" w:lastColumn="0" w:noHBand="0" w:noVBand="1"/>
      </w:tblPr>
      <w:tblGrid>
        <w:gridCol w:w="1023"/>
        <w:gridCol w:w="1023"/>
        <w:gridCol w:w="1023"/>
        <w:gridCol w:w="1126"/>
        <w:gridCol w:w="1235"/>
        <w:gridCol w:w="1235"/>
        <w:gridCol w:w="1098"/>
        <w:gridCol w:w="1174"/>
      </w:tblGrid>
      <w:tr w:rsidR="00DE2FE8" w:rsidRPr="00043B8D" w14:paraId="1CEE2435" w14:textId="77777777" w:rsidTr="004066B0">
        <w:trPr>
          <w:cantSplit/>
        </w:trPr>
        <w:tc>
          <w:tcPr>
            <w:tcW w:w="4195" w:type="dxa"/>
            <w:gridSpan w:val="4"/>
          </w:tcPr>
          <w:p w14:paraId="6177F87E" w14:textId="77777777" w:rsidR="00DE2FE8" w:rsidRPr="00043B8D" w:rsidRDefault="00DE2FE8" w:rsidP="004066B0">
            <w:pPr>
              <w:jc w:val="center"/>
              <w:rPr>
                <w:rFonts w:cs="Arial"/>
              </w:rPr>
            </w:pPr>
            <w:r w:rsidRPr="00043B8D">
              <w:rPr>
                <w:rFonts w:cs="Arial"/>
              </w:rPr>
              <w:t>Niet telegemeten distributienetgebruiker</w:t>
            </w:r>
            <w:r w:rsidRPr="00043B8D">
              <w:rPr>
                <w:rStyle w:val="Voetnootmarkering"/>
                <w:rFonts w:cs="Arial"/>
              </w:rPr>
              <w:footnoteReference w:id="60"/>
            </w:r>
          </w:p>
        </w:tc>
        <w:tc>
          <w:tcPr>
            <w:tcW w:w="2470" w:type="dxa"/>
            <w:gridSpan w:val="2"/>
          </w:tcPr>
          <w:p w14:paraId="5284ED9D" w14:textId="77777777" w:rsidR="00DE2FE8" w:rsidRPr="00043B8D" w:rsidRDefault="00DE2FE8" w:rsidP="004066B0">
            <w:pPr>
              <w:jc w:val="center"/>
              <w:rPr>
                <w:rFonts w:cs="Arial"/>
              </w:rPr>
            </w:pPr>
            <w:r w:rsidRPr="00043B8D">
              <w:rPr>
                <w:rFonts w:cs="Arial"/>
              </w:rPr>
              <w:t xml:space="preserve">Telegemeten distributienetgebruikers </w:t>
            </w:r>
          </w:p>
        </w:tc>
        <w:tc>
          <w:tcPr>
            <w:tcW w:w="2272" w:type="dxa"/>
            <w:gridSpan w:val="2"/>
          </w:tcPr>
          <w:p w14:paraId="509C72D5" w14:textId="77777777" w:rsidR="00DE2FE8" w:rsidRPr="00043B8D" w:rsidRDefault="00DE2FE8" w:rsidP="004066B0">
            <w:pPr>
              <w:jc w:val="center"/>
              <w:rPr>
                <w:rFonts w:cs="Arial"/>
              </w:rPr>
            </w:pPr>
            <w:r w:rsidRPr="00043B8D">
              <w:rPr>
                <w:rFonts w:cs="Arial"/>
              </w:rPr>
              <w:t>Doorvoer</w:t>
            </w:r>
          </w:p>
        </w:tc>
      </w:tr>
      <w:tr w:rsidR="00DE2FE8" w:rsidRPr="00043B8D" w14:paraId="2A6F3462" w14:textId="77777777" w:rsidTr="004066B0">
        <w:trPr>
          <w:cantSplit/>
        </w:trPr>
        <w:tc>
          <w:tcPr>
            <w:tcW w:w="4195" w:type="dxa"/>
            <w:gridSpan w:val="4"/>
          </w:tcPr>
          <w:p w14:paraId="76EFBC06" w14:textId="77777777" w:rsidR="00DE2FE8" w:rsidRPr="00043B8D" w:rsidRDefault="00DE2FE8" w:rsidP="004066B0">
            <w:pPr>
              <w:jc w:val="center"/>
              <w:rPr>
                <w:rFonts w:cs="Arial"/>
              </w:rPr>
            </w:pPr>
            <w:r w:rsidRPr="00043B8D">
              <w:rPr>
                <w:rFonts w:cs="Arial"/>
              </w:rPr>
              <w:t>Jaarverbruik (kWh)</w:t>
            </w:r>
          </w:p>
        </w:tc>
        <w:tc>
          <w:tcPr>
            <w:tcW w:w="2470" w:type="dxa"/>
            <w:gridSpan w:val="2"/>
          </w:tcPr>
          <w:p w14:paraId="660D29EA" w14:textId="77777777" w:rsidR="00DE2FE8" w:rsidRPr="00043B8D" w:rsidRDefault="00DE2FE8" w:rsidP="004066B0">
            <w:pPr>
              <w:jc w:val="center"/>
              <w:rPr>
                <w:rFonts w:cs="Arial"/>
              </w:rPr>
            </w:pPr>
            <w:r w:rsidRPr="00043B8D">
              <w:rPr>
                <w:rFonts w:cs="Arial"/>
              </w:rPr>
              <w:t>Jaarverbruik (kWh)</w:t>
            </w:r>
          </w:p>
        </w:tc>
        <w:tc>
          <w:tcPr>
            <w:tcW w:w="1098" w:type="dxa"/>
            <w:vMerge w:val="restart"/>
          </w:tcPr>
          <w:p w14:paraId="220DDA0A" w14:textId="77777777" w:rsidR="00DE2FE8" w:rsidRPr="00043B8D" w:rsidRDefault="00DE2FE8" w:rsidP="004066B0">
            <w:pPr>
              <w:jc w:val="center"/>
              <w:rPr>
                <w:rFonts w:cs="Arial"/>
              </w:rPr>
            </w:pPr>
            <w:r w:rsidRPr="00043B8D">
              <w:rPr>
                <w:rFonts w:cs="Arial"/>
              </w:rPr>
              <w:t>Lage druk</w:t>
            </w:r>
          </w:p>
        </w:tc>
        <w:tc>
          <w:tcPr>
            <w:tcW w:w="1174" w:type="dxa"/>
            <w:vMerge w:val="restart"/>
          </w:tcPr>
          <w:p w14:paraId="087277EB" w14:textId="77777777" w:rsidR="00DE2FE8" w:rsidRPr="00043B8D" w:rsidRDefault="00DE2FE8" w:rsidP="004066B0">
            <w:pPr>
              <w:jc w:val="center"/>
              <w:rPr>
                <w:rFonts w:cs="Arial"/>
              </w:rPr>
            </w:pPr>
            <w:r w:rsidRPr="00043B8D">
              <w:rPr>
                <w:rFonts w:cs="Arial"/>
              </w:rPr>
              <w:t>Midden-druk</w:t>
            </w:r>
          </w:p>
        </w:tc>
      </w:tr>
      <w:tr w:rsidR="00DE2FE8" w:rsidRPr="00043B8D" w14:paraId="23F4782B" w14:textId="77777777" w:rsidTr="004066B0">
        <w:trPr>
          <w:cantSplit/>
        </w:trPr>
        <w:tc>
          <w:tcPr>
            <w:tcW w:w="1023" w:type="dxa"/>
          </w:tcPr>
          <w:p w14:paraId="07396E6B" w14:textId="77777777" w:rsidR="00DE2FE8" w:rsidRPr="00043B8D" w:rsidRDefault="00DE2FE8" w:rsidP="004066B0">
            <w:pPr>
              <w:jc w:val="left"/>
              <w:rPr>
                <w:rFonts w:cs="Arial"/>
                <w:sz w:val="16"/>
                <w:szCs w:val="16"/>
              </w:rPr>
            </w:pPr>
            <w:r w:rsidRPr="00043B8D">
              <w:rPr>
                <w:rFonts w:cs="Arial"/>
                <w:sz w:val="16"/>
                <w:szCs w:val="16"/>
              </w:rPr>
              <w:t>0 – 5.000</w:t>
            </w:r>
          </w:p>
        </w:tc>
        <w:tc>
          <w:tcPr>
            <w:tcW w:w="1023" w:type="dxa"/>
          </w:tcPr>
          <w:p w14:paraId="414DB80B" w14:textId="77777777" w:rsidR="00DE2FE8" w:rsidRPr="00043B8D" w:rsidRDefault="00DE2FE8" w:rsidP="004066B0">
            <w:pPr>
              <w:jc w:val="left"/>
              <w:rPr>
                <w:rFonts w:cs="Arial"/>
                <w:sz w:val="16"/>
                <w:szCs w:val="16"/>
              </w:rPr>
            </w:pPr>
            <w:r w:rsidRPr="00043B8D">
              <w:rPr>
                <w:rFonts w:cs="Arial"/>
                <w:sz w:val="16"/>
                <w:szCs w:val="16"/>
              </w:rPr>
              <w:t>5.001-150.000</w:t>
            </w:r>
          </w:p>
        </w:tc>
        <w:tc>
          <w:tcPr>
            <w:tcW w:w="1023" w:type="dxa"/>
          </w:tcPr>
          <w:p w14:paraId="5D9A482C" w14:textId="77777777" w:rsidR="00DE2FE8" w:rsidRPr="00043B8D" w:rsidRDefault="00DE2FE8" w:rsidP="004066B0">
            <w:pPr>
              <w:jc w:val="left"/>
              <w:rPr>
                <w:rFonts w:cs="Arial"/>
                <w:sz w:val="16"/>
                <w:szCs w:val="16"/>
              </w:rPr>
            </w:pPr>
            <w:r w:rsidRPr="00043B8D">
              <w:rPr>
                <w:rFonts w:cs="Arial"/>
                <w:sz w:val="16"/>
                <w:szCs w:val="16"/>
              </w:rPr>
              <w:t>150.001 – 1.000.000</w:t>
            </w:r>
          </w:p>
        </w:tc>
        <w:tc>
          <w:tcPr>
            <w:tcW w:w="1126" w:type="dxa"/>
          </w:tcPr>
          <w:p w14:paraId="02CFB972" w14:textId="77777777" w:rsidR="00DE2FE8" w:rsidRPr="00043B8D" w:rsidRDefault="00DE2FE8" w:rsidP="004066B0">
            <w:pPr>
              <w:jc w:val="left"/>
              <w:rPr>
                <w:rFonts w:cs="Arial"/>
                <w:sz w:val="16"/>
                <w:szCs w:val="16"/>
              </w:rPr>
            </w:pPr>
            <w:r w:rsidRPr="00043B8D">
              <w:rPr>
                <w:rFonts w:cs="Arial"/>
                <w:sz w:val="16"/>
                <w:szCs w:val="16"/>
              </w:rPr>
              <w:t>&gt;1.000.000</w:t>
            </w:r>
          </w:p>
        </w:tc>
        <w:tc>
          <w:tcPr>
            <w:tcW w:w="1235" w:type="dxa"/>
          </w:tcPr>
          <w:p w14:paraId="760A0EBF" w14:textId="77777777" w:rsidR="00DE2FE8" w:rsidRPr="00043B8D" w:rsidRDefault="00DE2FE8" w:rsidP="004066B0">
            <w:pPr>
              <w:jc w:val="left"/>
              <w:rPr>
                <w:rFonts w:cs="Arial"/>
                <w:sz w:val="16"/>
                <w:szCs w:val="16"/>
              </w:rPr>
            </w:pPr>
            <w:r w:rsidRPr="00043B8D">
              <w:rPr>
                <w:rFonts w:cs="Arial"/>
                <w:sz w:val="16"/>
                <w:szCs w:val="16"/>
              </w:rPr>
              <w:t>&lt;10.000.000</w:t>
            </w:r>
          </w:p>
        </w:tc>
        <w:tc>
          <w:tcPr>
            <w:tcW w:w="1235" w:type="dxa"/>
          </w:tcPr>
          <w:p w14:paraId="7AE4A867" w14:textId="77777777" w:rsidR="00DE2FE8" w:rsidRPr="00043B8D" w:rsidRDefault="00DE2FE8" w:rsidP="004066B0">
            <w:pPr>
              <w:jc w:val="left"/>
              <w:rPr>
                <w:rFonts w:cs="Arial"/>
                <w:sz w:val="16"/>
                <w:szCs w:val="16"/>
              </w:rPr>
            </w:pPr>
            <w:r w:rsidRPr="00043B8D">
              <w:rPr>
                <w:rFonts w:cs="Arial"/>
                <w:sz w:val="16"/>
                <w:szCs w:val="16"/>
              </w:rPr>
              <w:t>&gt;10.000.000</w:t>
            </w:r>
          </w:p>
        </w:tc>
        <w:tc>
          <w:tcPr>
            <w:tcW w:w="1098" w:type="dxa"/>
            <w:vMerge/>
          </w:tcPr>
          <w:p w14:paraId="311D614B" w14:textId="77777777" w:rsidR="00DE2FE8" w:rsidRPr="00043B8D" w:rsidRDefault="00DE2FE8" w:rsidP="004066B0">
            <w:pPr>
              <w:jc w:val="left"/>
              <w:rPr>
                <w:rFonts w:cs="Arial"/>
              </w:rPr>
            </w:pPr>
          </w:p>
        </w:tc>
        <w:tc>
          <w:tcPr>
            <w:tcW w:w="1174" w:type="dxa"/>
            <w:vMerge/>
          </w:tcPr>
          <w:p w14:paraId="4F2A470C" w14:textId="77777777" w:rsidR="00DE2FE8" w:rsidRPr="00043B8D" w:rsidRDefault="00DE2FE8" w:rsidP="004066B0">
            <w:pPr>
              <w:jc w:val="left"/>
              <w:rPr>
                <w:rFonts w:cs="Arial"/>
              </w:rPr>
            </w:pPr>
          </w:p>
        </w:tc>
      </w:tr>
    </w:tbl>
    <w:p w14:paraId="5C457778" w14:textId="77777777" w:rsidR="0058483F" w:rsidRPr="00043B8D" w:rsidRDefault="0058483F" w:rsidP="0031696F">
      <w:bookmarkStart w:id="492" w:name="_Toc399749544"/>
      <w:bookmarkStart w:id="493" w:name="_Toc399749827"/>
      <w:bookmarkStart w:id="494" w:name="_Toc399749960"/>
      <w:bookmarkEnd w:id="492"/>
      <w:bookmarkEnd w:id="493"/>
      <w:bookmarkEnd w:id="494"/>
    </w:p>
    <w:p w14:paraId="4FACE5EC" w14:textId="53E728C9" w:rsidR="00C0501E" w:rsidRPr="00043B8D" w:rsidRDefault="00C0501E" w:rsidP="00C55D3E">
      <w:pPr>
        <w:pStyle w:val="Kop2"/>
      </w:pPr>
      <w:bookmarkStart w:id="495" w:name="_Ref390172069"/>
      <w:bookmarkStart w:id="496" w:name="_Toc454186702"/>
      <w:r w:rsidRPr="00043B8D">
        <w:t>Periodieke distributienettarieven</w:t>
      </w:r>
      <w:bookmarkEnd w:id="495"/>
      <w:bookmarkEnd w:id="496"/>
      <w:r w:rsidRPr="00043B8D">
        <w:t xml:space="preserve"> </w:t>
      </w:r>
    </w:p>
    <w:p w14:paraId="768B473C" w14:textId="77777777" w:rsidR="0031696F" w:rsidRPr="00043B8D" w:rsidRDefault="0031696F" w:rsidP="005251E2">
      <w:pPr>
        <w:pStyle w:val="Lijstalinea"/>
        <w:keepNext/>
        <w:numPr>
          <w:ilvl w:val="1"/>
          <w:numId w:val="24"/>
        </w:numPr>
        <w:spacing w:before="240" w:after="60"/>
        <w:jc w:val="left"/>
        <w:outlineLvl w:val="1"/>
        <w:rPr>
          <w:rFonts w:cs="Arial"/>
          <w:b/>
          <w:bCs/>
          <w:i/>
          <w:iCs/>
          <w:vanish/>
          <w:sz w:val="22"/>
          <w:szCs w:val="22"/>
        </w:rPr>
      </w:pPr>
      <w:bookmarkStart w:id="497" w:name="_Toc391999578"/>
      <w:bookmarkStart w:id="498" w:name="_Toc392057064"/>
      <w:bookmarkStart w:id="499" w:name="_Toc392058134"/>
      <w:bookmarkStart w:id="500" w:name="_Toc392059055"/>
      <w:bookmarkStart w:id="501" w:name="_Toc392059138"/>
      <w:bookmarkStart w:id="502" w:name="_Toc392233084"/>
      <w:bookmarkStart w:id="503" w:name="_Toc392484804"/>
      <w:bookmarkStart w:id="504" w:name="_Toc392498998"/>
      <w:bookmarkStart w:id="505" w:name="_Toc392584596"/>
      <w:bookmarkStart w:id="506" w:name="_Toc392585983"/>
      <w:bookmarkStart w:id="507" w:name="_Toc392589747"/>
      <w:bookmarkStart w:id="508" w:name="_Toc392589889"/>
      <w:bookmarkStart w:id="509" w:name="_Toc392589978"/>
      <w:bookmarkStart w:id="510" w:name="_Toc392676075"/>
      <w:bookmarkStart w:id="511" w:name="_Toc392686931"/>
      <w:bookmarkStart w:id="512" w:name="_Toc392687016"/>
      <w:bookmarkStart w:id="513" w:name="_Toc392688114"/>
      <w:bookmarkStart w:id="514" w:name="_Toc392768433"/>
      <w:bookmarkStart w:id="515" w:name="_Toc392768729"/>
      <w:bookmarkStart w:id="516" w:name="_Toc392772164"/>
      <w:bookmarkStart w:id="517" w:name="_Toc393093639"/>
      <w:bookmarkStart w:id="518" w:name="_Toc393093831"/>
      <w:bookmarkStart w:id="519" w:name="_Toc393201106"/>
      <w:bookmarkStart w:id="520" w:name="_Toc393201191"/>
      <w:bookmarkStart w:id="521" w:name="_Toc393201670"/>
      <w:bookmarkStart w:id="522" w:name="_Toc393201755"/>
      <w:bookmarkStart w:id="523" w:name="_Toc393205520"/>
      <w:bookmarkStart w:id="524" w:name="_Toc393266992"/>
      <w:bookmarkStart w:id="525" w:name="_Toc398642138"/>
      <w:bookmarkStart w:id="526" w:name="_Toc399421498"/>
      <w:bookmarkStart w:id="527" w:name="_Toc399749546"/>
      <w:bookmarkStart w:id="528" w:name="_Toc399749829"/>
      <w:bookmarkStart w:id="529" w:name="_Toc399749962"/>
      <w:bookmarkStart w:id="530" w:name="_Toc399767211"/>
      <w:bookmarkStart w:id="531" w:name="_Toc399767301"/>
      <w:bookmarkStart w:id="532" w:name="_Toc399846871"/>
      <w:bookmarkStart w:id="533" w:name="_Toc399847066"/>
      <w:bookmarkStart w:id="534" w:name="_Toc399848559"/>
      <w:bookmarkStart w:id="535" w:name="_Toc421105707"/>
      <w:bookmarkStart w:id="536" w:name="_Toc424033104"/>
      <w:bookmarkStart w:id="537" w:name="_Toc424038201"/>
      <w:bookmarkStart w:id="538" w:name="_Toc430157377"/>
      <w:bookmarkStart w:id="539" w:name="_Toc431470811"/>
      <w:bookmarkStart w:id="540" w:name="_Toc431470902"/>
      <w:bookmarkStart w:id="541" w:name="_Toc431470993"/>
      <w:bookmarkStart w:id="542" w:name="_Toc431471084"/>
      <w:bookmarkStart w:id="543" w:name="_Toc434257285"/>
      <w:bookmarkStart w:id="544" w:name="_Toc434407084"/>
      <w:bookmarkStart w:id="545" w:name="_Toc434407263"/>
      <w:bookmarkStart w:id="546" w:name="_Toc434408016"/>
      <w:bookmarkStart w:id="547" w:name="_Toc434408116"/>
      <w:bookmarkStart w:id="548" w:name="_Toc434408216"/>
      <w:bookmarkStart w:id="549" w:name="_Toc434408531"/>
      <w:bookmarkStart w:id="550" w:name="_Toc437246300"/>
      <w:bookmarkStart w:id="551" w:name="_Toc447635547"/>
      <w:bookmarkStart w:id="552" w:name="_Toc447722359"/>
      <w:bookmarkStart w:id="553" w:name="_Toc454186703"/>
      <w:bookmarkStart w:id="554" w:name="_Ref390249878"/>
      <w:bookmarkStart w:id="555" w:name="_Ref391995775"/>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p>
    <w:p w14:paraId="3561E164" w14:textId="360846A7" w:rsidR="009729FE" w:rsidRPr="00043B8D" w:rsidRDefault="009729FE" w:rsidP="005251E2">
      <w:pPr>
        <w:pStyle w:val="Kop2"/>
        <w:numPr>
          <w:ilvl w:val="2"/>
          <w:numId w:val="24"/>
        </w:numPr>
        <w:rPr>
          <w:i/>
          <w:sz w:val="22"/>
          <w:szCs w:val="22"/>
        </w:rPr>
      </w:pPr>
      <w:bookmarkStart w:id="556" w:name="_Toc454186704"/>
      <w:r w:rsidRPr="00043B8D">
        <w:rPr>
          <w:i/>
          <w:sz w:val="22"/>
          <w:szCs w:val="22"/>
        </w:rPr>
        <w:t>Elektriciteitsdistributie</w:t>
      </w:r>
      <w:bookmarkEnd w:id="554"/>
      <w:bookmarkEnd w:id="555"/>
      <w:bookmarkEnd w:id="556"/>
    </w:p>
    <w:p w14:paraId="07108682" w14:textId="77777777" w:rsidR="009729FE" w:rsidRPr="00043B8D" w:rsidRDefault="009729FE" w:rsidP="00C0501E">
      <w:pPr>
        <w:jc w:val="left"/>
        <w:rPr>
          <w:rFonts w:cs="Arial"/>
        </w:rPr>
      </w:pPr>
    </w:p>
    <w:p w14:paraId="2004E027" w14:textId="13C3FF94" w:rsidR="0058483F" w:rsidRPr="00043B8D" w:rsidRDefault="00B50C81" w:rsidP="0031696F">
      <w:pPr>
        <w:rPr>
          <w:rFonts w:cs="Arial"/>
        </w:rPr>
      </w:pPr>
      <w:r w:rsidRPr="00043B8D">
        <w:rPr>
          <w:rFonts w:cs="Arial"/>
        </w:rPr>
        <w:t xml:space="preserve">De tariefstructuur voor de periodieke distributienettarieven voor elektriciteitsdistributie wordt weergegeven in </w:t>
      </w:r>
      <w:r w:rsidR="00704FCC" w:rsidRPr="00043B8D">
        <w:fldChar w:fldCharType="begin"/>
      </w:r>
      <w:r w:rsidR="00704FCC" w:rsidRPr="00043B8D">
        <w:rPr>
          <w:rFonts w:cs="Arial"/>
        </w:rPr>
        <w:instrText xml:space="preserve"> REF _Ref390178671 \h </w:instrText>
      </w:r>
      <w:r w:rsidR="00043B8D">
        <w:instrText xml:space="preserve"> \* MERGEFORMAT </w:instrText>
      </w:r>
      <w:r w:rsidR="00704FCC" w:rsidRPr="00043B8D">
        <w:fldChar w:fldCharType="separate"/>
      </w:r>
      <w:r w:rsidR="00B30F9B" w:rsidRPr="00043B8D">
        <w:t xml:space="preserve">Tabel </w:t>
      </w:r>
      <w:r w:rsidR="00B30F9B">
        <w:rPr>
          <w:noProof/>
        </w:rPr>
        <w:t>7</w:t>
      </w:r>
      <w:r w:rsidR="00704FCC" w:rsidRPr="00043B8D">
        <w:fldChar w:fldCharType="end"/>
      </w:r>
      <w:r w:rsidR="00704FCC" w:rsidRPr="00043B8D">
        <w:t xml:space="preserve"> </w:t>
      </w:r>
      <w:r w:rsidR="0058483F" w:rsidRPr="00043B8D">
        <w:rPr>
          <w:rFonts w:cs="Arial"/>
        </w:rPr>
        <w:t>op volgende bladzijde</w:t>
      </w:r>
      <w:r w:rsidRPr="00043B8D">
        <w:rPr>
          <w:rFonts w:cs="Arial"/>
        </w:rPr>
        <w:t>.</w:t>
      </w:r>
    </w:p>
    <w:p w14:paraId="164789BA" w14:textId="77777777" w:rsidR="0058483F" w:rsidRPr="00043B8D" w:rsidRDefault="0058483F">
      <w:pPr>
        <w:jc w:val="left"/>
        <w:rPr>
          <w:rFonts w:cs="Arial"/>
        </w:rPr>
      </w:pPr>
      <w:r w:rsidRPr="00043B8D">
        <w:rPr>
          <w:rFonts w:cs="Arial"/>
        </w:rPr>
        <w:br w:type="page"/>
      </w:r>
    </w:p>
    <w:p w14:paraId="0F89C12D" w14:textId="280AE7D8" w:rsidR="00B50C81" w:rsidRPr="000D284A" w:rsidRDefault="00B50C81" w:rsidP="00654C50">
      <w:pPr>
        <w:pStyle w:val="Bijschrift"/>
        <w:jc w:val="left"/>
        <w:rPr>
          <w:b w:val="0"/>
          <w:i/>
        </w:rPr>
      </w:pPr>
      <w:bookmarkStart w:id="557" w:name="_Ref390178671"/>
      <w:r w:rsidRPr="000D284A">
        <w:rPr>
          <w:b w:val="0"/>
          <w:i/>
        </w:rPr>
        <w:t xml:space="preserve">Tabel </w:t>
      </w:r>
      <w:r w:rsidRPr="000D284A">
        <w:rPr>
          <w:b w:val="0"/>
          <w:i/>
        </w:rPr>
        <w:fldChar w:fldCharType="begin"/>
      </w:r>
      <w:r w:rsidRPr="000D284A">
        <w:rPr>
          <w:b w:val="0"/>
          <w:i/>
        </w:rPr>
        <w:instrText xml:space="preserve"> SEQ Tabel \* ARABIC </w:instrText>
      </w:r>
      <w:r w:rsidRPr="000D284A">
        <w:rPr>
          <w:b w:val="0"/>
          <w:i/>
        </w:rPr>
        <w:fldChar w:fldCharType="separate"/>
      </w:r>
      <w:r w:rsidR="000D284A">
        <w:rPr>
          <w:b w:val="0"/>
          <w:i/>
          <w:noProof/>
        </w:rPr>
        <w:t>7</w:t>
      </w:r>
      <w:r w:rsidRPr="000D284A">
        <w:rPr>
          <w:b w:val="0"/>
          <w:i/>
        </w:rPr>
        <w:fldChar w:fldCharType="end"/>
      </w:r>
      <w:bookmarkEnd w:id="557"/>
      <w:r w:rsidRPr="000D284A">
        <w:rPr>
          <w:b w:val="0"/>
          <w:i/>
        </w:rPr>
        <w:t xml:space="preserve"> Tariefstructuur distributie elektriciteit</w:t>
      </w:r>
    </w:p>
    <w:tbl>
      <w:tblPr>
        <w:tblStyle w:val="Tabelraster"/>
        <w:tblW w:w="0" w:type="auto"/>
        <w:tblCellMar>
          <w:top w:w="57" w:type="dxa"/>
          <w:bottom w:w="57" w:type="dxa"/>
        </w:tblCellMar>
        <w:tblLook w:val="04A0" w:firstRow="1" w:lastRow="0" w:firstColumn="1" w:lastColumn="0" w:noHBand="0" w:noVBand="1"/>
      </w:tblPr>
      <w:tblGrid>
        <w:gridCol w:w="468"/>
        <w:gridCol w:w="2759"/>
        <w:gridCol w:w="2661"/>
        <w:gridCol w:w="3398"/>
      </w:tblGrid>
      <w:tr w:rsidR="00916AE4" w:rsidRPr="00043B8D" w14:paraId="3A827C7F" w14:textId="77777777" w:rsidTr="00421179">
        <w:trPr>
          <w:cantSplit/>
        </w:trPr>
        <w:tc>
          <w:tcPr>
            <w:tcW w:w="9286" w:type="dxa"/>
            <w:gridSpan w:val="4"/>
          </w:tcPr>
          <w:p w14:paraId="32C49485" w14:textId="77777777" w:rsidR="00916AE4" w:rsidRPr="00043B8D" w:rsidRDefault="00916AE4" w:rsidP="00194936">
            <w:pPr>
              <w:jc w:val="center"/>
              <w:rPr>
                <w:rFonts w:cs="Arial"/>
                <w:b/>
                <w:sz w:val="18"/>
                <w:szCs w:val="18"/>
              </w:rPr>
            </w:pPr>
            <w:r w:rsidRPr="00043B8D">
              <w:rPr>
                <w:rFonts w:cs="Arial"/>
                <w:b/>
                <w:sz w:val="18"/>
                <w:szCs w:val="18"/>
              </w:rPr>
              <w:t>Tariefstructuur activiteit distributie elektriciteit</w:t>
            </w:r>
          </w:p>
        </w:tc>
      </w:tr>
      <w:tr w:rsidR="00916AE4" w:rsidRPr="00043B8D" w14:paraId="36DB5676" w14:textId="77777777" w:rsidTr="00421179">
        <w:trPr>
          <w:cantSplit/>
        </w:trPr>
        <w:tc>
          <w:tcPr>
            <w:tcW w:w="468" w:type="dxa"/>
          </w:tcPr>
          <w:p w14:paraId="3AEEE73C" w14:textId="77777777" w:rsidR="00916AE4" w:rsidRPr="00043B8D" w:rsidRDefault="00916AE4" w:rsidP="00194936">
            <w:pPr>
              <w:ind w:left="708"/>
              <w:jc w:val="left"/>
              <w:rPr>
                <w:rFonts w:cs="Arial"/>
                <w:sz w:val="18"/>
                <w:szCs w:val="18"/>
              </w:rPr>
            </w:pPr>
          </w:p>
        </w:tc>
        <w:tc>
          <w:tcPr>
            <w:tcW w:w="2759" w:type="dxa"/>
          </w:tcPr>
          <w:p w14:paraId="7A29AD21" w14:textId="7BF4F05B" w:rsidR="00916AE4" w:rsidRPr="00043B8D" w:rsidRDefault="00916AE4" w:rsidP="00146580">
            <w:pPr>
              <w:ind w:left="175"/>
              <w:jc w:val="left"/>
              <w:rPr>
                <w:rFonts w:cs="Arial"/>
                <w:b/>
                <w:sz w:val="18"/>
                <w:szCs w:val="18"/>
              </w:rPr>
            </w:pPr>
            <w:r w:rsidRPr="00043B8D">
              <w:rPr>
                <w:rFonts w:cs="Arial"/>
                <w:b/>
                <w:sz w:val="18"/>
                <w:szCs w:val="18"/>
              </w:rPr>
              <w:t>Periodiek tarief</w:t>
            </w:r>
          </w:p>
        </w:tc>
        <w:tc>
          <w:tcPr>
            <w:tcW w:w="2661" w:type="dxa"/>
          </w:tcPr>
          <w:p w14:paraId="2BE3BE01" w14:textId="77777777" w:rsidR="00916AE4" w:rsidRPr="00043B8D" w:rsidRDefault="00CC7C95" w:rsidP="00436594">
            <w:pPr>
              <w:rPr>
                <w:rFonts w:cs="Arial"/>
                <w:b/>
                <w:sz w:val="18"/>
                <w:szCs w:val="18"/>
              </w:rPr>
            </w:pPr>
            <w:r w:rsidRPr="00043B8D">
              <w:rPr>
                <w:rFonts w:cs="Arial"/>
                <w:b/>
                <w:sz w:val="18"/>
                <w:szCs w:val="18"/>
              </w:rPr>
              <w:t>T</w:t>
            </w:r>
            <w:r w:rsidR="004B59B6" w:rsidRPr="00043B8D">
              <w:rPr>
                <w:rFonts w:cs="Arial"/>
                <w:b/>
                <w:sz w:val="18"/>
                <w:szCs w:val="18"/>
              </w:rPr>
              <w:t>o</w:t>
            </w:r>
            <w:r w:rsidRPr="00043B8D">
              <w:rPr>
                <w:rFonts w:cs="Arial"/>
                <w:b/>
                <w:sz w:val="18"/>
                <w:szCs w:val="18"/>
              </w:rPr>
              <w:t>e</w:t>
            </w:r>
            <w:r w:rsidR="00436594" w:rsidRPr="00043B8D">
              <w:rPr>
                <w:rFonts w:cs="Arial"/>
                <w:b/>
                <w:sz w:val="18"/>
                <w:szCs w:val="18"/>
              </w:rPr>
              <w:t xml:space="preserve"> te wijzen </w:t>
            </w:r>
            <w:r w:rsidR="00916AE4" w:rsidRPr="00043B8D">
              <w:rPr>
                <w:rFonts w:cs="Arial"/>
                <w:b/>
                <w:sz w:val="18"/>
                <w:szCs w:val="18"/>
              </w:rPr>
              <w:t>kosten</w:t>
            </w:r>
          </w:p>
        </w:tc>
        <w:tc>
          <w:tcPr>
            <w:tcW w:w="3398" w:type="dxa"/>
          </w:tcPr>
          <w:p w14:paraId="5AFCFF4F" w14:textId="24D0213E" w:rsidR="00916AE4" w:rsidRPr="00043B8D" w:rsidRDefault="00916AE4" w:rsidP="00424D42">
            <w:pPr>
              <w:rPr>
                <w:rFonts w:cs="Arial"/>
                <w:b/>
                <w:sz w:val="18"/>
                <w:szCs w:val="18"/>
              </w:rPr>
            </w:pPr>
            <w:r w:rsidRPr="00043B8D">
              <w:rPr>
                <w:rFonts w:cs="Arial"/>
                <w:b/>
                <w:sz w:val="18"/>
                <w:szCs w:val="18"/>
              </w:rPr>
              <w:t>Tariefdragers</w:t>
            </w:r>
            <w:r w:rsidR="008A291B" w:rsidRPr="00043B8D">
              <w:rPr>
                <w:rStyle w:val="Voetnootmarkering"/>
                <w:rFonts w:cs="Arial"/>
                <w:b/>
                <w:sz w:val="18"/>
                <w:szCs w:val="18"/>
              </w:rPr>
              <w:footnoteReference w:id="61"/>
            </w:r>
          </w:p>
        </w:tc>
      </w:tr>
      <w:tr w:rsidR="00916AE4" w:rsidRPr="00043B8D" w14:paraId="1121D51E" w14:textId="77777777" w:rsidTr="00421179">
        <w:trPr>
          <w:cantSplit/>
        </w:trPr>
        <w:tc>
          <w:tcPr>
            <w:tcW w:w="468" w:type="dxa"/>
            <w:vMerge w:val="restart"/>
          </w:tcPr>
          <w:p w14:paraId="1790C1C4" w14:textId="77777777" w:rsidR="00916AE4" w:rsidRPr="00043B8D" w:rsidRDefault="00916AE4" w:rsidP="00194936">
            <w:pPr>
              <w:ind w:left="142"/>
              <w:jc w:val="left"/>
              <w:rPr>
                <w:rFonts w:cs="Arial"/>
                <w:sz w:val="18"/>
                <w:szCs w:val="18"/>
              </w:rPr>
            </w:pPr>
            <w:r w:rsidRPr="00043B8D">
              <w:rPr>
                <w:rFonts w:cs="Arial"/>
                <w:sz w:val="18"/>
                <w:szCs w:val="18"/>
              </w:rPr>
              <w:t>1</w:t>
            </w:r>
          </w:p>
        </w:tc>
        <w:tc>
          <w:tcPr>
            <w:tcW w:w="2759" w:type="dxa"/>
            <w:tcBorders>
              <w:bottom w:val="dashSmallGap" w:sz="4" w:space="0" w:color="auto"/>
            </w:tcBorders>
          </w:tcPr>
          <w:p w14:paraId="276627F7" w14:textId="77777777" w:rsidR="00916AE4" w:rsidRPr="00043B8D" w:rsidRDefault="00916AE4" w:rsidP="00D4199F">
            <w:pPr>
              <w:ind w:left="175"/>
              <w:jc w:val="left"/>
              <w:rPr>
                <w:rFonts w:cs="Arial"/>
                <w:sz w:val="18"/>
                <w:szCs w:val="18"/>
              </w:rPr>
            </w:pPr>
            <w:r w:rsidRPr="00043B8D">
              <w:rPr>
                <w:rFonts w:cs="Arial"/>
                <w:sz w:val="18"/>
                <w:szCs w:val="18"/>
              </w:rPr>
              <w:t>het tarief voor het gebruik van het distributienet</w:t>
            </w:r>
          </w:p>
        </w:tc>
        <w:tc>
          <w:tcPr>
            <w:tcW w:w="2661" w:type="dxa"/>
            <w:tcBorders>
              <w:bottom w:val="dashSmallGap" w:sz="4" w:space="0" w:color="auto"/>
            </w:tcBorders>
          </w:tcPr>
          <w:p w14:paraId="1517E535" w14:textId="77777777" w:rsidR="00916AE4" w:rsidRPr="00043B8D" w:rsidRDefault="00916AE4" w:rsidP="00436594">
            <w:pPr>
              <w:rPr>
                <w:rFonts w:cs="Arial"/>
                <w:sz w:val="18"/>
                <w:szCs w:val="18"/>
              </w:rPr>
            </w:pPr>
          </w:p>
        </w:tc>
        <w:tc>
          <w:tcPr>
            <w:tcW w:w="3398" w:type="dxa"/>
            <w:tcBorders>
              <w:bottom w:val="dashSmallGap" w:sz="4" w:space="0" w:color="auto"/>
            </w:tcBorders>
          </w:tcPr>
          <w:p w14:paraId="50C0D7C1" w14:textId="77777777" w:rsidR="00916AE4" w:rsidRPr="00043B8D" w:rsidRDefault="00916AE4" w:rsidP="00424D42">
            <w:pPr>
              <w:rPr>
                <w:rFonts w:cs="Arial"/>
                <w:sz w:val="18"/>
                <w:szCs w:val="18"/>
              </w:rPr>
            </w:pPr>
          </w:p>
        </w:tc>
      </w:tr>
      <w:tr w:rsidR="00436594" w:rsidRPr="00043B8D" w14:paraId="6A6A9AD3" w14:textId="77777777" w:rsidTr="00421179">
        <w:trPr>
          <w:cantSplit/>
        </w:trPr>
        <w:tc>
          <w:tcPr>
            <w:tcW w:w="468" w:type="dxa"/>
            <w:vMerge/>
          </w:tcPr>
          <w:p w14:paraId="59F996BF" w14:textId="77777777" w:rsidR="00436594" w:rsidRPr="00043B8D" w:rsidRDefault="00436594" w:rsidP="00194936">
            <w:pPr>
              <w:ind w:left="142"/>
              <w:jc w:val="left"/>
              <w:rPr>
                <w:rFonts w:cs="Arial"/>
                <w:sz w:val="18"/>
                <w:szCs w:val="18"/>
              </w:rPr>
            </w:pPr>
          </w:p>
        </w:tc>
        <w:tc>
          <w:tcPr>
            <w:tcW w:w="2759" w:type="dxa"/>
            <w:tcBorders>
              <w:top w:val="dashSmallGap" w:sz="4" w:space="0" w:color="auto"/>
              <w:bottom w:val="dashSmallGap" w:sz="4" w:space="0" w:color="auto"/>
            </w:tcBorders>
          </w:tcPr>
          <w:p w14:paraId="5718F5BA" w14:textId="77777777" w:rsidR="00436594" w:rsidRPr="00043B8D" w:rsidRDefault="00436594" w:rsidP="009A6ECB">
            <w:pPr>
              <w:ind w:left="525"/>
              <w:jc w:val="left"/>
              <w:rPr>
                <w:rFonts w:cs="Arial"/>
                <w:sz w:val="18"/>
                <w:szCs w:val="18"/>
              </w:rPr>
            </w:pPr>
            <w:r w:rsidRPr="00043B8D">
              <w:rPr>
                <w:rFonts w:cs="Arial"/>
                <w:sz w:val="18"/>
                <w:szCs w:val="18"/>
              </w:rPr>
              <w:t>het basistarief voor het gebruik van het distributienet (tarief voor onderschreven</w:t>
            </w:r>
            <w:r w:rsidR="00DE2AF1" w:rsidRPr="00043B8D">
              <w:rPr>
                <w:rStyle w:val="Voetnootmarkering"/>
                <w:rFonts w:cs="Arial"/>
                <w:sz w:val="18"/>
                <w:szCs w:val="18"/>
              </w:rPr>
              <w:footnoteReference w:id="62"/>
            </w:r>
            <w:r w:rsidRPr="00043B8D">
              <w:rPr>
                <w:rFonts w:cs="Arial"/>
                <w:sz w:val="18"/>
                <w:szCs w:val="18"/>
              </w:rPr>
              <w:t xml:space="preserve"> en bijkomend vermogen)</w:t>
            </w:r>
          </w:p>
        </w:tc>
        <w:tc>
          <w:tcPr>
            <w:tcW w:w="2661" w:type="dxa"/>
            <w:tcBorders>
              <w:top w:val="dashSmallGap" w:sz="4" w:space="0" w:color="auto"/>
              <w:bottom w:val="dashSmallGap" w:sz="4" w:space="0" w:color="auto"/>
            </w:tcBorders>
          </w:tcPr>
          <w:p w14:paraId="7397C053" w14:textId="77777777" w:rsidR="00436594" w:rsidRPr="00043B8D" w:rsidRDefault="00436594" w:rsidP="00C65665">
            <w:pPr>
              <w:rPr>
                <w:rFonts w:cs="Arial"/>
                <w:sz w:val="18"/>
                <w:szCs w:val="18"/>
              </w:rPr>
            </w:pPr>
            <w:r w:rsidRPr="00043B8D">
              <w:rPr>
                <w:rFonts w:cs="Arial"/>
                <w:sz w:val="18"/>
                <w:szCs w:val="18"/>
              </w:rPr>
              <w:t>netstudies, de algemene beheerskosten exclusief de</w:t>
            </w:r>
          </w:p>
          <w:p w14:paraId="1FBA359A" w14:textId="78CF0021" w:rsidR="00436594" w:rsidRPr="00043B8D" w:rsidRDefault="00436594" w:rsidP="00D71DDD">
            <w:pPr>
              <w:rPr>
                <w:rFonts w:cs="Arial"/>
                <w:sz w:val="18"/>
                <w:szCs w:val="18"/>
              </w:rPr>
            </w:pPr>
            <w:r w:rsidRPr="00043B8D">
              <w:rPr>
                <w:rFonts w:cs="Arial"/>
                <w:sz w:val="18"/>
                <w:szCs w:val="18"/>
              </w:rPr>
              <w:t>kosten systeembeheer, de afschrijvingen</w:t>
            </w:r>
            <w:r w:rsidR="00591053" w:rsidRPr="00043B8D">
              <w:rPr>
                <w:rFonts w:cs="Arial"/>
                <w:sz w:val="18"/>
                <w:szCs w:val="18"/>
              </w:rPr>
              <w:t xml:space="preserve"> </w:t>
            </w:r>
            <w:r w:rsidR="00591053" w:rsidRPr="00043B8D">
              <w:rPr>
                <w:rFonts w:cs="Arial"/>
              </w:rPr>
              <w:t>exclusief de afschrijvingen van de meters</w:t>
            </w:r>
            <w:r w:rsidRPr="00043B8D">
              <w:rPr>
                <w:rFonts w:cs="Arial"/>
                <w:sz w:val="18"/>
                <w:szCs w:val="18"/>
              </w:rPr>
              <w:t>, de financieringskosten, de onderhoudskosten</w:t>
            </w:r>
            <w:r w:rsidR="00D71DDD" w:rsidRPr="00043B8D">
              <w:rPr>
                <w:rFonts w:cs="Arial"/>
                <w:sz w:val="18"/>
                <w:szCs w:val="18"/>
              </w:rPr>
              <w:t xml:space="preserve"> en de vennootschapsbelasting</w:t>
            </w:r>
            <w:r w:rsidRPr="00043B8D">
              <w:rPr>
                <w:rFonts w:cs="Arial"/>
                <w:sz w:val="18"/>
                <w:szCs w:val="18"/>
              </w:rPr>
              <w:t>.</w:t>
            </w:r>
          </w:p>
        </w:tc>
        <w:tc>
          <w:tcPr>
            <w:tcW w:w="3398" w:type="dxa"/>
            <w:tcBorders>
              <w:top w:val="dashSmallGap" w:sz="4" w:space="0" w:color="auto"/>
              <w:bottom w:val="dashSmallGap" w:sz="4" w:space="0" w:color="auto"/>
            </w:tcBorders>
          </w:tcPr>
          <w:p w14:paraId="25EBD748" w14:textId="05C8E33A" w:rsidR="008A291B" w:rsidRPr="00043B8D" w:rsidRDefault="00436594" w:rsidP="008A291B">
            <w:pPr>
              <w:rPr>
                <w:rFonts w:cs="Arial"/>
                <w:sz w:val="18"/>
                <w:szCs w:val="18"/>
              </w:rPr>
            </w:pPr>
            <w:r w:rsidRPr="00043B8D">
              <w:rPr>
                <w:rFonts w:cs="Arial"/>
                <w:sz w:val="18"/>
                <w:szCs w:val="18"/>
              </w:rPr>
              <w:t>Voor de klantengroepen</w:t>
            </w:r>
            <w:r w:rsidR="008A291B" w:rsidRPr="00043B8D">
              <w:rPr>
                <w:rFonts w:cs="Arial"/>
                <w:sz w:val="18"/>
                <w:szCs w:val="18"/>
              </w:rPr>
              <w:t xml:space="preserve"> </w:t>
            </w:r>
            <w:r w:rsidRPr="00043B8D">
              <w:rPr>
                <w:rFonts w:cs="Arial"/>
                <w:sz w:val="18"/>
                <w:szCs w:val="18"/>
                <w:u w:val="single"/>
              </w:rPr>
              <w:t>TR HS, 36kV, 26-1kV</w:t>
            </w:r>
            <w:r w:rsidR="008A291B" w:rsidRPr="00043B8D">
              <w:rPr>
                <w:rFonts w:cs="Arial"/>
                <w:sz w:val="18"/>
                <w:szCs w:val="18"/>
                <w:u w:val="single"/>
              </w:rPr>
              <w:t>, en TR LS</w:t>
            </w:r>
            <w:r w:rsidR="008A291B" w:rsidRPr="00043B8D">
              <w:rPr>
                <w:rFonts w:cs="Arial"/>
                <w:sz w:val="18"/>
                <w:szCs w:val="18"/>
              </w:rPr>
              <w:t xml:space="preserve"> is dit tarief </w:t>
            </w:r>
            <w:r w:rsidRPr="00043B8D">
              <w:rPr>
                <w:rFonts w:cs="Arial"/>
                <w:sz w:val="18"/>
                <w:szCs w:val="18"/>
              </w:rPr>
              <w:t xml:space="preserve">deels functie </w:t>
            </w:r>
          </w:p>
          <w:p w14:paraId="36E0878B" w14:textId="5410B28D" w:rsidR="00436594" w:rsidRPr="00043B8D" w:rsidRDefault="008A291B" w:rsidP="00B376D5">
            <w:pPr>
              <w:pStyle w:val="Lijstalinea"/>
              <w:numPr>
                <w:ilvl w:val="0"/>
                <w:numId w:val="19"/>
              </w:numPr>
              <w:rPr>
                <w:rFonts w:cs="Arial"/>
                <w:sz w:val="18"/>
                <w:szCs w:val="18"/>
              </w:rPr>
            </w:pPr>
            <w:r w:rsidRPr="00043B8D">
              <w:rPr>
                <w:rFonts w:cs="Arial"/>
                <w:sz w:val="18"/>
                <w:szCs w:val="18"/>
              </w:rPr>
              <w:t xml:space="preserve">van </w:t>
            </w:r>
            <w:r w:rsidR="00436594" w:rsidRPr="00043B8D">
              <w:rPr>
                <w:rFonts w:cs="Arial"/>
                <w:sz w:val="18"/>
                <w:szCs w:val="18"/>
              </w:rPr>
              <w:t xml:space="preserve">het door de netgebruiker afgenomen vermogen (kW) en </w:t>
            </w:r>
          </w:p>
          <w:p w14:paraId="5EBC9D76" w14:textId="1F9EA943" w:rsidR="00436594" w:rsidRPr="00043B8D" w:rsidRDefault="008A291B" w:rsidP="00B376D5">
            <w:pPr>
              <w:pStyle w:val="Lijstalinea"/>
              <w:numPr>
                <w:ilvl w:val="0"/>
                <w:numId w:val="19"/>
              </w:numPr>
              <w:rPr>
                <w:rFonts w:cs="Arial"/>
                <w:sz w:val="18"/>
                <w:szCs w:val="18"/>
              </w:rPr>
            </w:pPr>
            <w:r w:rsidRPr="00043B8D">
              <w:rPr>
                <w:rFonts w:cs="Arial"/>
                <w:sz w:val="18"/>
                <w:szCs w:val="18"/>
              </w:rPr>
              <w:t xml:space="preserve">van </w:t>
            </w:r>
            <w:r w:rsidR="00436594" w:rsidRPr="00043B8D">
              <w:rPr>
                <w:rFonts w:cs="Arial"/>
                <w:sz w:val="18"/>
                <w:szCs w:val="18"/>
              </w:rPr>
              <w:t>de actieve energie geïnjecteerd of afgenomen (kWh) door een netgebruiker en van de tariefperiode (normale uren/stille uren).</w:t>
            </w:r>
          </w:p>
          <w:p w14:paraId="04F19A07" w14:textId="77777777" w:rsidR="00436594" w:rsidRPr="00043B8D" w:rsidRDefault="00436594" w:rsidP="00424D42">
            <w:pPr>
              <w:rPr>
                <w:rFonts w:cs="Arial"/>
                <w:sz w:val="18"/>
                <w:szCs w:val="18"/>
              </w:rPr>
            </w:pPr>
          </w:p>
          <w:p w14:paraId="43AEB012" w14:textId="24F2B1C7" w:rsidR="00436594" w:rsidRPr="00043B8D" w:rsidRDefault="00436594" w:rsidP="00424D42">
            <w:pPr>
              <w:rPr>
                <w:rFonts w:cs="Arial"/>
                <w:sz w:val="18"/>
                <w:szCs w:val="18"/>
              </w:rPr>
            </w:pPr>
            <w:r w:rsidRPr="00043B8D">
              <w:rPr>
                <w:rFonts w:cs="Arial"/>
                <w:sz w:val="18"/>
                <w:szCs w:val="18"/>
              </w:rPr>
              <w:t xml:space="preserve">Voor de klantengroep </w:t>
            </w:r>
            <w:r w:rsidRPr="00043B8D">
              <w:rPr>
                <w:rFonts w:cs="Arial"/>
                <w:sz w:val="18"/>
                <w:szCs w:val="18"/>
                <w:u w:val="single"/>
              </w:rPr>
              <w:t>LS</w:t>
            </w:r>
            <w:r w:rsidR="00504223" w:rsidRPr="00043B8D">
              <w:rPr>
                <w:rFonts w:cs="Arial"/>
                <w:sz w:val="18"/>
                <w:szCs w:val="18"/>
                <w:u w:val="single"/>
              </w:rPr>
              <w:t xml:space="preserve"> </w:t>
            </w:r>
            <w:r w:rsidRPr="00043B8D">
              <w:rPr>
                <w:rFonts w:cs="Arial"/>
                <w:sz w:val="18"/>
                <w:szCs w:val="18"/>
                <w:u w:val="single"/>
              </w:rPr>
              <w:t>met piekmeting</w:t>
            </w:r>
            <w:r w:rsidRPr="00043B8D">
              <w:rPr>
                <w:rFonts w:cs="Arial"/>
                <w:sz w:val="18"/>
                <w:szCs w:val="18"/>
              </w:rPr>
              <w:t xml:space="preserve"> is het tarief functie van </w:t>
            </w:r>
          </w:p>
          <w:p w14:paraId="1FA57EDA" w14:textId="77777777" w:rsidR="00436594" w:rsidRPr="00043B8D" w:rsidRDefault="00436594" w:rsidP="00B376D5">
            <w:pPr>
              <w:pStyle w:val="Lijstalinea"/>
              <w:numPr>
                <w:ilvl w:val="0"/>
                <w:numId w:val="19"/>
              </w:numPr>
              <w:rPr>
                <w:rFonts w:cs="Arial"/>
                <w:sz w:val="18"/>
                <w:szCs w:val="18"/>
              </w:rPr>
            </w:pPr>
            <w:r w:rsidRPr="00043B8D">
              <w:rPr>
                <w:rFonts w:cs="Arial"/>
                <w:sz w:val="18"/>
                <w:szCs w:val="18"/>
              </w:rPr>
              <w:t>het door de netgebruiker afgenomen vermogen (kW).</w:t>
            </w:r>
          </w:p>
          <w:p w14:paraId="2B0042A5" w14:textId="77777777" w:rsidR="00436594" w:rsidRPr="00043B8D" w:rsidRDefault="00436594" w:rsidP="00424D42">
            <w:pPr>
              <w:rPr>
                <w:rFonts w:cs="Arial"/>
                <w:sz w:val="18"/>
                <w:szCs w:val="18"/>
              </w:rPr>
            </w:pPr>
          </w:p>
          <w:p w14:paraId="4409786D" w14:textId="5DE43A53" w:rsidR="00436594" w:rsidRPr="00043B8D" w:rsidRDefault="00436594" w:rsidP="00424D42">
            <w:pPr>
              <w:rPr>
                <w:rFonts w:cs="Arial"/>
                <w:sz w:val="18"/>
                <w:szCs w:val="18"/>
                <w:u w:val="single"/>
              </w:rPr>
            </w:pPr>
            <w:r w:rsidRPr="00043B8D">
              <w:rPr>
                <w:rFonts w:cs="Arial"/>
                <w:sz w:val="18"/>
                <w:szCs w:val="18"/>
              </w:rPr>
              <w:t xml:space="preserve">Voor de klantengroep </w:t>
            </w:r>
            <w:r w:rsidRPr="00043B8D">
              <w:rPr>
                <w:rFonts w:cs="Arial"/>
                <w:sz w:val="18"/>
                <w:szCs w:val="18"/>
                <w:u w:val="single"/>
              </w:rPr>
              <w:t>LS</w:t>
            </w:r>
            <w:r w:rsidR="00D64A2A" w:rsidRPr="00043B8D">
              <w:rPr>
                <w:rFonts w:cs="Arial"/>
                <w:sz w:val="18"/>
                <w:szCs w:val="18"/>
                <w:u w:val="single"/>
              </w:rPr>
              <w:t xml:space="preserve"> </w:t>
            </w:r>
            <w:r w:rsidRPr="00043B8D">
              <w:rPr>
                <w:rFonts w:cs="Arial"/>
                <w:sz w:val="18"/>
                <w:szCs w:val="18"/>
                <w:u w:val="single"/>
              </w:rPr>
              <w:t xml:space="preserve">zonder piekmeting </w:t>
            </w:r>
            <w:r w:rsidRPr="00043B8D">
              <w:rPr>
                <w:rFonts w:cs="Arial"/>
                <w:sz w:val="18"/>
                <w:szCs w:val="18"/>
              </w:rPr>
              <w:t xml:space="preserve">is het tarief functie van </w:t>
            </w:r>
          </w:p>
          <w:p w14:paraId="3A5DC830" w14:textId="77777777" w:rsidR="00436594" w:rsidRPr="00043B8D" w:rsidRDefault="00436594" w:rsidP="00B376D5">
            <w:pPr>
              <w:pStyle w:val="Lijstalinea"/>
              <w:numPr>
                <w:ilvl w:val="0"/>
                <w:numId w:val="19"/>
              </w:numPr>
              <w:rPr>
                <w:rFonts w:cs="Arial"/>
                <w:sz w:val="18"/>
                <w:szCs w:val="18"/>
              </w:rPr>
            </w:pPr>
            <w:r w:rsidRPr="00043B8D">
              <w:rPr>
                <w:rFonts w:cs="Arial"/>
                <w:sz w:val="18"/>
                <w:szCs w:val="18"/>
              </w:rPr>
              <w:t xml:space="preserve">de actieve energie geïnjecteerd of afgenomen (kWh) door een netgebruiker en </w:t>
            </w:r>
          </w:p>
          <w:p w14:paraId="3AD5A411" w14:textId="638B8BF8" w:rsidR="00436594" w:rsidRPr="00043B8D" w:rsidRDefault="00436594" w:rsidP="00B376D5">
            <w:pPr>
              <w:pStyle w:val="Lijstalinea"/>
              <w:numPr>
                <w:ilvl w:val="0"/>
                <w:numId w:val="19"/>
              </w:numPr>
              <w:rPr>
                <w:rFonts w:cs="Arial"/>
                <w:sz w:val="18"/>
                <w:szCs w:val="18"/>
              </w:rPr>
            </w:pPr>
            <w:r w:rsidRPr="00043B8D">
              <w:rPr>
                <w:rFonts w:cs="Arial"/>
                <w:sz w:val="18"/>
                <w:szCs w:val="18"/>
              </w:rPr>
              <w:t>van de tariefperiode.</w:t>
            </w:r>
          </w:p>
          <w:p w14:paraId="73586F2B" w14:textId="77777777" w:rsidR="00D64A2A" w:rsidRPr="00043B8D" w:rsidRDefault="00D64A2A" w:rsidP="00C55D3E">
            <w:pPr>
              <w:rPr>
                <w:rFonts w:cs="Arial"/>
                <w:sz w:val="18"/>
                <w:szCs w:val="18"/>
              </w:rPr>
            </w:pPr>
          </w:p>
          <w:p w14:paraId="5F05DB9E" w14:textId="2932D9AB" w:rsidR="00D64A2A" w:rsidRPr="00043B8D" w:rsidRDefault="00D64A2A" w:rsidP="00D64A2A">
            <w:pPr>
              <w:rPr>
                <w:rFonts w:cs="Arial"/>
                <w:sz w:val="18"/>
                <w:szCs w:val="18"/>
                <w:u w:val="single"/>
              </w:rPr>
            </w:pPr>
            <w:r w:rsidRPr="00043B8D">
              <w:rPr>
                <w:rFonts w:cs="Arial"/>
                <w:sz w:val="18"/>
                <w:szCs w:val="18"/>
              </w:rPr>
              <w:t xml:space="preserve">Voor de klantengroep </w:t>
            </w:r>
            <w:r w:rsidRPr="00043B8D">
              <w:rPr>
                <w:rFonts w:cs="Arial"/>
                <w:sz w:val="18"/>
                <w:szCs w:val="18"/>
                <w:u w:val="single"/>
              </w:rPr>
              <w:t>prosumenten met terugdraaiende teller</w:t>
            </w:r>
            <w:r w:rsidRPr="00043B8D">
              <w:rPr>
                <w:rFonts w:cs="Arial"/>
                <w:sz w:val="18"/>
                <w:szCs w:val="18"/>
              </w:rPr>
              <w:t xml:space="preserve"> is het tarief functie van </w:t>
            </w:r>
          </w:p>
          <w:p w14:paraId="7EC72FA2" w14:textId="30FFAB9C" w:rsidR="00D64A2A" w:rsidRPr="00043B8D" w:rsidRDefault="00D64A2A" w:rsidP="00B376D5">
            <w:pPr>
              <w:pStyle w:val="Lijstalinea"/>
              <w:numPr>
                <w:ilvl w:val="0"/>
                <w:numId w:val="19"/>
              </w:numPr>
              <w:rPr>
                <w:rFonts w:cs="Arial"/>
                <w:sz w:val="18"/>
                <w:szCs w:val="18"/>
              </w:rPr>
            </w:pPr>
            <w:r w:rsidRPr="00043B8D">
              <w:rPr>
                <w:rFonts w:cs="Arial"/>
                <w:sz w:val="18"/>
                <w:szCs w:val="18"/>
              </w:rPr>
              <w:t xml:space="preserve">de actieve energie netto, m.a.w. na compensatie, afgenomen (kWh) door een netgebruiker en </w:t>
            </w:r>
          </w:p>
          <w:p w14:paraId="3A7B67FE" w14:textId="677A5C8D" w:rsidR="00D64A2A" w:rsidRPr="00043B8D" w:rsidRDefault="00D64A2A" w:rsidP="00B376D5">
            <w:pPr>
              <w:pStyle w:val="Lijstalinea"/>
              <w:numPr>
                <w:ilvl w:val="0"/>
                <w:numId w:val="19"/>
              </w:numPr>
              <w:rPr>
                <w:rFonts w:cs="Arial"/>
                <w:sz w:val="18"/>
                <w:szCs w:val="18"/>
              </w:rPr>
            </w:pPr>
            <w:r w:rsidRPr="00043B8D">
              <w:rPr>
                <w:rFonts w:cs="Arial"/>
                <w:sz w:val="18"/>
                <w:szCs w:val="18"/>
              </w:rPr>
              <w:t>van de tariefperiode.</w:t>
            </w:r>
          </w:p>
          <w:p w14:paraId="3103F6B8" w14:textId="77777777" w:rsidR="00436594" w:rsidRPr="00043B8D" w:rsidRDefault="00436594" w:rsidP="00424D42">
            <w:pPr>
              <w:rPr>
                <w:rFonts w:cs="Arial"/>
                <w:sz w:val="18"/>
                <w:szCs w:val="18"/>
              </w:rPr>
            </w:pPr>
          </w:p>
          <w:p w14:paraId="001CC2D2" w14:textId="0598D240" w:rsidR="00436594" w:rsidRPr="00043B8D" w:rsidRDefault="00436594" w:rsidP="008D41DD">
            <w:pPr>
              <w:rPr>
                <w:rFonts w:cs="Arial"/>
                <w:sz w:val="18"/>
                <w:szCs w:val="18"/>
              </w:rPr>
            </w:pPr>
            <w:r w:rsidRPr="00043B8D">
              <w:rPr>
                <w:rFonts w:cs="Arial"/>
                <w:sz w:val="18"/>
                <w:szCs w:val="18"/>
              </w:rPr>
              <w:t>Het tarief is niet van toepassing voor productie-eenheden met een vermogen kleiner dan of gelijk aan 5 MWe en ook niet voor productie-eenheden van elektriciteitsopwekking via hernieuwbare energiebronnen of via kwalitatieve warmtekrachtkoppeling waarvan het geïnstalleerde vermogen groter is dan 5 MWe.</w:t>
            </w:r>
            <w:r w:rsidR="00A34CF5" w:rsidRPr="00043B8D">
              <w:rPr>
                <w:rStyle w:val="Voetnootmarkering"/>
                <w:rFonts w:cs="Arial"/>
                <w:sz w:val="18"/>
                <w:szCs w:val="18"/>
              </w:rPr>
              <w:footnoteReference w:id="63"/>
            </w:r>
          </w:p>
        </w:tc>
      </w:tr>
      <w:tr w:rsidR="00436594" w:rsidRPr="00043B8D" w14:paraId="6570B934" w14:textId="77777777" w:rsidTr="00421179">
        <w:trPr>
          <w:cantSplit/>
        </w:trPr>
        <w:tc>
          <w:tcPr>
            <w:tcW w:w="468" w:type="dxa"/>
            <w:vMerge/>
          </w:tcPr>
          <w:p w14:paraId="16C274C3" w14:textId="677162F3" w:rsidR="00436594" w:rsidRPr="00043B8D" w:rsidRDefault="00436594" w:rsidP="00194936">
            <w:pPr>
              <w:ind w:left="142"/>
              <w:jc w:val="left"/>
              <w:rPr>
                <w:rFonts w:cs="Arial"/>
                <w:sz w:val="18"/>
                <w:szCs w:val="18"/>
              </w:rPr>
            </w:pPr>
          </w:p>
        </w:tc>
        <w:tc>
          <w:tcPr>
            <w:tcW w:w="2759" w:type="dxa"/>
            <w:tcBorders>
              <w:top w:val="dashSmallGap" w:sz="4" w:space="0" w:color="auto"/>
              <w:bottom w:val="dashSmallGap" w:sz="4" w:space="0" w:color="auto"/>
            </w:tcBorders>
          </w:tcPr>
          <w:p w14:paraId="3D06121D" w14:textId="77777777" w:rsidR="00436594" w:rsidRPr="00043B8D" w:rsidRDefault="00436594" w:rsidP="00D4199F">
            <w:pPr>
              <w:ind w:left="525"/>
              <w:jc w:val="left"/>
              <w:rPr>
                <w:rFonts w:cs="Arial"/>
                <w:sz w:val="18"/>
                <w:szCs w:val="18"/>
              </w:rPr>
            </w:pPr>
            <w:r w:rsidRPr="00043B8D">
              <w:rPr>
                <w:rFonts w:cs="Arial"/>
                <w:sz w:val="18"/>
                <w:szCs w:val="18"/>
              </w:rPr>
              <w:t>het tarief voor het systeembeheer</w:t>
            </w:r>
          </w:p>
        </w:tc>
        <w:tc>
          <w:tcPr>
            <w:tcW w:w="2661" w:type="dxa"/>
            <w:tcBorders>
              <w:top w:val="dashSmallGap" w:sz="4" w:space="0" w:color="auto"/>
              <w:bottom w:val="dashSmallGap" w:sz="4" w:space="0" w:color="auto"/>
            </w:tcBorders>
          </w:tcPr>
          <w:p w14:paraId="2CF1C1FF" w14:textId="77777777" w:rsidR="00436594" w:rsidRPr="00043B8D" w:rsidRDefault="00436594" w:rsidP="00436594">
            <w:pPr>
              <w:rPr>
                <w:rFonts w:cs="Arial"/>
                <w:sz w:val="18"/>
                <w:szCs w:val="18"/>
              </w:rPr>
            </w:pPr>
            <w:r w:rsidRPr="00043B8D">
              <w:rPr>
                <w:rFonts w:cs="Arial"/>
                <w:sz w:val="18"/>
                <w:szCs w:val="18"/>
              </w:rPr>
              <w:t>het systeembeheer, de afschrijvingen en de financiering van de</w:t>
            </w:r>
          </w:p>
          <w:p w14:paraId="51AC16D9" w14:textId="77777777" w:rsidR="00436594" w:rsidRPr="00043B8D" w:rsidRDefault="00436594" w:rsidP="00436594">
            <w:pPr>
              <w:rPr>
                <w:rFonts w:cs="Arial"/>
                <w:sz w:val="18"/>
                <w:szCs w:val="18"/>
              </w:rPr>
            </w:pPr>
            <w:r w:rsidRPr="00043B8D">
              <w:rPr>
                <w:rFonts w:cs="Arial"/>
                <w:sz w:val="18"/>
                <w:szCs w:val="18"/>
              </w:rPr>
              <w:t>activa voor het beheer van het systeem</w:t>
            </w:r>
          </w:p>
        </w:tc>
        <w:tc>
          <w:tcPr>
            <w:tcW w:w="3398" w:type="dxa"/>
            <w:tcBorders>
              <w:top w:val="dashSmallGap" w:sz="4" w:space="0" w:color="auto"/>
              <w:bottom w:val="dashSmallGap" w:sz="4" w:space="0" w:color="auto"/>
            </w:tcBorders>
          </w:tcPr>
          <w:p w14:paraId="51F55A0C" w14:textId="77777777" w:rsidR="00436594" w:rsidRPr="00043B8D" w:rsidRDefault="00436594" w:rsidP="00424D42">
            <w:pPr>
              <w:rPr>
                <w:rFonts w:cs="Arial"/>
                <w:sz w:val="18"/>
                <w:szCs w:val="18"/>
              </w:rPr>
            </w:pPr>
            <w:r w:rsidRPr="00043B8D">
              <w:rPr>
                <w:rFonts w:cs="Arial"/>
                <w:sz w:val="18"/>
                <w:szCs w:val="18"/>
              </w:rPr>
              <w:t>Het tarief is functie van de actieve energie geïnjecteerd of afgenomen (kWh) door een netgebruiker in het distributienet.</w:t>
            </w:r>
          </w:p>
          <w:p w14:paraId="4C8C68AF" w14:textId="77777777" w:rsidR="00436594" w:rsidRPr="00043B8D" w:rsidRDefault="00436594" w:rsidP="00424D42">
            <w:pPr>
              <w:rPr>
                <w:rFonts w:cs="Arial"/>
                <w:sz w:val="18"/>
                <w:szCs w:val="18"/>
              </w:rPr>
            </w:pPr>
          </w:p>
          <w:p w14:paraId="4198D1BF" w14:textId="77777777" w:rsidR="00436594" w:rsidRPr="00043B8D" w:rsidRDefault="00436594" w:rsidP="00424D42">
            <w:pPr>
              <w:rPr>
                <w:rFonts w:cs="Arial"/>
                <w:sz w:val="18"/>
                <w:szCs w:val="18"/>
              </w:rPr>
            </w:pPr>
            <w:r w:rsidRPr="00043B8D">
              <w:rPr>
                <w:rFonts w:cs="Arial"/>
                <w:sz w:val="18"/>
                <w:szCs w:val="18"/>
              </w:rPr>
              <w:t>Specifieke kosten van systeembeheer, aangegaan voor de sturing en opvolging van autoproducenten,</w:t>
            </w:r>
          </w:p>
          <w:p w14:paraId="1EB373DD" w14:textId="77777777" w:rsidR="00436594" w:rsidRPr="00043B8D" w:rsidRDefault="00436594" w:rsidP="00424D42">
            <w:pPr>
              <w:rPr>
                <w:rFonts w:cs="Arial"/>
                <w:sz w:val="18"/>
                <w:szCs w:val="18"/>
              </w:rPr>
            </w:pPr>
            <w:r w:rsidRPr="00043B8D">
              <w:rPr>
                <w:rFonts w:cs="Arial"/>
                <w:sz w:val="18"/>
                <w:szCs w:val="18"/>
              </w:rPr>
              <w:t>aangesloten op het distributienet, worden in een bijkomend tarief aan deze netgebruikers aangerekend. Dit laatste tarief is functie van de op kwartuurbasis door een netgebruiker geïnjecteerde of afgenomen actieve bruto begrensde energie en van de klantengroep en wordt door de</w:t>
            </w:r>
            <w:r w:rsidR="002F24EE" w:rsidRPr="00043B8D">
              <w:rPr>
                <w:rFonts w:cs="Arial"/>
                <w:sz w:val="18"/>
                <w:szCs w:val="18"/>
              </w:rPr>
              <w:t xml:space="preserve"> distributienetbeheerder</w:t>
            </w:r>
            <w:r w:rsidRPr="00043B8D">
              <w:rPr>
                <w:rFonts w:cs="Arial"/>
                <w:sz w:val="18"/>
                <w:szCs w:val="18"/>
              </w:rPr>
              <w:t xml:space="preserve"> aan de houder van het toegangscontract of de distributienetbeheerder gefactureerd.</w:t>
            </w:r>
          </w:p>
        </w:tc>
      </w:tr>
      <w:tr w:rsidR="00436594" w:rsidRPr="00043B8D" w14:paraId="7F58662A" w14:textId="77777777" w:rsidTr="00421179">
        <w:trPr>
          <w:cantSplit/>
        </w:trPr>
        <w:tc>
          <w:tcPr>
            <w:tcW w:w="468" w:type="dxa"/>
            <w:vMerge/>
          </w:tcPr>
          <w:p w14:paraId="307DEA84" w14:textId="77777777" w:rsidR="00436594" w:rsidRPr="00043B8D" w:rsidRDefault="00436594" w:rsidP="00194936">
            <w:pPr>
              <w:ind w:left="142"/>
              <w:jc w:val="left"/>
              <w:rPr>
                <w:rFonts w:cs="Arial"/>
                <w:sz w:val="18"/>
                <w:szCs w:val="18"/>
              </w:rPr>
            </w:pPr>
          </w:p>
        </w:tc>
        <w:tc>
          <w:tcPr>
            <w:tcW w:w="2759" w:type="dxa"/>
            <w:tcBorders>
              <w:top w:val="dashSmallGap" w:sz="4" w:space="0" w:color="auto"/>
            </w:tcBorders>
          </w:tcPr>
          <w:p w14:paraId="699A8FA2" w14:textId="77777777" w:rsidR="00436594" w:rsidRPr="00043B8D" w:rsidRDefault="00436594" w:rsidP="00D4199F">
            <w:pPr>
              <w:ind w:left="525"/>
              <w:jc w:val="left"/>
              <w:rPr>
                <w:rFonts w:cs="Arial"/>
                <w:sz w:val="18"/>
                <w:szCs w:val="18"/>
              </w:rPr>
            </w:pPr>
            <w:r w:rsidRPr="00043B8D">
              <w:rPr>
                <w:rFonts w:cs="Arial"/>
                <w:sz w:val="18"/>
                <w:szCs w:val="18"/>
              </w:rPr>
              <w:t>het tarief voor de meet- en telactiviteit</w:t>
            </w:r>
          </w:p>
        </w:tc>
        <w:tc>
          <w:tcPr>
            <w:tcW w:w="2661" w:type="dxa"/>
            <w:tcBorders>
              <w:top w:val="dashSmallGap" w:sz="4" w:space="0" w:color="auto"/>
            </w:tcBorders>
          </w:tcPr>
          <w:p w14:paraId="69853734" w14:textId="77777777" w:rsidR="00436594" w:rsidRPr="00043B8D" w:rsidRDefault="00D052DB" w:rsidP="00D052DB">
            <w:pPr>
              <w:rPr>
                <w:rFonts w:cs="Arial"/>
                <w:sz w:val="18"/>
                <w:szCs w:val="18"/>
              </w:rPr>
            </w:pPr>
            <w:r w:rsidRPr="00043B8D">
              <w:rPr>
                <w:rFonts w:cs="Arial"/>
                <w:sz w:val="18"/>
                <w:szCs w:val="18"/>
              </w:rPr>
              <w:t>m.b.t.</w:t>
            </w:r>
            <w:r w:rsidR="008635E6" w:rsidRPr="00043B8D">
              <w:rPr>
                <w:rFonts w:cs="Arial"/>
                <w:sz w:val="18"/>
                <w:szCs w:val="18"/>
              </w:rPr>
              <w:t xml:space="preserve"> </w:t>
            </w:r>
            <w:r w:rsidR="003A0C9F" w:rsidRPr="00043B8D">
              <w:rPr>
                <w:rFonts w:cs="Arial"/>
                <w:sz w:val="18"/>
                <w:szCs w:val="18"/>
              </w:rPr>
              <w:t>de meetapparatuur alsook de kosten van de activiteit van het meten, inbegrepen de verzameling, validatie en transmissie van de gemeten data naar een nieuwe leverancier wanneer de distributienetgebruiker van leverancier verandert</w:t>
            </w:r>
          </w:p>
        </w:tc>
        <w:tc>
          <w:tcPr>
            <w:tcW w:w="3398" w:type="dxa"/>
            <w:tcBorders>
              <w:top w:val="dashSmallGap" w:sz="4" w:space="0" w:color="auto"/>
            </w:tcBorders>
          </w:tcPr>
          <w:p w14:paraId="36A3C1AC" w14:textId="124B45C6" w:rsidR="00436594" w:rsidRPr="00043B8D" w:rsidRDefault="00436594" w:rsidP="00424D42">
            <w:pPr>
              <w:rPr>
                <w:rFonts w:cs="Arial"/>
                <w:sz w:val="18"/>
                <w:szCs w:val="18"/>
              </w:rPr>
            </w:pPr>
            <w:r w:rsidRPr="00043B8D">
              <w:rPr>
                <w:rFonts w:cs="Arial"/>
                <w:sz w:val="18"/>
                <w:szCs w:val="18"/>
              </w:rPr>
              <w:t>Het tarief bestaat uit een vaste term  (EUR/jaar) in functie van de meetopstelling: continu gelezen meters (AMR), maandelijks opgenomen meters (MMR) of jaaropgenomen</w:t>
            </w:r>
            <w:r w:rsidR="00E710F6" w:rsidRPr="00043B8D">
              <w:rPr>
                <w:rStyle w:val="Voetnootmarkering"/>
                <w:rFonts w:cs="Arial"/>
                <w:sz w:val="18"/>
                <w:szCs w:val="18"/>
              </w:rPr>
              <w:footnoteReference w:id="64"/>
            </w:r>
            <w:r w:rsidRPr="00043B8D">
              <w:rPr>
                <w:rFonts w:cs="Arial"/>
                <w:sz w:val="18"/>
                <w:szCs w:val="18"/>
              </w:rPr>
              <w:t xml:space="preserve"> meters</w:t>
            </w:r>
            <w:r w:rsidR="007C5D42" w:rsidRPr="00043B8D">
              <w:rPr>
                <w:rFonts w:cs="Arial"/>
                <w:sz w:val="18"/>
                <w:szCs w:val="18"/>
              </w:rPr>
              <w:t xml:space="preserve"> (YMR)</w:t>
            </w:r>
            <w:r w:rsidRPr="00043B8D">
              <w:rPr>
                <w:rFonts w:cs="Arial"/>
                <w:sz w:val="18"/>
                <w:szCs w:val="18"/>
              </w:rPr>
              <w:t>.</w:t>
            </w:r>
          </w:p>
          <w:p w14:paraId="4349C005" w14:textId="77777777" w:rsidR="00436594" w:rsidRPr="00043B8D" w:rsidRDefault="00436594" w:rsidP="00424D42">
            <w:pPr>
              <w:rPr>
                <w:rFonts w:cs="Arial"/>
                <w:sz w:val="18"/>
                <w:szCs w:val="18"/>
              </w:rPr>
            </w:pPr>
          </w:p>
        </w:tc>
      </w:tr>
      <w:tr w:rsidR="00436594" w:rsidRPr="00043B8D" w14:paraId="121B48A0" w14:textId="77777777" w:rsidTr="00421179">
        <w:trPr>
          <w:cantSplit/>
        </w:trPr>
        <w:tc>
          <w:tcPr>
            <w:tcW w:w="468" w:type="dxa"/>
          </w:tcPr>
          <w:p w14:paraId="7D545E1A" w14:textId="672D0831" w:rsidR="00436594" w:rsidRPr="00043B8D" w:rsidRDefault="00E82B63" w:rsidP="00E82B63">
            <w:pPr>
              <w:ind w:left="142"/>
              <w:jc w:val="left"/>
              <w:rPr>
                <w:rFonts w:cs="Arial"/>
                <w:sz w:val="18"/>
                <w:szCs w:val="18"/>
              </w:rPr>
            </w:pPr>
            <w:r w:rsidRPr="00043B8D">
              <w:rPr>
                <w:rFonts w:cs="Arial"/>
                <w:sz w:val="18"/>
                <w:szCs w:val="18"/>
              </w:rPr>
              <w:t>2</w:t>
            </w:r>
          </w:p>
        </w:tc>
        <w:tc>
          <w:tcPr>
            <w:tcW w:w="2759" w:type="dxa"/>
          </w:tcPr>
          <w:p w14:paraId="28AB0D99" w14:textId="77777777" w:rsidR="00436594" w:rsidRPr="00043B8D" w:rsidRDefault="00436594" w:rsidP="00194936">
            <w:pPr>
              <w:ind w:left="175"/>
              <w:jc w:val="left"/>
              <w:rPr>
                <w:rFonts w:cs="Arial"/>
                <w:sz w:val="18"/>
                <w:szCs w:val="18"/>
              </w:rPr>
            </w:pPr>
            <w:r w:rsidRPr="00043B8D">
              <w:rPr>
                <w:rFonts w:cs="Arial"/>
                <w:sz w:val="18"/>
                <w:szCs w:val="18"/>
              </w:rPr>
              <w:t>het tarief openbare dienstverplichtingen</w:t>
            </w:r>
          </w:p>
          <w:p w14:paraId="45356DB0" w14:textId="77777777" w:rsidR="00436594" w:rsidRPr="00043B8D" w:rsidRDefault="00436594" w:rsidP="00194936">
            <w:pPr>
              <w:ind w:left="175"/>
              <w:jc w:val="left"/>
              <w:rPr>
                <w:rFonts w:cs="Arial"/>
                <w:sz w:val="18"/>
                <w:szCs w:val="18"/>
              </w:rPr>
            </w:pPr>
          </w:p>
        </w:tc>
        <w:tc>
          <w:tcPr>
            <w:tcW w:w="2661" w:type="dxa"/>
          </w:tcPr>
          <w:p w14:paraId="2DBDE13D" w14:textId="7F5B93B5" w:rsidR="00436594" w:rsidRPr="00043B8D" w:rsidRDefault="003A0C9F" w:rsidP="007C5D42">
            <w:pPr>
              <w:rPr>
                <w:rFonts w:cs="Arial"/>
                <w:sz w:val="18"/>
                <w:szCs w:val="18"/>
              </w:rPr>
            </w:pPr>
            <w:r w:rsidRPr="00043B8D">
              <w:rPr>
                <w:rFonts w:cs="Arial"/>
                <w:sz w:val="18"/>
                <w:szCs w:val="18"/>
              </w:rPr>
              <w:t>openbare</w:t>
            </w:r>
            <w:r w:rsidR="00013FCD" w:rsidRPr="00043B8D">
              <w:rPr>
                <w:rFonts w:cs="Arial"/>
                <w:sz w:val="18"/>
                <w:szCs w:val="18"/>
              </w:rPr>
              <w:t xml:space="preserve"> </w:t>
            </w:r>
            <w:r w:rsidRPr="00043B8D">
              <w:rPr>
                <w:rFonts w:cs="Arial"/>
                <w:sz w:val="18"/>
                <w:szCs w:val="18"/>
              </w:rPr>
              <w:t>dienstverplichtingen (sociale lev</w:t>
            </w:r>
            <w:r w:rsidR="00C82158" w:rsidRPr="00043B8D">
              <w:rPr>
                <w:rFonts w:cs="Arial"/>
                <w:sz w:val="18"/>
                <w:szCs w:val="18"/>
              </w:rPr>
              <w:t>erancier</w:t>
            </w:r>
            <w:r w:rsidRPr="00043B8D">
              <w:rPr>
                <w:rFonts w:cs="Arial"/>
                <w:sz w:val="18"/>
                <w:szCs w:val="18"/>
              </w:rPr>
              <w:t xml:space="preserve">, rationeel energiegebruik, openbare verlichting, gratis kWh, </w:t>
            </w:r>
            <w:r w:rsidR="007C1B4C" w:rsidRPr="00043B8D">
              <w:rPr>
                <w:rFonts w:cs="Arial"/>
                <w:sz w:val="18"/>
                <w:szCs w:val="18"/>
              </w:rPr>
              <w:t>groenestroom- en warmtekracht</w:t>
            </w:r>
            <w:r w:rsidRPr="00043B8D">
              <w:rPr>
                <w:rFonts w:cs="Arial"/>
                <w:sz w:val="18"/>
                <w:szCs w:val="18"/>
              </w:rPr>
              <w:t xml:space="preserve">certificaten) </w:t>
            </w:r>
          </w:p>
        </w:tc>
        <w:tc>
          <w:tcPr>
            <w:tcW w:w="3398" w:type="dxa"/>
          </w:tcPr>
          <w:p w14:paraId="6876B501" w14:textId="77777777" w:rsidR="00436594" w:rsidRPr="00043B8D" w:rsidRDefault="00436594" w:rsidP="00424D42">
            <w:pPr>
              <w:rPr>
                <w:rFonts w:cs="Arial"/>
                <w:sz w:val="18"/>
                <w:szCs w:val="18"/>
              </w:rPr>
            </w:pPr>
            <w:r w:rsidRPr="00043B8D">
              <w:rPr>
                <w:rFonts w:cs="Arial"/>
                <w:sz w:val="18"/>
                <w:szCs w:val="18"/>
              </w:rPr>
              <w:t>Het tarief is functie van de actieve energie geïnjecteerd of afgenomen (kWh) door een netgebruiker en desgevallend van de tariefperiode.</w:t>
            </w:r>
          </w:p>
          <w:p w14:paraId="2D0ACB05" w14:textId="77777777" w:rsidR="00436594" w:rsidRPr="00043B8D" w:rsidRDefault="00436594" w:rsidP="00424D42">
            <w:pPr>
              <w:rPr>
                <w:rFonts w:cs="Arial"/>
                <w:sz w:val="18"/>
                <w:szCs w:val="18"/>
              </w:rPr>
            </w:pPr>
          </w:p>
        </w:tc>
      </w:tr>
      <w:tr w:rsidR="00436594" w:rsidRPr="00043B8D" w14:paraId="11036362" w14:textId="77777777" w:rsidTr="00421179">
        <w:trPr>
          <w:cantSplit/>
        </w:trPr>
        <w:tc>
          <w:tcPr>
            <w:tcW w:w="468" w:type="dxa"/>
            <w:vMerge w:val="restart"/>
          </w:tcPr>
          <w:p w14:paraId="3BBDD261" w14:textId="2B380C6A" w:rsidR="00436594" w:rsidRPr="00043B8D" w:rsidRDefault="00E82B63" w:rsidP="00194936">
            <w:pPr>
              <w:ind w:left="142"/>
              <w:jc w:val="left"/>
              <w:rPr>
                <w:rFonts w:cs="Arial"/>
                <w:sz w:val="18"/>
                <w:szCs w:val="18"/>
              </w:rPr>
            </w:pPr>
            <w:r w:rsidRPr="00043B8D">
              <w:rPr>
                <w:rFonts w:cs="Arial"/>
                <w:sz w:val="18"/>
                <w:szCs w:val="18"/>
              </w:rPr>
              <w:t>3</w:t>
            </w:r>
          </w:p>
        </w:tc>
        <w:tc>
          <w:tcPr>
            <w:tcW w:w="2759" w:type="dxa"/>
            <w:tcBorders>
              <w:bottom w:val="dashSmallGap" w:sz="4" w:space="0" w:color="auto"/>
            </w:tcBorders>
          </w:tcPr>
          <w:p w14:paraId="3EA62B7D" w14:textId="11C8CD8D" w:rsidR="00436594" w:rsidRPr="00043B8D" w:rsidRDefault="00436594" w:rsidP="008E06D8">
            <w:pPr>
              <w:ind w:left="175"/>
              <w:jc w:val="left"/>
              <w:rPr>
                <w:rFonts w:cs="Arial"/>
                <w:sz w:val="18"/>
                <w:szCs w:val="18"/>
              </w:rPr>
            </w:pPr>
            <w:r w:rsidRPr="00043B8D">
              <w:rPr>
                <w:rFonts w:cs="Arial"/>
                <w:sz w:val="18"/>
                <w:szCs w:val="18"/>
              </w:rPr>
              <w:t>de tarieven voor de ondersteunende diensten</w:t>
            </w:r>
          </w:p>
        </w:tc>
        <w:tc>
          <w:tcPr>
            <w:tcW w:w="2661" w:type="dxa"/>
            <w:tcBorders>
              <w:bottom w:val="dashSmallGap" w:sz="4" w:space="0" w:color="auto"/>
            </w:tcBorders>
          </w:tcPr>
          <w:p w14:paraId="07DF3F0B" w14:textId="77777777" w:rsidR="00436594" w:rsidRPr="00043B8D" w:rsidRDefault="00436594" w:rsidP="00424D42">
            <w:pPr>
              <w:rPr>
                <w:rFonts w:cs="Arial"/>
                <w:sz w:val="18"/>
                <w:szCs w:val="18"/>
              </w:rPr>
            </w:pPr>
          </w:p>
        </w:tc>
        <w:tc>
          <w:tcPr>
            <w:tcW w:w="3398" w:type="dxa"/>
            <w:tcBorders>
              <w:bottom w:val="dashSmallGap" w:sz="4" w:space="0" w:color="auto"/>
            </w:tcBorders>
          </w:tcPr>
          <w:p w14:paraId="1A823A4D" w14:textId="77777777" w:rsidR="00436594" w:rsidRPr="00043B8D" w:rsidRDefault="00436594" w:rsidP="00424D42">
            <w:pPr>
              <w:rPr>
                <w:rFonts w:cs="Arial"/>
                <w:sz w:val="18"/>
                <w:szCs w:val="18"/>
              </w:rPr>
            </w:pPr>
          </w:p>
        </w:tc>
      </w:tr>
      <w:tr w:rsidR="00436594" w:rsidRPr="00043B8D" w14:paraId="5401E390" w14:textId="77777777" w:rsidTr="00421179">
        <w:trPr>
          <w:cantSplit/>
        </w:trPr>
        <w:tc>
          <w:tcPr>
            <w:tcW w:w="468" w:type="dxa"/>
            <w:vMerge/>
          </w:tcPr>
          <w:p w14:paraId="4A085E0C" w14:textId="77777777" w:rsidR="00436594" w:rsidRPr="00043B8D" w:rsidRDefault="00436594" w:rsidP="00194936">
            <w:pPr>
              <w:ind w:left="142"/>
              <w:jc w:val="left"/>
              <w:rPr>
                <w:rFonts w:cs="Arial"/>
                <w:sz w:val="18"/>
                <w:szCs w:val="18"/>
              </w:rPr>
            </w:pPr>
          </w:p>
        </w:tc>
        <w:tc>
          <w:tcPr>
            <w:tcW w:w="2759" w:type="dxa"/>
            <w:tcBorders>
              <w:top w:val="dashSmallGap" w:sz="4" w:space="0" w:color="auto"/>
              <w:bottom w:val="dashSmallGap" w:sz="4" w:space="0" w:color="auto"/>
            </w:tcBorders>
          </w:tcPr>
          <w:p w14:paraId="3E0CDC15" w14:textId="77777777" w:rsidR="00436594" w:rsidRPr="00043B8D" w:rsidRDefault="00436594" w:rsidP="00272654">
            <w:pPr>
              <w:ind w:left="525"/>
              <w:jc w:val="left"/>
              <w:rPr>
                <w:rFonts w:cs="Arial"/>
                <w:sz w:val="18"/>
                <w:szCs w:val="18"/>
              </w:rPr>
            </w:pPr>
            <w:r w:rsidRPr="00043B8D">
              <w:rPr>
                <w:rFonts w:cs="Arial"/>
                <w:sz w:val="18"/>
                <w:szCs w:val="18"/>
              </w:rPr>
              <w:t>het tarief voor de regeling van de spanning en van het reactief vermogen</w:t>
            </w:r>
          </w:p>
          <w:p w14:paraId="0E63F6C9" w14:textId="77777777" w:rsidR="00436594" w:rsidRPr="00043B8D" w:rsidRDefault="00436594" w:rsidP="00272654">
            <w:pPr>
              <w:ind w:left="525"/>
              <w:jc w:val="left"/>
              <w:rPr>
                <w:rFonts w:cs="Arial"/>
                <w:sz w:val="18"/>
                <w:szCs w:val="18"/>
              </w:rPr>
            </w:pPr>
          </w:p>
        </w:tc>
        <w:tc>
          <w:tcPr>
            <w:tcW w:w="2661" w:type="dxa"/>
            <w:tcBorders>
              <w:top w:val="dashSmallGap" w:sz="4" w:space="0" w:color="auto"/>
              <w:bottom w:val="dashSmallGap" w:sz="4" w:space="0" w:color="auto"/>
            </w:tcBorders>
          </w:tcPr>
          <w:p w14:paraId="2BFF38BD" w14:textId="77777777" w:rsidR="00436594" w:rsidRPr="00043B8D" w:rsidRDefault="006D6E01" w:rsidP="00424D42">
            <w:pPr>
              <w:rPr>
                <w:rFonts w:cs="Arial"/>
                <w:sz w:val="18"/>
                <w:szCs w:val="18"/>
              </w:rPr>
            </w:pPr>
            <w:r w:rsidRPr="00043B8D">
              <w:rPr>
                <w:rFonts w:cs="Arial"/>
                <w:sz w:val="18"/>
                <w:szCs w:val="18"/>
              </w:rPr>
              <w:t>de dienst van het reactief vermogen</w:t>
            </w:r>
          </w:p>
        </w:tc>
        <w:tc>
          <w:tcPr>
            <w:tcW w:w="3398" w:type="dxa"/>
            <w:tcBorders>
              <w:top w:val="dashSmallGap" w:sz="4" w:space="0" w:color="auto"/>
              <w:bottom w:val="dashSmallGap" w:sz="4" w:space="0" w:color="auto"/>
            </w:tcBorders>
          </w:tcPr>
          <w:p w14:paraId="79307B94" w14:textId="77777777" w:rsidR="00436594" w:rsidRPr="00043B8D" w:rsidRDefault="00436594" w:rsidP="00424D42">
            <w:pPr>
              <w:rPr>
                <w:rFonts w:cs="Arial"/>
                <w:sz w:val="18"/>
                <w:szCs w:val="18"/>
              </w:rPr>
            </w:pPr>
            <w:r w:rsidRPr="00043B8D">
              <w:rPr>
                <w:rFonts w:cs="Arial"/>
                <w:sz w:val="18"/>
                <w:szCs w:val="18"/>
              </w:rPr>
              <w:t>De tarieven staan, wat betreft de overschrijding van reactieve energie ten opzichte van het forfaitair toegelaten gebruik, in functie van die overschrijding van de reactieve energie (kVarh).</w:t>
            </w:r>
          </w:p>
        </w:tc>
      </w:tr>
      <w:tr w:rsidR="00436594" w:rsidRPr="00043B8D" w14:paraId="67EB6CF6" w14:textId="77777777" w:rsidTr="00421179">
        <w:trPr>
          <w:cantSplit/>
        </w:trPr>
        <w:tc>
          <w:tcPr>
            <w:tcW w:w="468" w:type="dxa"/>
            <w:vMerge/>
          </w:tcPr>
          <w:p w14:paraId="6783DC75" w14:textId="77777777" w:rsidR="00436594" w:rsidRPr="00043B8D" w:rsidRDefault="00436594" w:rsidP="00194936">
            <w:pPr>
              <w:ind w:left="142"/>
              <w:jc w:val="left"/>
              <w:rPr>
                <w:rFonts w:cs="Arial"/>
                <w:sz w:val="18"/>
                <w:szCs w:val="18"/>
              </w:rPr>
            </w:pPr>
          </w:p>
        </w:tc>
        <w:tc>
          <w:tcPr>
            <w:tcW w:w="2759" w:type="dxa"/>
            <w:tcBorders>
              <w:top w:val="dashSmallGap" w:sz="4" w:space="0" w:color="auto"/>
              <w:bottom w:val="dashSmallGap" w:sz="4" w:space="0" w:color="auto"/>
            </w:tcBorders>
          </w:tcPr>
          <w:p w14:paraId="3FC2482E" w14:textId="5F82678C" w:rsidR="00436594" w:rsidRPr="00043B8D" w:rsidRDefault="00436594" w:rsidP="008E06D8">
            <w:pPr>
              <w:ind w:left="525"/>
              <w:jc w:val="left"/>
              <w:rPr>
                <w:rFonts w:cs="Arial"/>
                <w:sz w:val="18"/>
                <w:szCs w:val="18"/>
              </w:rPr>
            </w:pPr>
            <w:r w:rsidRPr="00043B8D">
              <w:rPr>
                <w:rFonts w:cs="Arial"/>
                <w:sz w:val="18"/>
                <w:szCs w:val="18"/>
              </w:rPr>
              <w:t>het tarief voor de compensatie van de netverliezen</w:t>
            </w:r>
          </w:p>
        </w:tc>
        <w:tc>
          <w:tcPr>
            <w:tcW w:w="2661" w:type="dxa"/>
            <w:tcBorders>
              <w:top w:val="dashSmallGap" w:sz="4" w:space="0" w:color="auto"/>
              <w:bottom w:val="dashSmallGap" w:sz="4" w:space="0" w:color="auto"/>
            </w:tcBorders>
          </w:tcPr>
          <w:p w14:paraId="1B57D5D8" w14:textId="77777777" w:rsidR="00436594" w:rsidRPr="00043B8D" w:rsidRDefault="006D6E01" w:rsidP="006D6E01">
            <w:pPr>
              <w:rPr>
                <w:rFonts w:cs="Arial"/>
                <w:sz w:val="18"/>
                <w:szCs w:val="18"/>
              </w:rPr>
            </w:pPr>
            <w:r w:rsidRPr="00043B8D">
              <w:rPr>
                <w:rFonts w:cs="Arial"/>
                <w:sz w:val="18"/>
                <w:szCs w:val="18"/>
              </w:rPr>
              <w:t>de aankoopkosten voor het verlies aan energie tijdens het de distributie</w:t>
            </w:r>
          </w:p>
        </w:tc>
        <w:tc>
          <w:tcPr>
            <w:tcW w:w="3398" w:type="dxa"/>
            <w:tcBorders>
              <w:top w:val="dashSmallGap" w:sz="4" w:space="0" w:color="auto"/>
              <w:bottom w:val="dashSmallGap" w:sz="4" w:space="0" w:color="auto"/>
            </w:tcBorders>
          </w:tcPr>
          <w:p w14:paraId="13B37DBD" w14:textId="77777777" w:rsidR="00436594" w:rsidRPr="00043B8D" w:rsidRDefault="00436594" w:rsidP="00424D42">
            <w:pPr>
              <w:rPr>
                <w:rFonts w:cs="Arial"/>
                <w:sz w:val="18"/>
                <w:szCs w:val="18"/>
              </w:rPr>
            </w:pPr>
            <w:r w:rsidRPr="00043B8D">
              <w:rPr>
                <w:rFonts w:cs="Arial"/>
                <w:sz w:val="18"/>
                <w:szCs w:val="18"/>
              </w:rPr>
              <w:t>Dit tarief is functie van de actieve energie geïnjecteerd of afgenomen door een netgebruiker (kWh).</w:t>
            </w:r>
          </w:p>
        </w:tc>
      </w:tr>
      <w:tr w:rsidR="00436594" w:rsidRPr="00043B8D" w14:paraId="0C86294D" w14:textId="77777777" w:rsidTr="00421179">
        <w:trPr>
          <w:cantSplit/>
        </w:trPr>
        <w:tc>
          <w:tcPr>
            <w:tcW w:w="468" w:type="dxa"/>
            <w:vMerge/>
          </w:tcPr>
          <w:p w14:paraId="4DC00723" w14:textId="77777777" w:rsidR="00436594" w:rsidRPr="00043B8D" w:rsidRDefault="00436594" w:rsidP="00194936">
            <w:pPr>
              <w:ind w:left="142"/>
              <w:jc w:val="left"/>
              <w:rPr>
                <w:rFonts w:cs="Arial"/>
                <w:sz w:val="18"/>
                <w:szCs w:val="18"/>
              </w:rPr>
            </w:pPr>
          </w:p>
        </w:tc>
        <w:tc>
          <w:tcPr>
            <w:tcW w:w="2759" w:type="dxa"/>
            <w:tcBorders>
              <w:top w:val="dashSmallGap" w:sz="4" w:space="0" w:color="auto"/>
            </w:tcBorders>
          </w:tcPr>
          <w:p w14:paraId="5ADEA786" w14:textId="77777777" w:rsidR="00436594" w:rsidRPr="00043B8D" w:rsidRDefault="00436594" w:rsidP="00272654">
            <w:pPr>
              <w:ind w:left="525"/>
              <w:jc w:val="left"/>
              <w:rPr>
                <w:rFonts w:cs="Arial"/>
                <w:sz w:val="18"/>
                <w:szCs w:val="18"/>
              </w:rPr>
            </w:pPr>
            <w:r w:rsidRPr="00043B8D">
              <w:rPr>
                <w:rFonts w:cs="Arial"/>
                <w:sz w:val="18"/>
                <w:szCs w:val="18"/>
              </w:rPr>
              <w:t>het tarief voor het niet respecteren van een aanvaard programma</w:t>
            </w:r>
          </w:p>
          <w:p w14:paraId="2ACDA968" w14:textId="77777777" w:rsidR="00436594" w:rsidRPr="00043B8D" w:rsidRDefault="00436594" w:rsidP="00272654">
            <w:pPr>
              <w:ind w:left="525"/>
              <w:jc w:val="left"/>
              <w:rPr>
                <w:rFonts w:cs="Arial"/>
                <w:sz w:val="18"/>
                <w:szCs w:val="18"/>
              </w:rPr>
            </w:pPr>
          </w:p>
        </w:tc>
        <w:tc>
          <w:tcPr>
            <w:tcW w:w="2661" w:type="dxa"/>
            <w:tcBorders>
              <w:top w:val="dashSmallGap" w:sz="4" w:space="0" w:color="auto"/>
            </w:tcBorders>
          </w:tcPr>
          <w:p w14:paraId="2EE8B993" w14:textId="77777777" w:rsidR="00436594" w:rsidRPr="00043B8D" w:rsidRDefault="008E7F70" w:rsidP="008E7F70">
            <w:pPr>
              <w:rPr>
                <w:rFonts w:cs="Arial"/>
                <w:sz w:val="18"/>
                <w:szCs w:val="18"/>
              </w:rPr>
            </w:pPr>
            <w:r w:rsidRPr="00043B8D">
              <w:rPr>
                <w:rFonts w:cs="Arial"/>
                <w:sz w:val="18"/>
                <w:szCs w:val="18"/>
              </w:rPr>
              <w:t>om de capaciteit, beschikbaarheid en stabiliteit van het net te herstellen</w:t>
            </w:r>
          </w:p>
        </w:tc>
        <w:tc>
          <w:tcPr>
            <w:tcW w:w="3398" w:type="dxa"/>
            <w:tcBorders>
              <w:top w:val="dashSmallGap" w:sz="4" w:space="0" w:color="auto"/>
            </w:tcBorders>
          </w:tcPr>
          <w:p w14:paraId="3123F81F" w14:textId="77777777" w:rsidR="00E573BC" w:rsidRPr="00043B8D" w:rsidRDefault="00E573BC" w:rsidP="00E573BC">
            <w:pPr>
              <w:rPr>
                <w:rFonts w:cs="Arial"/>
                <w:sz w:val="18"/>
                <w:szCs w:val="18"/>
              </w:rPr>
            </w:pPr>
            <w:r w:rsidRPr="00043B8D">
              <w:rPr>
                <w:rFonts w:cs="Arial"/>
                <w:sz w:val="18"/>
                <w:szCs w:val="18"/>
              </w:rPr>
              <w:t>Het tarief is functie van de bestemming (injectie of afname) en van de</w:t>
            </w:r>
          </w:p>
          <w:p w14:paraId="4BF28E2F" w14:textId="77777777" w:rsidR="00E573BC" w:rsidRPr="00043B8D" w:rsidRDefault="00E573BC" w:rsidP="00E573BC">
            <w:pPr>
              <w:rPr>
                <w:rFonts w:cs="Arial"/>
                <w:sz w:val="18"/>
                <w:szCs w:val="18"/>
              </w:rPr>
            </w:pPr>
            <w:r w:rsidRPr="00043B8D">
              <w:rPr>
                <w:rFonts w:cs="Arial"/>
                <w:sz w:val="18"/>
                <w:szCs w:val="18"/>
              </w:rPr>
              <w:t>grootte en het recurrente karakter van het verschil tussen de vastgestelde injectie of afname en het</w:t>
            </w:r>
          </w:p>
          <w:p w14:paraId="33458182" w14:textId="77777777" w:rsidR="00436594" w:rsidRPr="00043B8D" w:rsidRDefault="00E573BC" w:rsidP="00E573BC">
            <w:pPr>
              <w:rPr>
                <w:rFonts w:cs="Arial"/>
                <w:sz w:val="18"/>
                <w:szCs w:val="18"/>
              </w:rPr>
            </w:pPr>
            <w:r w:rsidRPr="00043B8D">
              <w:rPr>
                <w:rFonts w:cs="Arial"/>
                <w:sz w:val="18"/>
                <w:szCs w:val="18"/>
              </w:rPr>
              <w:t>aanvaard programma.</w:t>
            </w:r>
          </w:p>
        </w:tc>
      </w:tr>
      <w:tr w:rsidR="00436594" w:rsidRPr="00043B8D" w14:paraId="5D215D50" w14:textId="77777777" w:rsidTr="00421179">
        <w:trPr>
          <w:cantSplit/>
        </w:trPr>
        <w:tc>
          <w:tcPr>
            <w:tcW w:w="468" w:type="dxa"/>
          </w:tcPr>
          <w:p w14:paraId="11EB36FB" w14:textId="7967617F" w:rsidR="00436594" w:rsidRPr="00043B8D" w:rsidRDefault="00E82B63" w:rsidP="00194936">
            <w:pPr>
              <w:ind w:left="142"/>
              <w:jc w:val="left"/>
              <w:rPr>
                <w:rFonts w:cs="Arial"/>
                <w:sz w:val="18"/>
                <w:szCs w:val="18"/>
              </w:rPr>
            </w:pPr>
            <w:r w:rsidRPr="00043B8D">
              <w:rPr>
                <w:rFonts w:cs="Arial"/>
                <w:sz w:val="18"/>
                <w:szCs w:val="18"/>
              </w:rPr>
              <w:t>4</w:t>
            </w:r>
          </w:p>
        </w:tc>
        <w:tc>
          <w:tcPr>
            <w:tcW w:w="2759" w:type="dxa"/>
          </w:tcPr>
          <w:p w14:paraId="07A90405" w14:textId="77777777" w:rsidR="00436594" w:rsidRPr="00043B8D" w:rsidRDefault="00436594" w:rsidP="00194936">
            <w:pPr>
              <w:ind w:left="175"/>
              <w:jc w:val="left"/>
              <w:rPr>
                <w:rFonts w:cs="Arial"/>
                <w:sz w:val="18"/>
                <w:szCs w:val="18"/>
              </w:rPr>
            </w:pPr>
            <w:r w:rsidRPr="00043B8D">
              <w:rPr>
                <w:rFonts w:cs="Arial"/>
                <w:sz w:val="18"/>
                <w:szCs w:val="18"/>
              </w:rPr>
              <w:t>de toeslagen</w:t>
            </w:r>
          </w:p>
          <w:p w14:paraId="7A0BD635" w14:textId="77777777" w:rsidR="00436594" w:rsidRPr="00043B8D" w:rsidRDefault="00436594" w:rsidP="00194936">
            <w:pPr>
              <w:ind w:left="175"/>
              <w:jc w:val="left"/>
              <w:rPr>
                <w:rFonts w:cs="Arial"/>
                <w:sz w:val="18"/>
                <w:szCs w:val="18"/>
              </w:rPr>
            </w:pPr>
          </w:p>
          <w:p w14:paraId="33259768" w14:textId="77777777" w:rsidR="00436594" w:rsidRPr="00043B8D" w:rsidRDefault="00436594" w:rsidP="00FB404F">
            <w:pPr>
              <w:ind w:left="175"/>
              <w:jc w:val="left"/>
              <w:rPr>
                <w:rFonts w:cs="Arial"/>
                <w:sz w:val="18"/>
                <w:szCs w:val="18"/>
              </w:rPr>
            </w:pPr>
            <w:r w:rsidRPr="00043B8D">
              <w:rPr>
                <w:rFonts w:cs="Arial"/>
                <w:sz w:val="18"/>
                <w:szCs w:val="18"/>
              </w:rPr>
              <w:t>Deze toeslagen omvatten:</w:t>
            </w:r>
          </w:p>
          <w:p w14:paraId="442E36D7" w14:textId="39AEF7E6" w:rsidR="00436594" w:rsidRPr="00043B8D" w:rsidRDefault="00436594" w:rsidP="00B376D5">
            <w:pPr>
              <w:pStyle w:val="Lijstalinea"/>
              <w:numPr>
                <w:ilvl w:val="0"/>
                <w:numId w:val="19"/>
              </w:numPr>
              <w:jc w:val="left"/>
              <w:rPr>
                <w:rFonts w:cs="Arial"/>
                <w:sz w:val="18"/>
                <w:szCs w:val="18"/>
              </w:rPr>
            </w:pPr>
            <w:r w:rsidRPr="00043B8D">
              <w:rPr>
                <w:rFonts w:cs="Arial"/>
                <w:sz w:val="18"/>
                <w:szCs w:val="18"/>
              </w:rPr>
              <w:t xml:space="preserve">De kosten van niet-gekapitaliseerde pensioenen (zie in </w:t>
            </w:r>
            <w:r w:rsidR="00317EE0" w:rsidRPr="00043B8D">
              <w:rPr>
                <w:rFonts w:cs="Arial"/>
                <w:sz w:val="18"/>
                <w:szCs w:val="18"/>
              </w:rPr>
              <w:t>par</w:t>
            </w:r>
            <w:r w:rsidR="000B4252" w:rsidRPr="00043B8D">
              <w:rPr>
                <w:rFonts w:cs="Arial"/>
                <w:sz w:val="18"/>
                <w:szCs w:val="18"/>
              </w:rPr>
              <w:t>.</w:t>
            </w:r>
            <w:r w:rsidR="00317EE0" w:rsidRPr="00043B8D">
              <w:rPr>
                <w:rFonts w:cs="Arial"/>
                <w:sz w:val="18"/>
                <w:szCs w:val="18"/>
              </w:rPr>
              <w:t xml:space="preserve"> </w:t>
            </w:r>
            <w:r w:rsidRPr="00043B8D">
              <w:rPr>
                <w:rFonts w:cs="Arial"/>
                <w:sz w:val="18"/>
                <w:szCs w:val="18"/>
              </w:rPr>
              <w:fldChar w:fldCharType="begin"/>
            </w:r>
            <w:r w:rsidRPr="00043B8D">
              <w:rPr>
                <w:rFonts w:cs="Arial"/>
                <w:sz w:val="18"/>
                <w:szCs w:val="18"/>
              </w:rPr>
              <w:instrText xml:space="preserve"> REF _Ref363651894 \r \h  \* MERGEFORMAT </w:instrText>
            </w:r>
            <w:r w:rsidRPr="00043B8D">
              <w:rPr>
                <w:rFonts w:cs="Arial"/>
                <w:sz w:val="18"/>
                <w:szCs w:val="18"/>
              </w:rPr>
            </w:r>
            <w:r w:rsidRPr="00043B8D">
              <w:rPr>
                <w:rFonts w:cs="Arial"/>
                <w:sz w:val="18"/>
                <w:szCs w:val="18"/>
              </w:rPr>
              <w:fldChar w:fldCharType="separate"/>
            </w:r>
            <w:r w:rsidR="00B30F9B">
              <w:rPr>
                <w:rFonts w:cs="Arial"/>
                <w:sz w:val="18"/>
                <w:szCs w:val="18"/>
              </w:rPr>
              <w:t>5.4</w:t>
            </w:r>
            <w:r w:rsidRPr="00043B8D">
              <w:rPr>
                <w:rFonts w:cs="Arial"/>
                <w:sz w:val="18"/>
                <w:szCs w:val="18"/>
              </w:rPr>
              <w:fldChar w:fldCharType="end"/>
            </w:r>
            <w:r w:rsidRPr="00043B8D">
              <w:rPr>
                <w:rFonts w:cs="Arial"/>
                <w:sz w:val="18"/>
                <w:szCs w:val="18"/>
              </w:rPr>
              <w:t>).</w:t>
            </w:r>
          </w:p>
          <w:p w14:paraId="3BFAA993" w14:textId="4105B74B" w:rsidR="00436594" w:rsidRPr="00043B8D" w:rsidRDefault="00436594" w:rsidP="00B376D5">
            <w:pPr>
              <w:pStyle w:val="Lijstalinea"/>
              <w:numPr>
                <w:ilvl w:val="0"/>
                <w:numId w:val="19"/>
              </w:numPr>
              <w:jc w:val="left"/>
              <w:rPr>
                <w:rFonts w:cs="Arial"/>
                <w:sz w:val="18"/>
                <w:szCs w:val="18"/>
              </w:rPr>
            </w:pPr>
            <w:r w:rsidRPr="00043B8D">
              <w:rPr>
                <w:rFonts w:cs="Arial"/>
                <w:sz w:val="18"/>
                <w:szCs w:val="18"/>
              </w:rPr>
              <w:t>De belastingen of andere bedragen die geheven worden door publieke overheden en die door de betrokken distributienetbeheer</w:t>
            </w:r>
            <w:r w:rsidR="00EA0F9E" w:rsidRPr="00043B8D">
              <w:rPr>
                <w:rFonts w:cs="Arial"/>
                <w:sz w:val="18"/>
                <w:szCs w:val="18"/>
              </w:rPr>
              <w:t>-</w:t>
            </w:r>
            <w:r w:rsidRPr="00043B8D">
              <w:rPr>
                <w:rFonts w:cs="Arial"/>
                <w:sz w:val="18"/>
                <w:szCs w:val="18"/>
              </w:rPr>
              <w:t>de</w:t>
            </w:r>
            <w:r w:rsidR="00EA0F9E" w:rsidRPr="00043B8D">
              <w:rPr>
                <w:rFonts w:cs="Arial"/>
                <w:sz w:val="18"/>
                <w:szCs w:val="18"/>
              </w:rPr>
              <w:t>r</w:t>
            </w:r>
            <w:r w:rsidRPr="00043B8D">
              <w:rPr>
                <w:rFonts w:cs="Arial"/>
                <w:sz w:val="18"/>
                <w:szCs w:val="18"/>
              </w:rPr>
              <w:t xml:space="preserve"> verschuldigd zijn (obligatio) maar waarvan een derde de belasting draagt (contributio)</w:t>
            </w:r>
            <w:r w:rsidR="00986A50" w:rsidRPr="00043B8D">
              <w:rPr>
                <w:rStyle w:val="Voetnootmarkering"/>
                <w:rFonts w:cs="Arial"/>
                <w:sz w:val="18"/>
                <w:szCs w:val="18"/>
              </w:rPr>
              <w:footnoteReference w:id="65"/>
            </w:r>
            <w:r w:rsidRPr="00043B8D">
              <w:rPr>
                <w:rFonts w:cs="Arial"/>
                <w:sz w:val="18"/>
                <w:szCs w:val="18"/>
              </w:rPr>
              <w:t>.</w:t>
            </w:r>
          </w:p>
          <w:p w14:paraId="1A485395" w14:textId="77777777" w:rsidR="00436594" w:rsidRPr="00043B8D" w:rsidRDefault="00436594" w:rsidP="00DA16B0">
            <w:pPr>
              <w:jc w:val="left"/>
              <w:rPr>
                <w:rFonts w:cs="Arial"/>
                <w:sz w:val="18"/>
                <w:szCs w:val="18"/>
              </w:rPr>
            </w:pPr>
          </w:p>
          <w:p w14:paraId="63BB332C" w14:textId="35CF1784" w:rsidR="00436594" w:rsidRPr="00043B8D" w:rsidRDefault="00436594" w:rsidP="00744BAD">
            <w:pPr>
              <w:ind w:left="241"/>
              <w:jc w:val="left"/>
              <w:rPr>
                <w:rFonts w:cs="Arial"/>
                <w:sz w:val="18"/>
                <w:szCs w:val="18"/>
              </w:rPr>
            </w:pPr>
            <w:r w:rsidRPr="00043B8D">
              <w:rPr>
                <w:rFonts w:cs="Arial"/>
                <w:sz w:val="18"/>
                <w:szCs w:val="18"/>
              </w:rPr>
              <w:t>Deze toeslagen blijven vermeld in de tariefstructuur:</w:t>
            </w:r>
          </w:p>
          <w:p w14:paraId="1FA71A18" w14:textId="77777777" w:rsidR="00436594" w:rsidRPr="00043B8D" w:rsidRDefault="00436594" w:rsidP="00B376D5">
            <w:pPr>
              <w:pStyle w:val="Lijstalinea"/>
              <w:numPr>
                <w:ilvl w:val="0"/>
                <w:numId w:val="19"/>
              </w:numPr>
              <w:jc w:val="left"/>
              <w:rPr>
                <w:rFonts w:cs="Arial"/>
                <w:sz w:val="18"/>
                <w:szCs w:val="18"/>
              </w:rPr>
            </w:pPr>
            <w:r w:rsidRPr="00043B8D">
              <w:rPr>
                <w:rFonts w:cs="Arial"/>
                <w:sz w:val="18"/>
                <w:szCs w:val="18"/>
              </w:rPr>
              <w:t>de toeslagen of heffingen ter financiering van de openbare dienstverplichtingen</w:t>
            </w:r>
          </w:p>
          <w:p w14:paraId="68A0CEE7" w14:textId="77777777" w:rsidR="00436594" w:rsidRPr="00043B8D" w:rsidRDefault="00436594" w:rsidP="00B376D5">
            <w:pPr>
              <w:pStyle w:val="Lijstalinea"/>
              <w:numPr>
                <w:ilvl w:val="0"/>
                <w:numId w:val="19"/>
              </w:numPr>
              <w:jc w:val="left"/>
              <w:rPr>
                <w:rFonts w:cs="Arial"/>
                <w:sz w:val="18"/>
                <w:szCs w:val="18"/>
              </w:rPr>
            </w:pPr>
            <w:r w:rsidRPr="00043B8D">
              <w:rPr>
                <w:rFonts w:cs="Arial"/>
                <w:sz w:val="18"/>
                <w:szCs w:val="18"/>
              </w:rPr>
              <w:t>de toeslagen ter dekking van de werkingskosten van de CREG</w:t>
            </w:r>
          </w:p>
          <w:p w14:paraId="7C2E58FE" w14:textId="77777777" w:rsidR="00436594" w:rsidRPr="00043B8D" w:rsidRDefault="00436594" w:rsidP="00B376D5">
            <w:pPr>
              <w:pStyle w:val="Lijstalinea"/>
              <w:numPr>
                <w:ilvl w:val="0"/>
                <w:numId w:val="19"/>
              </w:numPr>
              <w:jc w:val="left"/>
              <w:rPr>
                <w:rFonts w:cs="Arial"/>
                <w:sz w:val="18"/>
                <w:szCs w:val="18"/>
              </w:rPr>
            </w:pPr>
            <w:r w:rsidRPr="00043B8D">
              <w:rPr>
                <w:rFonts w:cs="Arial"/>
                <w:sz w:val="18"/>
                <w:szCs w:val="18"/>
              </w:rPr>
              <w:t>de bijdragen ter dekking van de verloren kosten</w:t>
            </w:r>
          </w:p>
          <w:p w14:paraId="7097DFCA" w14:textId="7D16000F" w:rsidR="00436594" w:rsidRPr="00043B8D" w:rsidRDefault="00436594" w:rsidP="00B376D5">
            <w:pPr>
              <w:pStyle w:val="Lijstalinea"/>
              <w:numPr>
                <w:ilvl w:val="0"/>
                <w:numId w:val="19"/>
              </w:numPr>
              <w:jc w:val="left"/>
              <w:rPr>
                <w:rFonts w:cs="Arial"/>
                <w:sz w:val="18"/>
                <w:szCs w:val="18"/>
              </w:rPr>
            </w:pPr>
            <w:r w:rsidRPr="00043B8D">
              <w:rPr>
                <w:rFonts w:cs="Arial"/>
                <w:sz w:val="18"/>
                <w:szCs w:val="18"/>
              </w:rPr>
              <w:t>de rechtspersonen</w:t>
            </w:r>
            <w:r w:rsidR="008E06D8" w:rsidRPr="00043B8D">
              <w:rPr>
                <w:rFonts w:cs="Arial"/>
                <w:sz w:val="18"/>
                <w:szCs w:val="18"/>
              </w:rPr>
              <w:t>-</w:t>
            </w:r>
            <w:r w:rsidRPr="00043B8D">
              <w:rPr>
                <w:rFonts w:cs="Arial"/>
                <w:sz w:val="18"/>
                <w:szCs w:val="18"/>
              </w:rPr>
              <w:t>belasting</w:t>
            </w:r>
          </w:p>
        </w:tc>
        <w:tc>
          <w:tcPr>
            <w:tcW w:w="2661" w:type="dxa"/>
          </w:tcPr>
          <w:p w14:paraId="0D714ECF" w14:textId="77777777" w:rsidR="00436594" w:rsidRPr="00043B8D" w:rsidRDefault="00AD79C1" w:rsidP="00424D42">
            <w:pPr>
              <w:rPr>
                <w:sz w:val="18"/>
                <w:szCs w:val="18"/>
              </w:rPr>
            </w:pPr>
            <w:r w:rsidRPr="00043B8D">
              <w:rPr>
                <w:sz w:val="18"/>
                <w:szCs w:val="18"/>
              </w:rPr>
              <w:t>Overeenkomstig het tarief.</w:t>
            </w:r>
          </w:p>
        </w:tc>
        <w:tc>
          <w:tcPr>
            <w:tcW w:w="3398" w:type="dxa"/>
          </w:tcPr>
          <w:p w14:paraId="4EE90994" w14:textId="77777777" w:rsidR="00436594" w:rsidRPr="00043B8D" w:rsidRDefault="00436594" w:rsidP="00003B4A">
            <w:pPr>
              <w:rPr>
                <w:rFonts w:cs="Arial"/>
                <w:sz w:val="18"/>
                <w:szCs w:val="18"/>
              </w:rPr>
            </w:pPr>
            <w:r w:rsidRPr="00043B8D">
              <w:rPr>
                <w:sz w:val="18"/>
                <w:szCs w:val="18"/>
              </w:rPr>
              <w:t xml:space="preserve">De toeslagen </w:t>
            </w:r>
            <w:r w:rsidRPr="00043B8D">
              <w:rPr>
                <w:rFonts w:cs="Arial"/>
                <w:sz w:val="18"/>
                <w:szCs w:val="18"/>
              </w:rPr>
              <w:t xml:space="preserve">zijn functie van de actieve energie geïnjecteerd of afgenomen (kWh) door de </w:t>
            </w:r>
            <w:r w:rsidR="00003B4A" w:rsidRPr="00043B8D">
              <w:rPr>
                <w:rFonts w:cs="Arial"/>
                <w:sz w:val="18"/>
                <w:szCs w:val="18"/>
              </w:rPr>
              <w:t>distributienetgebruiker</w:t>
            </w:r>
            <w:r w:rsidRPr="00043B8D">
              <w:rPr>
                <w:rFonts w:cs="Arial"/>
                <w:sz w:val="18"/>
                <w:szCs w:val="18"/>
              </w:rPr>
              <w:t>.</w:t>
            </w:r>
          </w:p>
        </w:tc>
      </w:tr>
      <w:tr w:rsidR="00436594" w:rsidRPr="00043B8D" w14:paraId="59F19591" w14:textId="77777777" w:rsidTr="00421179">
        <w:trPr>
          <w:cantSplit/>
        </w:trPr>
        <w:tc>
          <w:tcPr>
            <w:tcW w:w="468" w:type="dxa"/>
          </w:tcPr>
          <w:p w14:paraId="6405AB24" w14:textId="399E18F9" w:rsidR="00436594" w:rsidRPr="00043B8D" w:rsidRDefault="00E82B63" w:rsidP="00194936">
            <w:pPr>
              <w:ind w:left="142"/>
              <w:jc w:val="left"/>
              <w:rPr>
                <w:rFonts w:cs="Arial"/>
                <w:sz w:val="18"/>
                <w:szCs w:val="18"/>
              </w:rPr>
            </w:pPr>
            <w:r w:rsidRPr="00043B8D">
              <w:rPr>
                <w:rFonts w:cs="Arial"/>
                <w:sz w:val="18"/>
                <w:szCs w:val="18"/>
              </w:rPr>
              <w:t>5</w:t>
            </w:r>
          </w:p>
        </w:tc>
        <w:tc>
          <w:tcPr>
            <w:tcW w:w="2759" w:type="dxa"/>
          </w:tcPr>
          <w:p w14:paraId="48835F31" w14:textId="77777777" w:rsidR="00436594" w:rsidRPr="00043B8D" w:rsidRDefault="00436594" w:rsidP="00194936">
            <w:pPr>
              <w:ind w:left="175"/>
              <w:jc w:val="left"/>
              <w:rPr>
                <w:rFonts w:cs="Arial"/>
                <w:sz w:val="18"/>
                <w:szCs w:val="18"/>
              </w:rPr>
            </w:pPr>
            <w:r w:rsidRPr="00043B8D">
              <w:rPr>
                <w:rFonts w:cs="Arial"/>
                <w:sz w:val="18"/>
                <w:szCs w:val="18"/>
              </w:rPr>
              <w:t>Het tarief in verband met het gebruik van het transmissienet</w:t>
            </w:r>
          </w:p>
          <w:p w14:paraId="72E7AFD7" w14:textId="77777777" w:rsidR="00436594" w:rsidRPr="00043B8D" w:rsidRDefault="00436594" w:rsidP="00194936">
            <w:pPr>
              <w:ind w:left="175"/>
              <w:jc w:val="left"/>
              <w:rPr>
                <w:rFonts w:cs="Arial"/>
                <w:sz w:val="18"/>
                <w:szCs w:val="18"/>
              </w:rPr>
            </w:pPr>
          </w:p>
        </w:tc>
        <w:tc>
          <w:tcPr>
            <w:tcW w:w="2661" w:type="dxa"/>
          </w:tcPr>
          <w:p w14:paraId="3D51D187" w14:textId="77777777" w:rsidR="00436594" w:rsidRPr="00043B8D" w:rsidRDefault="00317EE0" w:rsidP="00E51E22">
            <w:pPr>
              <w:rPr>
                <w:rFonts w:cs="Arial"/>
                <w:sz w:val="18"/>
                <w:szCs w:val="18"/>
              </w:rPr>
            </w:pPr>
            <w:r w:rsidRPr="00043B8D">
              <w:rPr>
                <w:rFonts w:cs="Arial"/>
                <w:sz w:val="18"/>
                <w:szCs w:val="18"/>
              </w:rPr>
              <w:t>Kosten in verband met het gebruik van het transmissienet</w:t>
            </w:r>
          </w:p>
        </w:tc>
        <w:tc>
          <w:tcPr>
            <w:tcW w:w="3398" w:type="dxa"/>
          </w:tcPr>
          <w:p w14:paraId="06DFFCCA" w14:textId="752518A8" w:rsidR="00436594" w:rsidRPr="00043B8D" w:rsidRDefault="00436594" w:rsidP="00E51E22">
            <w:pPr>
              <w:rPr>
                <w:rFonts w:cs="Arial"/>
                <w:sz w:val="18"/>
                <w:szCs w:val="18"/>
              </w:rPr>
            </w:pPr>
            <w:r w:rsidRPr="00043B8D">
              <w:rPr>
                <w:rFonts w:cs="Arial"/>
                <w:sz w:val="18"/>
                <w:szCs w:val="18"/>
              </w:rPr>
              <w:t>Deze tarieven staan in functie van de tarieven van de transmissienetbeheerder aan de distributienetbeheerder</w:t>
            </w:r>
            <w:r w:rsidR="003C75ED" w:rsidRPr="00043B8D">
              <w:rPr>
                <w:rFonts w:cs="Arial"/>
                <w:sz w:val="18"/>
                <w:szCs w:val="18"/>
              </w:rPr>
              <w:t xml:space="preserve"> en zijn gebaseerd op de afgenomen energie</w:t>
            </w:r>
            <w:r w:rsidRPr="00043B8D">
              <w:rPr>
                <w:rFonts w:cs="Arial"/>
                <w:sz w:val="18"/>
                <w:szCs w:val="18"/>
              </w:rPr>
              <w:t>.</w:t>
            </w:r>
          </w:p>
        </w:tc>
      </w:tr>
      <w:tr w:rsidR="002805E5" w:rsidRPr="00043B8D" w14:paraId="55F0AC88" w14:textId="77777777" w:rsidTr="00421179">
        <w:trPr>
          <w:cantSplit/>
        </w:trPr>
        <w:tc>
          <w:tcPr>
            <w:tcW w:w="468" w:type="dxa"/>
          </w:tcPr>
          <w:p w14:paraId="4666A7F2" w14:textId="4A15FE69" w:rsidR="002805E5" w:rsidRPr="00043B8D" w:rsidRDefault="00E82B63" w:rsidP="00194936">
            <w:pPr>
              <w:ind w:left="142"/>
              <w:jc w:val="left"/>
              <w:rPr>
                <w:rFonts w:cs="Arial"/>
                <w:sz w:val="18"/>
                <w:szCs w:val="18"/>
              </w:rPr>
            </w:pPr>
            <w:r w:rsidRPr="00043B8D">
              <w:rPr>
                <w:rFonts w:cs="Arial"/>
                <w:sz w:val="18"/>
                <w:szCs w:val="18"/>
              </w:rPr>
              <w:t>6</w:t>
            </w:r>
          </w:p>
        </w:tc>
        <w:tc>
          <w:tcPr>
            <w:tcW w:w="2759" w:type="dxa"/>
          </w:tcPr>
          <w:p w14:paraId="6B45D976" w14:textId="1FA9C3F2" w:rsidR="002805E5" w:rsidRPr="00043B8D" w:rsidRDefault="001A6601" w:rsidP="001A6601">
            <w:pPr>
              <w:ind w:left="175"/>
              <w:jc w:val="left"/>
              <w:rPr>
                <w:rFonts w:cs="Arial"/>
                <w:sz w:val="18"/>
                <w:szCs w:val="18"/>
              </w:rPr>
            </w:pPr>
            <w:r w:rsidRPr="00043B8D">
              <w:rPr>
                <w:rFonts w:cs="Arial"/>
                <w:sz w:val="18"/>
                <w:szCs w:val="18"/>
              </w:rPr>
              <w:t xml:space="preserve">Aanvullend </w:t>
            </w:r>
            <w:r w:rsidR="0041708C" w:rsidRPr="00043B8D">
              <w:rPr>
                <w:rFonts w:cs="Arial"/>
                <w:sz w:val="18"/>
                <w:szCs w:val="18"/>
              </w:rPr>
              <w:t>c</w:t>
            </w:r>
            <w:r w:rsidR="002805E5" w:rsidRPr="00043B8D">
              <w:rPr>
                <w:rFonts w:cs="Arial"/>
                <w:sz w:val="18"/>
                <w:szCs w:val="18"/>
              </w:rPr>
              <w:t xml:space="preserve">apaciteitstarief voor </w:t>
            </w:r>
            <w:r w:rsidR="001C3C92" w:rsidRPr="00043B8D">
              <w:rPr>
                <w:rFonts w:cs="Arial"/>
                <w:sz w:val="18"/>
                <w:szCs w:val="18"/>
              </w:rPr>
              <w:t xml:space="preserve">klantengroep </w:t>
            </w:r>
            <w:r w:rsidR="002805E5" w:rsidRPr="00043B8D">
              <w:rPr>
                <w:rFonts w:cs="Arial"/>
                <w:sz w:val="18"/>
                <w:szCs w:val="18"/>
              </w:rPr>
              <w:t>prosumenten met terugdraaiende teller</w:t>
            </w:r>
            <w:r w:rsidR="008E7708" w:rsidRPr="00043B8D">
              <w:rPr>
                <w:rFonts w:cs="Arial"/>
                <w:sz w:val="18"/>
                <w:szCs w:val="18"/>
              </w:rPr>
              <w:t>.</w:t>
            </w:r>
          </w:p>
        </w:tc>
        <w:tc>
          <w:tcPr>
            <w:tcW w:w="2661" w:type="dxa"/>
          </w:tcPr>
          <w:p w14:paraId="71B468F1" w14:textId="0AACD0CC" w:rsidR="002805E5" w:rsidRPr="00043B8D" w:rsidRDefault="00D8311F" w:rsidP="00D8311F">
            <w:pPr>
              <w:rPr>
                <w:rFonts w:cs="Arial"/>
                <w:sz w:val="18"/>
                <w:szCs w:val="18"/>
              </w:rPr>
            </w:pPr>
            <w:r w:rsidRPr="00043B8D">
              <w:rPr>
                <w:rFonts w:cs="Arial"/>
                <w:sz w:val="18"/>
                <w:szCs w:val="18"/>
              </w:rPr>
              <w:t>Het r</w:t>
            </w:r>
            <w:r w:rsidR="003022A4" w:rsidRPr="00043B8D">
              <w:rPr>
                <w:rFonts w:cs="Arial"/>
                <w:sz w:val="18"/>
                <w:szCs w:val="18"/>
              </w:rPr>
              <w:t>esterende</w:t>
            </w:r>
            <w:r w:rsidRPr="00043B8D">
              <w:rPr>
                <w:rFonts w:cs="Arial"/>
                <w:sz w:val="18"/>
                <w:szCs w:val="18"/>
              </w:rPr>
              <w:t xml:space="preserve"> en </w:t>
            </w:r>
            <w:r w:rsidR="003022A4" w:rsidRPr="00043B8D">
              <w:rPr>
                <w:rFonts w:cs="Arial"/>
                <w:sz w:val="18"/>
                <w:szCs w:val="18"/>
              </w:rPr>
              <w:t>aan deze klantengroep</w:t>
            </w:r>
            <w:r w:rsidR="006A4886" w:rsidRPr="00043B8D">
              <w:rPr>
                <w:rFonts w:cs="Arial"/>
                <w:sz w:val="18"/>
                <w:szCs w:val="18"/>
              </w:rPr>
              <w:t xml:space="preserve"> (prosumenten met terugdraaiende teller)</w:t>
            </w:r>
            <w:r w:rsidR="003022A4" w:rsidRPr="00043B8D">
              <w:rPr>
                <w:rFonts w:cs="Arial"/>
                <w:sz w:val="18"/>
                <w:szCs w:val="18"/>
              </w:rPr>
              <w:t xml:space="preserve"> toegewezen gedeelte van </w:t>
            </w:r>
            <w:r w:rsidRPr="00043B8D">
              <w:rPr>
                <w:rFonts w:cs="Arial"/>
                <w:sz w:val="18"/>
                <w:szCs w:val="18"/>
              </w:rPr>
              <w:t xml:space="preserve">al de </w:t>
            </w:r>
            <w:r w:rsidR="00357EF2" w:rsidRPr="00043B8D">
              <w:rPr>
                <w:rFonts w:cs="Arial"/>
                <w:sz w:val="18"/>
                <w:szCs w:val="18"/>
              </w:rPr>
              <w:t>hierb</w:t>
            </w:r>
            <w:r w:rsidR="002805E5" w:rsidRPr="00043B8D">
              <w:rPr>
                <w:rFonts w:cs="Arial"/>
                <w:sz w:val="18"/>
                <w:szCs w:val="18"/>
              </w:rPr>
              <w:t>oven</w:t>
            </w:r>
            <w:r w:rsidR="00357EF2" w:rsidRPr="00043B8D">
              <w:rPr>
                <w:rFonts w:cs="Arial"/>
                <w:sz w:val="18"/>
                <w:szCs w:val="18"/>
              </w:rPr>
              <w:t xml:space="preserve"> </w:t>
            </w:r>
            <w:r w:rsidR="002805E5" w:rsidRPr="00043B8D">
              <w:rPr>
                <w:rFonts w:cs="Arial"/>
                <w:sz w:val="18"/>
                <w:szCs w:val="18"/>
              </w:rPr>
              <w:t>vermelde kosten</w:t>
            </w:r>
            <w:r w:rsidRPr="00043B8D">
              <w:rPr>
                <w:rFonts w:cs="Arial"/>
                <w:sz w:val="18"/>
                <w:szCs w:val="18"/>
              </w:rPr>
              <w:t>,</w:t>
            </w:r>
            <w:r w:rsidR="002805E5" w:rsidRPr="00043B8D">
              <w:rPr>
                <w:rFonts w:cs="Arial"/>
                <w:sz w:val="18"/>
                <w:szCs w:val="18"/>
              </w:rPr>
              <w:t xml:space="preserve"> </w:t>
            </w:r>
            <w:r w:rsidR="00357EF2" w:rsidRPr="00043B8D">
              <w:rPr>
                <w:rFonts w:cs="Arial"/>
                <w:sz w:val="18"/>
                <w:szCs w:val="18"/>
              </w:rPr>
              <w:t>met uitzondering van de kosten m.b.t. de meetapparatuur alsook de kosten van de activiteit van het meten, inbegrepen de verzameling, validatie en transmissie van de gemeten data naar een nieuwe leverancier wanneer de distributienetgebruiker van leverancier verandert.</w:t>
            </w:r>
          </w:p>
        </w:tc>
        <w:tc>
          <w:tcPr>
            <w:tcW w:w="3398" w:type="dxa"/>
          </w:tcPr>
          <w:p w14:paraId="312AE71A" w14:textId="40AD3C5F" w:rsidR="002805E5" w:rsidRPr="00043B8D" w:rsidRDefault="00357EF2" w:rsidP="003C75ED">
            <w:pPr>
              <w:rPr>
                <w:rFonts w:cs="Arial"/>
                <w:sz w:val="18"/>
                <w:szCs w:val="18"/>
              </w:rPr>
            </w:pPr>
            <w:r w:rsidRPr="00043B8D">
              <w:rPr>
                <w:rFonts w:cs="Arial"/>
                <w:sz w:val="18"/>
                <w:szCs w:val="18"/>
              </w:rPr>
              <w:t xml:space="preserve">Het tarief </w:t>
            </w:r>
            <w:r w:rsidR="006A4886" w:rsidRPr="00043B8D">
              <w:rPr>
                <w:rFonts w:cs="Arial"/>
                <w:sz w:val="18"/>
                <w:szCs w:val="18"/>
              </w:rPr>
              <w:t>is functie van het door de netgebruiker</w:t>
            </w:r>
            <w:r w:rsidR="006B31F4" w:rsidRPr="00043B8D">
              <w:rPr>
                <w:rFonts w:cs="Arial"/>
                <w:sz w:val="18"/>
                <w:szCs w:val="18"/>
              </w:rPr>
              <w:t xml:space="preserve"> </w:t>
            </w:r>
            <w:r w:rsidRPr="00043B8D">
              <w:rPr>
                <w:rFonts w:cs="Arial"/>
                <w:sz w:val="18"/>
                <w:szCs w:val="18"/>
              </w:rPr>
              <w:t xml:space="preserve">geïnstalleerd </w:t>
            </w:r>
            <w:r w:rsidR="00180295" w:rsidRPr="00043B8D">
              <w:rPr>
                <w:rFonts w:cs="Arial"/>
                <w:sz w:val="18"/>
                <w:szCs w:val="18"/>
              </w:rPr>
              <w:t>[</w:t>
            </w:r>
            <w:r w:rsidR="00F54F64" w:rsidRPr="00043B8D">
              <w:rPr>
                <w:rFonts w:cs="Arial"/>
                <w:sz w:val="18"/>
                <w:szCs w:val="18"/>
              </w:rPr>
              <w:t>maximaal</w:t>
            </w:r>
            <w:r w:rsidR="00180295" w:rsidRPr="00043B8D">
              <w:rPr>
                <w:rFonts w:cs="Arial"/>
                <w:sz w:val="18"/>
                <w:szCs w:val="18"/>
              </w:rPr>
              <w:t>]</w:t>
            </w:r>
            <w:r w:rsidR="00180295" w:rsidRPr="00043B8D">
              <w:rPr>
                <w:rStyle w:val="Voetnootmarkering"/>
                <w:rFonts w:cs="Arial"/>
                <w:sz w:val="18"/>
                <w:szCs w:val="18"/>
              </w:rPr>
              <w:footnoteReference w:id="66"/>
            </w:r>
            <w:r w:rsidR="00F54F64" w:rsidRPr="00043B8D">
              <w:rPr>
                <w:rFonts w:cs="Arial"/>
                <w:sz w:val="18"/>
                <w:szCs w:val="18"/>
              </w:rPr>
              <w:t xml:space="preserve"> </w:t>
            </w:r>
            <w:r w:rsidRPr="00043B8D">
              <w:rPr>
                <w:rFonts w:cs="Arial"/>
                <w:sz w:val="18"/>
                <w:szCs w:val="18"/>
              </w:rPr>
              <w:t>vermogen</w:t>
            </w:r>
            <w:r w:rsidR="006A4886" w:rsidRPr="00043B8D">
              <w:rPr>
                <w:rFonts w:cs="Arial"/>
                <w:sz w:val="18"/>
                <w:szCs w:val="18"/>
              </w:rPr>
              <w:t xml:space="preserve"> (kVA</w:t>
            </w:r>
            <w:r w:rsidR="00180295" w:rsidRPr="00043B8D">
              <w:rPr>
                <w:rFonts w:cs="Arial"/>
                <w:sz w:val="18"/>
                <w:szCs w:val="18"/>
              </w:rPr>
              <w:t>[</w:t>
            </w:r>
            <w:r w:rsidR="00F54F64" w:rsidRPr="00043B8D">
              <w:rPr>
                <w:rStyle w:val="Voetnootmarkering"/>
                <w:rFonts w:cs="Arial"/>
                <w:sz w:val="18"/>
                <w:szCs w:val="18"/>
              </w:rPr>
              <w:footnoteReference w:id="67"/>
            </w:r>
            <w:r w:rsidR="00180295" w:rsidRPr="00043B8D">
              <w:rPr>
                <w:rFonts w:cs="Arial"/>
                <w:sz w:val="18"/>
                <w:szCs w:val="18"/>
              </w:rPr>
              <w:t>]</w:t>
            </w:r>
            <w:r w:rsidR="00180295" w:rsidRPr="00043B8D">
              <w:rPr>
                <w:rStyle w:val="Voetnootmarkering"/>
                <w:rFonts w:cs="Arial"/>
                <w:sz w:val="18"/>
                <w:szCs w:val="18"/>
              </w:rPr>
              <w:footnoteReference w:id="68"/>
            </w:r>
            <w:r w:rsidR="006A4886" w:rsidRPr="00043B8D">
              <w:rPr>
                <w:rFonts w:cs="Arial"/>
                <w:sz w:val="18"/>
                <w:szCs w:val="18"/>
              </w:rPr>
              <w:t>)</w:t>
            </w:r>
            <w:r w:rsidR="003C75ED" w:rsidRPr="00043B8D">
              <w:rPr>
                <w:rFonts w:cs="Arial"/>
                <w:sz w:val="18"/>
                <w:szCs w:val="18"/>
              </w:rPr>
              <w:t xml:space="preserve"> van de omvormer (bij PV-installaties) of de generator (bij andere installaties)</w:t>
            </w:r>
            <w:r w:rsidRPr="00043B8D">
              <w:rPr>
                <w:rFonts w:cs="Arial"/>
                <w:sz w:val="18"/>
                <w:szCs w:val="18"/>
              </w:rPr>
              <w:t>.</w:t>
            </w:r>
          </w:p>
        </w:tc>
      </w:tr>
    </w:tbl>
    <w:p w14:paraId="2403C0C2" w14:textId="77777777" w:rsidR="00194936" w:rsidRPr="00043B8D" w:rsidRDefault="00194936" w:rsidP="00C0501E">
      <w:pPr>
        <w:jc w:val="left"/>
        <w:rPr>
          <w:rFonts w:cs="Arial"/>
        </w:rPr>
      </w:pPr>
    </w:p>
    <w:p w14:paraId="3651621D" w14:textId="77777777" w:rsidR="00016E2A" w:rsidRPr="00043B8D" w:rsidRDefault="00016E2A" w:rsidP="009729FE">
      <w:pPr>
        <w:rPr>
          <w:rFonts w:cs="Arial"/>
        </w:rPr>
      </w:pPr>
    </w:p>
    <w:p w14:paraId="6B2C0647" w14:textId="500D3FCD" w:rsidR="003C75ED" w:rsidRPr="00043B8D" w:rsidRDefault="003C75ED" w:rsidP="009729FE">
      <w:pPr>
        <w:rPr>
          <w:rFonts w:cs="Arial"/>
        </w:rPr>
      </w:pPr>
      <w:r w:rsidRPr="00043B8D">
        <w:rPr>
          <w:rFonts w:cs="Arial"/>
        </w:rPr>
        <w:t>Tarieven op basis van geïnjecteerde energie zijn niet van toepassing op prosumenten.</w:t>
      </w:r>
    </w:p>
    <w:p w14:paraId="3F06873A" w14:textId="1F53DC22" w:rsidR="002221ED" w:rsidRPr="00043B8D" w:rsidRDefault="00C0501E" w:rsidP="009729FE">
      <w:pPr>
        <w:rPr>
          <w:rFonts w:cs="Arial"/>
        </w:rPr>
      </w:pPr>
      <w:r w:rsidRPr="00043B8D">
        <w:rPr>
          <w:rFonts w:cs="Arial"/>
        </w:rPr>
        <w:t>Zodra de distributienetbeheerder kennis krijgt van een nieuwe toeslag</w:t>
      </w:r>
      <w:r w:rsidR="00EE41FF" w:rsidRPr="00043B8D">
        <w:rPr>
          <w:rFonts w:cs="Arial"/>
        </w:rPr>
        <w:t xml:space="preserve"> over zijn werkingsgebied</w:t>
      </w:r>
      <w:r w:rsidRPr="00043B8D">
        <w:rPr>
          <w:rFonts w:cs="Arial"/>
        </w:rPr>
        <w:t xml:space="preserve">, informeert hij de </w:t>
      </w:r>
      <w:r w:rsidR="009729FE" w:rsidRPr="00043B8D">
        <w:rPr>
          <w:rFonts w:cs="Arial"/>
        </w:rPr>
        <w:t>VREG</w:t>
      </w:r>
      <w:r w:rsidRPr="00043B8D">
        <w:rPr>
          <w:rFonts w:cs="Arial"/>
        </w:rPr>
        <w:t xml:space="preserve"> hiervan. De </w:t>
      </w:r>
      <w:r w:rsidR="009729FE" w:rsidRPr="00043B8D">
        <w:rPr>
          <w:rFonts w:cs="Arial"/>
        </w:rPr>
        <w:t xml:space="preserve">VREG </w:t>
      </w:r>
      <w:r w:rsidRPr="00043B8D">
        <w:rPr>
          <w:rFonts w:cs="Arial"/>
        </w:rPr>
        <w:t>en de</w:t>
      </w:r>
      <w:r w:rsidR="009729FE" w:rsidRPr="00043B8D">
        <w:rPr>
          <w:rFonts w:cs="Arial"/>
        </w:rPr>
        <w:t xml:space="preserve"> </w:t>
      </w:r>
      <w:r w:rsidRPr="00043B8D">
        <w:rPr>
          <w:rFonts w:cs="Arial"/>
        </w:rPr>
        <w:t xml:space="preserve">distributienetbeheerder overleggen teneinde de toeslag in de tarieven op te nemen. </w:t>
      </w:r>
    </w:p>
    <w:p w14:paraId="1C340EF0" w14:textId="77777777" w:rsidR="00023190" w:rsidRPr="00043B8D" w:rsidRDefault="00023190">
      <w:pPr>
        <w:jc w:val="left"/>
        <w:rPr>
          <w:rFonts w:cs="Arial"/>
        </w:rPr>
      </w:pPr>
    </w:p>
    <w:p w14:paraId="3BD91BE1" w14:textId="6CEF7E17" w:rsidR="00066084" w:rsidRPr="00043B8D" w:rsidRDefault="00066084" w:rsidP="00066084">
      <w:pPr>
        <w:rPr>
          <w:rFonts w:cs="Arial"/>
        </w:rPr>
      </w:pPr>
      <w:r w:rsidRPr="00043B8D">
        <w:rPr>
          <w:rFonts w:cs="Arial"/>
        </w:rPr>
        <w:t>De kost</w:t>
      </w:r>
      <w:r w:rsidR="001E2867" w:rsidRPr="00043B8D">
        <w:rPr>
          <w:rFonts w:cs="Arial"/>
        </w:rPr>
        <w:t>en</w:t>
      </w:r>
      <w:r w:rsidRPr="00043B8D">
        <w:rPr>
          <w:rFonts w:cs="Arial"/>
        </w:rPr>
        <w:t xml:space="preserve"> v</w:t>
      </w:r>
      <w:r w:rsidR="001E2867" w:rsidRPr="00043B8D">
        <w:rPr>
          <w:rFonts w:cs="Arial"/>
        </w:rPr>
        <w:t>oor</w:t>
      </w:r>
      <w:r w:rsidRPr="00043B8D">
        <w:rPr>
          <w:rFonts w:cs="Arial"/>
        </w:rPr>
        <w:t xml:space="preserve"> een eventuele vennootschapsbelasting</w:t>
      </w:r>
      <w:r w:rsidR="00B06C19" w:rsidRPr="00043B8D">
        <w:rPr>
          <w:rStyle w:val="Voetnootmarkering"/>
          <w:rFonts w:cs="Arial"/>
        </w:rPr>
        <w:footnoteReference w:id="69"/>
      </w:r>
      <w:r w:rsidRPr="00043B8D">
        <w:rPr>
          <w:rFonts w:cs="Arial"/>
        </w:rPr>
        <w:t xml:space="preserve"> word</w:t>
      </w:r>
      <w:r w:rsidR="00092BB8" w:rsidRPr="00043B8D">
        <w:rPr>
          <w:rFonts w:cs="Arial"/>
        </w:rPr>
        <w:t>en</w:t>
      </w:r>
      <w:r w:rsidRPr="00043B8D">
        <w:rPr>
          <w:rFonts w:cs="Arial"/>
        </w:rPr>
        <w:t xml:space="preserve"> toegewezen aan het tarief voor het gebruik van het distributienet. De gehanteerde tariefmethodologie, met een normatieve kapitaalkostenvergoeding als onderdeel van het toegelaten inkomen voor niet-exogene kosten, impliceert dat deze vennootschapsbelasting wordt verwerkt in de berekening van deze kapitaalkostenvergoeding</w:t>
      </w:r>
      <w:r w:rsidR="001E2867" w:rsidRPr="00043B8D">
        <w:rPr>
          <w:rStyle w:val="Voetnootmarkering"/>
          <w:rFonts w:cs="Arial"/>
        </w:rPr>
        <w:footnoteReference w:id="70"/>
      </w:r>
      <w:r w:rsidRPr="00043B8D">
        <w:rPr>
          <w:rFonts w:cs="Arial"/>
        </w:rPr>
        <w:t xml:space="preserve"> en </w:t>
      </w:r>
      <w:r w:rsidR="00203ABF" w:rsidRPr="00043B8D">
        <w:rPr>
          <w:rFonts w:cs="Arial"/>
        </w:rPr>
        <w:t xml:space="preserve">bijgevolg </w:t>
      </w:r>
      <w:r w:rsidRPr="00043B8D">
        <w:rPr>
          <w:rFonts w:cs="Arial"/>
        </w:rPr>
        <w:t>niet afzonderlijk als exogeen element kan behandeld worden.</w:t>
      </w:r>
    </w:p>
    <w:p w14:paraId="130F50EC" w14:textId="77777777" w:rsidR="00066084" w:rsidRPr="00043B8D" w:rsidRDefault="00066084">
      <w:pPr>
        <w:jc w:val="left"/>
        <w:rPr>
          <w:rFonts w:cs="Arial"/>
        </w:rPr>
      </w:pPr>
    </w:p>
    <w:p w14:paraId="142DC3AA" w14:textId="40D4DFFA" w:rsidR="00023190" w:rsidRPr="00043B8D" w:rsidRDefault="00023190" w:rsidP="005251E2">
      <w:pPr>
        <w:pStyle w:val="Kop2"/>
        <w:numPr>
          <w:ilvl w:val="3"/>
          <w:numId w:val="24"/>
        </w:numPr>
        <w:rPr>
          <w:i/>
          <w:sz w:val="22"/>
          <w:szCs w:val="22"/>
        </w:rPr>
      </w:pPr>
      <w:bookmarkStart w:id="558" w:name="_Toc454186705"/>
      <w:r w:rsidRPr="00043B8D">
        <w:rPr>
          <w:i/>
          <w:sz w:val="22"/>
          <w:szCs w:val="22"/>
        </w:rPr>
        <w:t>Prosumenten</w:t>
      </w:r>
      <w:bookmarkEnd w:id="558"/>
    </w:p>
    <w:p w14:paraId="0D52F6D7" w14:textId="77777777" w:rsidR="00397C51" w:rsidRPr="00043B8D" w:rsidRDefault="00397C51" w:rsidP="00704FCC">
      <w:pPr>
        <w:jc w:val="left"/>
        <w:rPr>
          <w:rFonts w:cs="Arial"/>
          <w:i/>
        </w:rPr>
      </w:pPr>
    </w:p>
    <w:p w14:paraId="4CCA14AE" w14:textId="77777777" w:rsidR="00704FCC" w:rsidRPr="00043B8D" w:rsidRDefault="00704FCC" w:rsidP="00704FCC">
      <w:pPr>
        <w:jc w:val="left"/>
        <w:rPr>
          <w:rFonts w:cs="Arial"/>
          <w:i/>
        </w:rPr>
      </w:pPr>
      <w:r w:rsidRPr="00043B8D">
        <w:rPr>
          <w:rFonts w:cs="Arial"/>
          <w:i/>
        </w:rPr>
        <w:t>Afname</w:t>
      </w:r>
    </w:p>
    <w:p w14:paraId="7F884880" w14:textId="77777777" w:rsidR="00704FCC" w:rsidRPr="00043B8D" w:rsidRDefault="00704FCC" w:rsidP="00704FCC">
      <w:pPr>
        <w:jc w:val="left"/>
        <w:rPr>
          <w:rFonts w:cs="Arial"/>
        </w:rPr>
      </w:pPr>
    </w:p>
    <w:p w14:paraId="2A5248EB" w14:textId="61308836" w:rsidR="00704FCC" w:rsidRPr="00043B8D" w:rsidRDefault="00704FCC" w:rsidP="00704FCC">
      <w:pPr>
        <w:rPr>
          <w:rFonts w:cs="Arial"/>
        </w:rPr>
      </w:pPr>
      <w:r w:rsidRPr="00043B8D">
        <w:rPr>
          <w:rFonts w:cs="Arial"/>
        </w:rPr>
        <w:t xml:space="preserve">De elektriciteitsdistributienetbeheerder is verantwoordelijk voor de bepaling van de hoeveelheid actieve energie afgenomen per elektriciteitsdistributienetgebruiker op zijn net, overeenkomstig zijn taken o.a. in het Energiedecreet.  Hij zal daartoe voor de hoeveelheid actieve energie afgenomen door een distributienetgebruiker zoals vermeld in </w:t>
      </w:r>
      <w:r w:rsidRPr="00043B8D">
        <w:rPr>
          <w:rFonts w:cs="Arial"/>
        </w:rPr>
        <w:fldChar w:fldCharType="begin"/>
      </w:r>
      <w:r w:rsidRPr="00043B8D">
        <w:rPr>
          <w:rFonts w:cs="Arial"/>
        </w:rPr>
        <w:instrText xml:space="preserve"> REF _Ref390178671 \h </w:instrText>
      </w:r>
      <w:r w:rsidR="00043B8D">
        <w:rPr>
          <w:rFonts w:cs="Arial"/>
        </w:rPr>
        <w:instrText xml:space="preserve"> \* MERGEFORMAT </w:instrText>
      </w:r>
      <w:r w:rsidRPr="00043B8D">
        <w:rPr>
          <w:rFonts w:cs="Arial"/>
        </w:rPr>
      </w:r>
      <w:r w:rsidRPr="00043B8D">
        <w:rPr>
          <w:rFonts w:cs="Arial"/>
        </w:rPr>
        <w:fldChar w:fldCharType="separate"/>
      </w:r>
      <w:r w:rsidR="00B30F9B" w:rsidRPr="00043B8D">
        <w:t xml:space="preserve">Tabel </w:t>
      </w:r>
      <w:r w:rsidR="00B30F9B">
        <w:rPr>
          <w:noProof/>
        </w:rPr>
        <w:t>7</w:t>
      </w:r>
      <w:r w:rsidRPr="00043B8D">
        <w:rPr>
          <w:rFonts w:cs="Arial"/>
        </w:rPr>
        <w:fldChar w:fldCharType="end"/>
      </w:r>
      <w:r w:rsidRPr="00043B8D">
        <w:rPr>
          <w:rFonts w:cs="Arial"/>
        </w:rPr>
        <w:t xml:space="preserve"> gebruik maken van metingen.</w:t>
      </w:r>
    </w:p>
    <w:p w14:paraId="31C420EF" w14:textId="77777777" w:rsidR="00704FCC" w:rsidRPr="00043B8D" w:rsidRDefault="00704FCC" w:rsidP="00704FCC">
      <w:pPr>
        <w:rPr>
          <w:rFonts w:cs="Arial"/>
        </w:rPr>
      </w:pPr>
    </w:p>
    <w:p w14:paraId="4C304831" w14:textId="6181E1A0" w:rsidR="00704FCC" w:rsidRPr="00043B8D" w:rsidRDefault="00704FCC" w:rsidP="00704FCC">
      <w:pPr>
        <w:rPr>
          <w:rFonts w:cs="Arial"/>
        </w:rPr>
      </w:pPr>
      <w:r w:rsidRPr="00043B8D">
        <w:rPr>
          <w:rFonts w:cs="Arial"/>
        </w:rPr>
        <w:t>De meeste elektriciteitsdistributienetgebruikers op het laagspanningsnet met een decentrale productie-eenheid met een</w:t>
      </w:r>
      <w:r w:rsidR="00436BD2" w:rsidRPr="00043B8D">
        <w:rPr>
          <w:rFonts w:cs="Arial"/>
        </w:rPr>
        <w:t xml:space="preserve"> </w:t>
      </w:r>
      <w:r w:rsidR="00180295" w:rsidRPr="00043B8D">
        <w:rPr>
          <w:rFonts w:cs="Arial"/>
        </w:rPr>
        <w:t>[</w:t>
      </w:r>
      <w:r w:rsidR="00436BD2" w:rsidRPr="00043B8D">
        <w:rPr>
          <w:rFonts w:cs="Arial"/>
        </w:rPr>
        <w:t>maximaal</w:t>
      </w:r>
      <w:r w:rsidR="00180295" w:rsidRPr="00043B8D">
        <w:rPr>
          <w:rFonts w:cs="Arial"/>
        </w:rPr>
        <w:t>]</w:t>
      </w:r>
      <w:r w:rsidR="00180295" w:rsidRPr="00043B8D">
        <w:rPr>
          <w:rStyle w:val="Voetnootmarkering"/>
          <w:rFonts w:cs="Arial"/>
        </w:rPr>
        <w:footnoteReference w:id="71"/>
      </w:r>
      <w:r w:rsidRPr="00043B8D">
        <w:rPr>
          <w:rFonts w:cs="Arial"/>
        </w:rPr>
        <w:t xml:space="preserve"> AC-vermogen kleiner dan of gelijk aan 10 kVA (de prosumenten) beschikken over een terugdraaiende teller. Het Technisch Reglement Distributie Elektriciteit laat toe dat prosumenten op eigen verzoek beschikken over een toegangspunt op het distributienet met een meetinstallatie waarbij de afgenomen en geïnjecteerde elektriciteit automatisch gecompenseerd worden.</w:t>
      </w:r>
      <w:r w:rsidRPr="00043B8D">
        <w:rPr>
          <w:rStyle w:val="Voetnootmarkering"/>
          <w:rFonts w:cs="Arial"/>
        </w:rPr>
        <w:footnoteReference w:id="72"/>
      </w:r>
      <w:r w:rsidRPr="00043B8D">
        <w:rPr>
          <w:rFonts w:cs="Arial"/>
        </w:rPr>
        <w:t xml:space="preserve"> De injectie en de afname worden dan niet afzonderlijk gemeten. De technische realiteit van een terugdraaiende teller maakt het door de automatische compensatie van afgenomen en geïnjecteerde elektriciteit dan ook niet mogelijk om de hoeveelheid actieve energie afgenomen door deze prosumenten te meten. Het gevolg is dat het aantal kWh waarop de distributienettarieven worden toegepast niet in overeenstemming is met het werkelijk aantal kWh dat wordt afgenomen.</w:t>
      </w:r>
    </w:p>
    <w:p w14:paraId="734E51B2" w14:textId="77777777" w:rsidR="00704FCC" w:rsidRPr="00043B8D" w:rsidRDefault="00704FCC" w:rsidP="00704FCC">
      <w:pPr>
        <w:rPr>
          <w:rFonts w:cs="Arial"/>
        </w:rPr>
      </w:pPr>
      <w:r w:rsidRPr="00043B8D">
        <w:rPr>
          <w:rFonts w:cs="Arial"/>
        </w:rPr>
        <w:t>Binnen de definiëring van het begrip ‘prosument’ kunnen we bijgevolg twee types prosumenten onderscheiden:</w:t>
      </w:r>
    </w:p>
    <w:p w14:paraId="1EA107F6" w14:textId="77777777" w:rsidR="00704FCC" w:rsidRPr="00043B8D" w:rsidRDefault="00704FCC" w:rsidP="00704FCC">
      <w:pPr>
        <w:rPr>
          <w:rFonts w:cs="Arial"/>
        </w:rPr>
      </w:pPr>
    </w:p>
    <w:p w14:paraId="22BB2A3B" w14:textId="77777777" w:rsidR="00704FCC" w:rsidRPr="00043B8D" w:rsidRDefault="00704FCC" w:rsidP="00B376D5">
      <w:pPr>
        <w:pStyle w:val="Lijstalinea"/>
        <w:numPr>
          <w:ilvl w:val="0"/>
          <w:numId w:val="19"/>
        </w:numPr>
        <w:rPr>
          <w:rFonts w:cs="Arial"/>
        </w:rPr>
      </w:pPr>
      <w:r w:rsidRPr="00043B8D">
        <w:rPr>
          <w:rFonts w:cs="Arial"/>
        </w:rPr>
        <w:t>Prosumenten met een terugdraaiende teller, zijnde een traditionele kWh-meter (Ferrarismeter) waarbij de teller voor afname terugdraait wanneer door de productie-installatie geproduceerde elektriciteit geïnjecteerd wordt op het distributienet</w:t>
      </w:r>
    </w:p>
    <w:p w14:paraId="014FE650" w14:textId="77777777" w:rsidR="00704FCC" w:rsidRPr="00043B8D" w:rsidRDefault="00704FCC" w:rsidP="00704FCC">
      <w:pPr>
        <w:pStyle w:val="Lijstalinea"/>
        <w:ind w:left="720"/>
        <w:rPr>
          <w:rFonts w:cs="Arial"/>
        </w:rPr>
      </w:pPr>
    </w:p>
    <w:p w14:paraId="71434C79" w14:textId="77777777" w:rsidR="00704FCC" w:rsidRPr="00043B8D" w:rsidRDefault="00704FCC" w:rsidP="00B376D5">
      <w:pPr>
        <w:pStyle w:val="Lijstalinea"/>
        <w:numPr>
          <w:ilvl w:val="0"/>
          <w:numId w:val="19"/>
        </w:numPr>
        <w:rPr>
          <w:rFonts w:cs="Arial"/>
        </w:rPr>
      </w:pPr>
      <w:r w:rsidRPr="00043B8D">
        <w:rPr>
          <w:rFonts w:cs="Arial"/>
        </w:rPr>
        <w:t>Prosumenten met een bidirectionele kWh-meter, die de hoeveelheid actieve energie afgenomen en geïnjecteerd op het distributienet elk afzonderlijk registreert</w:t>
      </w:r>
    </w:p>
    <w:p w14:paraId="3DD9ADC0" w14:textId="77777777" w:rsidR="00704FCC" w:rsidRPr="00043B8D" w:rsidRDefault="00704FCC" w:rsidP="00704FCC">
      <w:pPr>
        <w:rPr>
          <w:rFonts w:cs="Arial"/>
        </w:rPr>
      </w:pPr>
    </w:p>
    <w:p w14:paraId="62EB846D" w14:textId="77777777" w:rsidR="00704FCC" w:rsidRPr="00043B8D" w:rsidRDefault="00704FCC" w:rsidP="00704FCC">
      <w:pPr>
        <w:rPr>
          <w:rFonts w:cs="Arial"/>
        </w:rPr>
      </w:pPr>
      <w:r w:rsidRPr="00043B8D">
        <w:rPr>
          <w:rFonts w:cs="Arial"/>
        </w:rPr>
        <w:t>De prosumenten van wie de afgenomen en geïnjecteerde elektriciteit automatisch gecompenseerd wordt, beschouwt de VREG als een afzonderlijke klantengroep, zijnde klantengroep ‘Prosumenten met terugdraaiende teller’. Voor de prosumenten met een bidirectionele kWh-meter wordt vanaf 1 januari 2015 geen compensatie van afgenomen en geïnjecteerde energie toegepast door de distributienetbeheerder voor de aanrekening van het distributienettarief.</w:t>
      </w:r>
    </w:p>
    <w:p w14:paraId="00443619" w14:textId="77777777" w:rsidR="00704FCC" w:rsidRPr="00043B8D" w:rsidRDefault="00704FCC" w:rsidP="00704FCC">
      <w:pPr>
        <w:rPr>
          <w:rFonts w:cs="Arial"/>
        </w:rPr>
      </w:pPr>
    </w:p>
    <w:p w14:paraId="53DC1128" w14:textId="50052BBB" w:rsidR="00704FCC" w:rsidRPr="00043B8D" w:rsidRDefault="00704FCC" w:rsidP="00704FCC">
      <w:pPr>
        <w:rPr>
          <w:rFonts w:cs="Arial"/>
        </w:rPr>
      </w:pPr>
      <w:r w:rsidRPr="00043B8D">
        <w:rPr>
          <w:rFonts w:cs="Arial"/>
        </w:rPr>
        <w:t xml:space="preserve">Er wordt voorzien in een aanvullend tarief voor de klantengroep ‘Prosumenten met terugdraaiende teller’, waardoor hun periodiek distributienettarief zal bestaan uit een tarief voor het gebruik van het distributienet,  een tarief openbare dienstverplichtingen, een tarief voor de ondersteunende diensten, een tarief voor de toeslagen, een tarief i.v.m. het gebruik van het transmissienet en een aanvullend capaciteitstarief. De distributienetbeheerder dient via de omzetting van de kosten d.m.v. de verdeelsleutels en andere relevante parameters naar distributienettarieven er voor te zorgen dat de optelsom van deze tarieven de kosten voor de distributienetbeheerder van het totaal, niet gecompenseerd aantal afgenomen kWh beter reflecteert. Het aanvullend capaciteitstarief is functie van het door de netgebruiker geïnstalleerd </w:t>
      </w:r>
      <w:r w:rsidR="00A7035B" w:rsidRPr="00043B8D">
        <w:rPr>
          <w:rFonts w:cs="Arial"/>
        </w:rPr>
        <w:t>[</w:t>
      </w:r>
      <w:r w:rsidR="00F54F64" w:rsidRPr="00043B8D">
        <w:rPr>
          <w:rFonts w:cs="Arial"/>
        </w:rPr>
        <w:t>maximaal</w:t>
      </w:r>
      <w:r w:rsidR="00A7035B" w:rsidRPr="00043B8D">
        <w:rPr>
          <w:rFonts w:cs="Arial"/>
        </w:rPr>
        <w:t>]</w:t>
      </w:r>
      <w:r w:rsidR="00A7035B" w:rsidRPr="00043B8D">
        <w:rPr>
          <w:rStyle w:val="Voetnootmarkering"/>
          <w:rFonts w:cs="Arial"/>
        </w:rPr>
        <w:footnoteReference w:id="73"/>
      </w:r>
      <w:r w:rsidR="00F54F64" w:rsidRPr="00043B8D">
        <w:rPr>
          <w:rFonts w:cs="Arial"/>
        </w:rPr>
        <w:t xml:space="preserve"> </w:t>
      </w:r>
      <w:r w:rsidRPr="00043B8D">
        <w:rPr>
          <w:rFonts w:cs="Arial"/>
        </w:rPr>
        <w:t>omvormer- of generatorvermogen (kVA</w:t>
      </w:r>
      <w:r w:rsidR="00A7035B" w:rsidRPr="00043B8D">
        <w:rPr>
          <w:rFonts w:cs="Arial"/>
        </w:rPr>
        <w:t>[</w:t>
      </w:r>
      <w:r w:rsidR="00CC0266" w:rsidRPr="00043B8D">
        <w:rPr>
          <w:rStyle w:val="Voetnootmarkering"/>
          <w:rFonts w:cs="Arial"/>
        </w:rPr>
        <w:footnoteReference w:id="74"/>
      </w:r>
      <w:r w:rsidR="00A7035B" w:rsidRPr="00043B8D">
        <w:rPr>
          <w:rFonts w:cs="Arial"/>
        </w:rPr>
        <w:t>]</w:t>
      </w:r>
      <w:r w:rsidR="00A7035B" w:rsidRPr="00043B8D">
        <w:rPr>
          <w:rStyle w:val="Voetnootmarkering"/>
          <w:rFonts w:cs="Arial"/>
        </w:rPr>
        <w:footnoteReference w:id="75"/>
      </w:r>
      <w:r w:rsidRPr="00043B8D">
        <w:rPr>
          <w:rFonts w:cs="Arial"/>
        </w:rPr>
        <w:t>).</w:t>
      </w:r>
    </w:p>
    <w:p w14:paraId="3C8B0E97" w14:textId="77777777" w:rsidR="00704FCC" w:rsidRPr="00043B8D" w:rsidRDefault="00704FCC" w:rsidP="00704FCC">
      <w:pPr>
        <w:rPr>
          <w:rFonts w:cs="Arial"/>
        </w:rPr>
      </w:pPr>
    </w:p>
    <w:p w14:paraId="3DBB7DAA" w14:textId="77777777" w:rsidR="00704FCC" w:rsidRPr="00043B8D" w:rsidRDefault="00704FCC" w:rsidP="00704FCC">
      <w:pPr>
        <w:rPr>
          <w:rFonts w:cs="Arial"/>
        </w:rPr>
      </w:pPr>
      <w:r w:rsidRPr="00043B8D">
        <w:rPr>
          <w:rFonts w:cs="Arial"/>
        </w:rPr>
        <w:t>De tarieven voor het gebruik van het distributienet,  de openbare dienstverplichtingen, de  ondersteunende diensten, de toeslagen en het gebruik van het transmissienet voor prosumenten met terugdraaiende teller worden wat betreft de tariefdrager kWh berekend op basis van de netto-afname zoals die wordt weergegeven door de terugdraaiende teller. Die netto-afname (m.a.w. het aantal kWh na compensatie) is het resultaat van het verschil tussen de werkelijke afname en de geïnjecteerde elektriciteit over de meetperiode en per tariefperiode maar waarvan het resultaat nooit lager mag zijn dan 0 kWh.</w:t>
      </w:r>
    </w:p>
    <w:p w14:paraId="5CD0AF2F" w14:textId="77777777" w:rsidR="00704FCC" w:rsidRPr="00043B8D" w:rsidRDefault="00704FCC" w:rsidP="00704FCC">
      <w:pPr>
        <w:rPr>
          <w:rFonts w:cs="Arial"/>
        </w:rPr>
      </w:pPr>
    </w:p>
    <w:p w14:paraId="4CDD8267" w14:textId="77777777" w:rsidR="00704FCC" w:rsidRPr="00043B8D" w:rsidRDefault="00704FCC" w:rsidP="00704FCC">
      <w:pPr>
        <w:rPr>
          <w:rFonts w:cs="Arial"/>
          <w:i/>
        </w:rPr>
      </w:pPr>
      <w:r w:rsidRPr="00043B8D">
        <w:rPr>
          <w:rFonts w:cs="Arial"/>
          <w:i/>
        </w:rPr>
        <w:t>Injectie</w:t>
      </w:r>
    </w:p>
    <w:p w14:paraId="68E08B92" w14:textId="77777777" w:rsidR="00704FCC" w:rsidRPr="00043B8D" w:rsidRDefault="00704FCC" w:rsidP="00704FCC">
      <w:pPr>
        <w:rPr>
          <w:rFonts w:cs="Arial"/>
        </w:rPr>
      </w:pPr>
    </w:p>
    <w:p w14:paraId="09575E4C" w14:textId="77777777" w:rsidR="00704FCC" w:rsidRPr="00043B8D" w:rsidRDefault="00704FCC" w:rsidP="00704FCC">
      <w:pPr>
        <w:rPr>
          <w:rFonts w:cs="Arial"/>
        </w:rPr>
      </w:pPr>
      <w:r w:rsidRPr="00043B8D">
        <w:rPr>
          <w:rFonts w:cs="Arial"/>
        </w:rPr>
        <w:t>Aan de prosumenten wordt geen injectietarief aangerekend omdat ze geen gebruik maken van een afzonderlijk toegangspunt voor injectie. Vermits er slechts één toegangspunt is voor prosumenten, kunnen ze in tegenstelling tot andere producenten hun energie niet vermarkten. De andere producenten hebben wel de mogelijkheid om de geïnjecteerde energie te verkopen aan marktprijzen. In de tariefstructuur voor deze producenten zijn dan ook de componenten systeembeheer, openbare dienstverplichtingen en toeslagen, evenals de meetactiviteit behouden. De producenten worden wel vrijgesteld van het tarief voor gebruik van het net.</w:t>
      </w:r>
    </w:p>
    <w:p w14:paraId="58DD8B09" w14:textId="77777777" w:rsidR="00203ABF" w:rsidRPr="00043B8D" w:rsidRDefault="00203ABF" w:rsidP="00704FCC">
      <w:pPr>
        <w:rPr>
          <w:rFonts w:cs="Arial"/>
        </w:rPr>
      </w:pPr>
    </w:p>
    <w:p w14:paraId="2A91E598" w14:textId="173DFB0B" w:rsidR="00435BB4" w:rsidRPr="00043B8D" w:rsidRDefault="00435BB4" w:rsidP="005251E2">
      <w:pPr>
        <w:pStyle w:val="Kop2"/>
        <w:numPr>
          <w:ilvl w:val="2"/>
          <w:numId w:val="24"/>
        </w:numPr>
        <w:rPr>
          <w:i/>
          <w:sz w:val="22"/>
          <w:szCs w:val="22"/>
        </w:rPr>
      </w:pPr>
      <w:bookmarkStart w:id="559" w:name="_Ref390245488"/>
      <w:bookmarkStart w:id="560" w:name="_Toc454186706"/>
      <w:r w:rsidRPr="00043B8D">
        <w:rPr>
          <w:i/>
          <w:sz w:val="22"/>
          <w:szCs w:val="22"/>
        </w:rPr>
        <w:t>Aardgasdistributie</w:t>
      </w:r>
      <w:bookmarkEnd w:id="559"/>
      <w:bookmarkEnd w:id="560"/>
    </w:p>
    <w:p w14:paraId="3A21CCF7" w14:textId="77777777" w:rsidR="00435BB4" w:rsidRPr="00043B8D" w:rsidRDefault="00435BB4" w:rsidP="00435BB4">
      <w:pPr>
        <w:rPr>
          <w:rFonts w:cs="Arial"/>
        </w:rPr>
      </w:pPr>
    </w:p>
    <w:p w14:paraId="3DC0E3EA" w14:textId="1DE674D8" w:rsidR="00435BB4" w:rsidRPr="00043B8D" w:rsidRDefault="00435BB4" w:rsidP="00146580">
      <w:pPr>
        <w:rPr>
          <w:rFonts w:cs="Arial"/>
        </w:rPr>
      </w:pPr>
      <w:r w:rsidRPr="00043B8D">
        <w:rPr>
          <w:rFonts w:cs="Arial"/>
        </w:rPr>
        <w:t>De tariefstructuur voor de periodieke distributienettarieven voor aardgasdistributie wordt weergegeven in</w:t>
      </w:r>
      <w:r w:rsidR="00704FCC" w:rsidRPr="00043B8D">
        <w:rPr>
          <w:rFonts w:cs="Arial"/>
        </w:rPr>
        <w:t xml:space="preserve"> </w:t>
      </w:r>
      <w:r w:rsidR="00704FCC" w:rsidRPr="00043B8D">
        <w:rPr>
          <w:rFonts w:cs="Arial"/>
        </w:rPr>
        <w:fldChar w:fldCharType="begin"/>
      </w:r>
      <w:r w:rsidR="00704FCC" w:rsidRPr="00043B8D">
        <w:rPr>
          <w:rFonts w:cs="Arial"/>
        </w:rPr>
        <w:instrText xml:space="preserve"> REF _Ref390178889 \h </w:instrText>
      </w:r>
      <w:r w:rsidR="00043B8D">
        <w:rPr>
          <w:rFonts w:cs="Arial"/>
        </w:rPr>
        <w:instrText xml:space="preserve"> \* MERGEFORMAT </w:instrText>
      </w:r>
      <w:r w:rsidR="00704FCC" w:rsidRPr="00043B8D">
        <w:rPr>
          <w:rFonts w:cs="Arial"/>
        </w:rPr>
      </w:r>
      <w:r w:rsidR="00704FCC" w:rsidRPr="00043B8D">
        <w:rPr>
          <w:rFonts w:cs="Arial"/>
        </w:rPr>
        <w:fldChar w:fldCharType="separate"/>
      </w:r>
      <w:r w:rsidR="00B30F9B" w:rsidRPr="00043B8D">
        <w:t xml:space="preserve">Tabel </w:t>
      </w:r>
      <w:r w:rsidR="00B30F9B">
        <w:rPr>
          <w:noProof/>
        </w:rPr>
        <w:t>8</w:t>
      </w:r>
      <w:r w:rsidR="00704FCC" w:rsidRPr="00043B8D">
        <w:rPr>
          <w:rFonts w:cs="Arial"/>
        </w:rPr>
        <w:fldChar w:fldCharType="end"/>
      </w:r>
      <w:r w:rsidRPr="00043B8D">
        <w:rPr>
          <w:rFonts w:cs="Arial"/>
        </w:rPr>
        <w:t>.</w:t>
      </w:r>
    </w:p>
    <w:p w14:paraId="32C0C91E" w14:textId="77858C70" w:rsidR="005B7BDF" w:rsidRPr="00043B8D" w:rsidRDefault="005B7BDF">
      <w:pPr>
        <w:jc w:val="left"/>
        <w:rPr>
          <w:rFonts w:cs="Arial"/>
        </w:rPr>
      </w:pPr>
      <w:r w:rsidRPr="00043B8D">
        <w:rPr>
          <w:rFonts w:cs="Arial"/>
        </w:rPr>
        <w:br w:type="page"/>
      </w:r>
    </w:p>
    <w:p w14:paraId="5969ABC8" w14:textId="77777777" w:rsidR="00901B28" w:rsidRPr="00043B8D" w:rsidRDefault="00901B28" w:rsidP="00435BB4">
      <w:pPr>
        <w:jc w:val="left"/>
        <w:rPr>
          <w:rFonts w:cs="Arial"/>
        </w:rPr>
      </w:pPr>
    </w:p>
    <w:p w14:paraId="5B09C01B" w14:textId="675350D7" w:rsidR="00435BB4" w:rsidRPr="000D284A" w:rsidRDefault="00435BB4" w:rsidP="00654C50">
      <w:pPr>
        <w:pStyle w:val="Bijschrift"/>
        <w:keepNext/>
        <w:jc w:val="left"/>
        <w:rPr>
          <w:b w:val="0"/>
          <w:i/>
        </w:rPr>
      </w:pPr>
      <w:bookmarkStart w:id="561" w:name="_Ref390178889"/>
      <w:r w:rsidRPr="000D284A">
        <w:rPr>
          <w:b w:val="0"/>
          <w:i/>
        </w:rPr>
        <w:t xml:space="preserve">Tabel </w:t>
      </w:r>
      <w:r w:rsidRPr="000D284A">
        <w:rPr>
          <w:b w:val="0"/>
          <w:i/>
        </w:rPr>
        <w:fldChar w:fldCharType="begin"/>
      </w:r>
      <w:r w:rsidRPr="000D284A">
        <w:rPr>
          <w:b w:val="0"/>
          <w:i/>
        </w:rPr>
        <w:instrText xml:space="preserve"> SEQ Tabel \* ARABIC </w:instrText>
      </w:r>
      <w:r w:rsidRPr="000D284A">
        <w:rPr>
          <w:b w:val="0"/>
          <w:i/>
        </w:rPr>
        <w:fldChar w:fldCharType="separate"/>
      </w:r>
      <w:r w:rsidR="000D284A">
        <w:rPr>
          <w:b w:val="0"/>
          <w:i/>
          <w:noProof/>
        </w:rPr>
        <w:t>8</w:t>
      </w:r>
      <w:r w:rsidRPr="000D284A">
        <w:rPr>
          <w:b w:val="0"/>
          <w:i/>
        </w:rPr>
        <w:fldChar w:fldCharType="end"/>
      </w:r>
      <w:bookmarkEnd w:id="561"/>
      <w:r w:rsidRPr="000D284A">
        <w:rPr>
          <w:b w:val="0"/>
          <w:i/>
        </w:rPr>
        <w:t xml:space="preserve"> Tariefstructuur distributie aardgas</w:t>
      </w:r>
    </w:p>
    <w:tbl>
      <w:tblPr>
        <w:tblStyle w:val="Tabelraster"/>
        <w:tblW w:w="0" w:type="auto"/>
        <w:tblCellMar>
          <w:top w:w="57" w:type="dxa"/>
          <w:bottom w:w="57" w:type="dxa"/>
        </w:tblCellMar>
        <w:tblLook w:val="04A0" w:firstRow="1" w:lastRow="0" w:firstColumn="1" w:lastColumn="0" w:noHBand="0" w:noVBand="1"/>
      </w:tblPr>
      <w:tblGrid>
        <w:gridCol w:w="468"/>
        <w:gridCol w:w="2878"/>
        <w:gridCol w:w="2777"/>
        <w:gridCol w:w="3163"/>
      </w:tblGrid>
      <w:tr w:rsidR="00BA66D9" w:rsidRPr="00043B8D" w14:paraId="5EF6AB40" w14:textId="77777777" w:rsidTr="008E06D8">
        <w:trPr>
          <w:cantSplit/>
        </w:trPr>
        <w:tc>
          <w:tcPr>
            <w:tcW w:w="0" w:type="auto"/>
            <w:gridSpan w:val="4"/>
          </w:tcPr>
          <w:p w14:paraId="201BA0DB" w14:textId="77777777" w:rsidR="00BA66D9" w:rsidRPr="00043B8D" w:rsidRDefault="00BA66D9" w:rsidP="00EC5C71">
            <w:pPr>
              <w:jc w:val="center"/>
              <w:rPr>
                <w:rFonts w:cs="Arial"/>
                <w:b/>
              </w:rPr>
            </w:pPr>
            <w:r w:rsidRPr="00043B8D">
              <w:rPr>
                <w:rFonts w:cs="Arial"/>
                <w:b/>
              </w:rPr>
              <w:t>Tariefstructuur activiteit distributie aardgas</w:t>
            </w:r>
          </w:p>
        </w:tc>
      </w:tr>
      <w:tr w:rsidR="00BA66D9" w:rsidRPr="00043B8D" w14:paraId="572B0B92" w14:textId="77777777" w:rsidTr="008E06D8">
        <w:trPr>
          <w:cantSplit/>
        </w:trPr>
        <w:tc>
          <w:tcPr>
            <w:tcW w:w="0" w:type="auto"/>
          </w:tcPr>
          <w:p w14:paraId="3814B135" w14:textId="77777777" w:rsidR="00BA66D9" w:rsidRPr="00043B8D" w:rsidRDefault="00BA66D9" w:rsidP="00987B60">
            <w:pPr>
              <w:ind w:left="708"/>
              <w:jc w:val="left"/>
              <w:rPr>
                <w:rFonts w:cs="Arial"/>
              </w:rPr>
            </w:pPr>
          </w:p>
        </w:tc>
        <w:tc>
          <w:tcPr>
            <w:tcW w:w="2779" w:type="dxa"/>
          </w:tcPr>
          <w:p w14:paraId="0CDF1ADE" w14:textId="36926482" w:rsidR="00BA66D9" w:rsidRPr="00043B8D" w:rsidRDefault="00BA66D9" w:rsidP="004F3D85">
            <w:pPr>
              <w:ind w:left="175"/>
              <w:jc w:val="left"/>
              <w:rPr>
                <w:rFonts w:cs="Arial"/>
                <w:b/>
              </w:rPr>
            </w:pPr>
            <w:r w:rsidRPr="00043B8D">
              <w:rPr>
                <w:rFonts w:cs="Arial"/>
                <w:b/>
              </w:rPr>
              <w:t>Periodiek tarief</w:t>
            </w:r>
          </w:p>
        </w:tc>
        <w:tc>
          <w:tcPr>
            <w:tcW w:w="2815" w:type="dxa"/>
          </w:tcPr>
          <w:p w14:paraId="66167D9B" w14:textId="77777777" w:rsidR="00BA66D9" w:rsidRPr="00043B8D" w:rsidRDefault="00BA66D9" w:rsidP="004225B5">
            <w:pPr>
              <w:jc w:val="left"/>
              <w:rPr>
                <w:rFonts w:cs="Arial"/>
                <w:b/>
              </w:rPr>
            </w:pPr>
            <w:r w:rsidRPr="00043B8D">
              <w:rPr>
                <w:rFonts w:cs="Arial"/>
                <w:b/>
              </w:rPr>
              <w:t>T</w:t>
            </w:r>
            <w:r w:rsidR="004225B5" w:rsidRPr="00043B8D">
              <w:rPr>
                <w:rFonts w:cs="Arial"/>
                <w:b/>
              </w:rPr>
              <w:t>o</w:t>
            </w:r>
            <w:r w:rsidRPr="00043B8D">
              <w:rPr>
                <w:rFonts w:cs="Arial"/>
                <w:b/>
              </w:rPr>
              <w:t xml:space="preserve">e </w:t>
            </w:r>
            <w:r w:rsidR="004225B5" w:rsidRPr="00043B8D">
              <w:rPr>
                <w:rFonts w:cs="Arial"/>
                <w:b/>
              </w:rPr>
              <w:t>te wijzen kosten</w:t>
            </w:r>
          </w:p>
        </w:tc>
        <w:tc>
          <w:tcPr>
            <w:tcW w:w="3224" w:type="dxa"/>
          </w:tcPr>
          <w:p w14:paraId="07DD7DAD" w14:textId="77777777" w:rsidR="00BA66D9" w:rsidRPr="00043B8D" w:rsidRDefault="00BA66D9" w:rsidP="00987B60">
            <w:pPr>
              <w:jc w:val="left"/>
              <w:rPr>
                <w:rFonts w:cs="Arial"/>
                <w:b/>
              </w:rPr>
            </w:pPr>
            <w:r w:rsidRPr="00043B8D">
              <w:rPr>
                <w:rFonts w:cs="Arial"/>
                <w:b/>
              </w:rPr>
              <w:t>Tariefdragers</w:t>
            </w:r>
          </w:p>
        </w:tc>
      </w:tr>
      <w:tr w:rsidR="00BA66D9" w:rsidRPr="00043B8D" w14:paraId="0F27E5FD" w14:textId="77777777" w:rsidTr="008E06D8">
        <w:trPr>
          <w:cantSplit/>
        </w:trPr>
        <w:tc>
          <w:tcPr>
            <w:tcW w:w="0" w:type="auto"/>
            <w:vMerge w:val="restart"/>
          </w:tcPr>
          <w:p w14:paraId="2967C2F2" w14:textId="77777777" w:rsidR="00BA66D9" w:rsidRPr="00043B8D" w:rsidRDefault="00BA66D9" w:rsidP="00987B60">
            <w:pPr>
              <w:ind w:left="142"/>
              <w:jc w:val="left"/>
              <w:rPr>
                <w:rFonts w:cs="Arial"/>
              </w:rPr>
            </w:pPr>
            <w:r w:rsidRPr="00043B8D">
              <w:rPr>
                <w:rFonts w:cs="Arial"/>
              </w:rPr>
              <w:t>1</w:t>
            </w:r>
          </w:p>
        </w:tc>
        <w:tc>
          <w:tcPr>
            <w:tcW w:w="2779" w:type="dxa"/>
            <w:tcBorders>
              <w:bottom w:val="dashSmallGap" w:sz="4" w:space="0" w:color="auto"/>
            </w:tcBorders>
          </w:tcPr>
          <w:p w14:paraId="1FA7A84E" w14:textId="36FC6047" w:rsidR="00BA66D9" w:rsidRPr="00043B8D" w:rsidRDefault="00BA66D9" w:rsidP="008E06D8">
            <w:pPr>
              <w:ind w:left="175"/>
              <w:rPr>
                <w:rFonts w:cs="Arial"/>
              </w:rPr>
            </w:pPr>
            <w:r w:rsidRPr="00043B8D">
              <w:rPr>
                <w:rFonts w:cs="Arial"/>
              </w:rPr>
              <w:t>het tarief voor het gebruik van het distributienet (basisdiensten)</w:t>
            </w:r>
          </w:p>
        </w:tc>
        <w:tc>
          <w:tcPr>
            <w:tcW w:w="2815" w:type="dxa"/>
            <w:tcBorders>
              <w:bottom w:val="dashSmallGap" w:sz="4" w:space="0" w:color="auto"/>
            </w:tcBorders>
          </w:tcPr>
          <w:p w14:paraId="7DF08D87" w14:textId="77777777" w:rsidR="00BA66D9" w:rsidRPr="00043B8D" w:rsidRDefault="00BA66D9" w:rsidP="00B22601">
            <w:pPr>
              <w:rPr>
                <w:rFonts w:cs="Arial"/>
              </w:rPr>
            </w:pPr>
          </w:p>
        </w:tc>
        <w:tc>
          <w:tcPr>
            <w:tcW w:w="3224" w:type="dxa"/>
            <w:tcBorders>
              <w:bottom w:val="dashSmallGap" w:sz="4" w:space="0" w:color="auto"/>
            </w:tcBorders>
          </w:tcPr>
          <w:p w14:paraId="1072620A" w14:textId="77777777" w:rsidR="00BA66D9" w:rsidRPr="00043B8D" w:rsidRDefault="00BA66D9" w:rsidP="00B22601">
            <w:pPr>
              <w:rPr>
                <w:rFonts w:cs="Arial"/>
              </w:rPr>
            </w:pPr>
          </w:p>
        </w:tc>
      </w:tr>
      <w:tr w:rsidR="00BA66D9" w:rsidRPr="00043B8D" w14:paraId="5018AD9E" w14:textId="77777777" w:rsidTr="008E06D8">
        <w:trPr>
          <w:cantSplit/>
        </w:trPr>
        <w:tc>
          <w:tcPr>
            <w:tcW w:w="0" w:type="auto"/>
            <w:vMerge/>
          </w:tcPr>
          <w:p w14:paraId="08AED1E9" w14:textId="77777777" w:rsidR="00BA66D9" w:rsidRPr="00043B8D" w:rsidRDefault="00BA66D9" w:rsidP="00987B60">
            <w:pPr>
              <w:ind w:left="142"/>
              <w:jc w:val="left"/>
              <w:rPr>
                <w:rFonts w:cs="Arial"/>
              </w:rPr>
            </w:pPr>
          </w:p>
        </w:tc>
        <w:tc>
          <w:tcPr>
            <w:tcW w:w="2779" w:type="dxa"/>
            <w:tcBorders>
              <w:top w:val="dashSmallGap" w:sz="4" w:space="0" w:color="auto"/>
              <w:bottom w:val="dashSmallGap" w:sz="4" w:space="0" w:color="auto"/>
            </w:tcBorders>
          </w:tcPr>
          <w:p w14:paraId="35B7978F" w14:textId="77777777" w:rsidR="00BA66D9" w:rsidRPr="00043B8D" w:rsidRDefault="00BA66D9" w:rsidP="00B22601">
            <w:pPr>
              <w:ind w:left="525"/>
              <w:rPr>
                <w:rFonts w:cs="Arial"/>
              </w:rPr>
            </w:pPr>
            <w:r w:rsidRPr="00043B8D">
              <w:rPr>
                <w:rFonts w:cs="Arial"/>
              </w:rPr>
              <w:t>het basistarief voor overbrenging met het net</w:t>
            </w:r>
          </w:p>
        </w:tc>
        <w:tc>
          <w:tcPr>
            <w:tcW w:w="2815" w:type="dxa"/>
            <w:tcBorders>
              <w:top w:val="dashSmallGap" w:sz="4" w:space="0" w:color="auto"/>
              <w:bottom w:val="dashSmallGap" w:sz="4" w:space="0" w:color="auto"/>
            </w:tcBorders>
          </w:tcPr>
          <w:p w14:paraId="5F3E2077" w14:textId="34FA0B05" w:rsidR="00A63467" w:rsidRPr="00043B8D" w:rsidRDefault="00A63467" w:rsidP="005B7BDF">
            <w:pPr>
              <w:rPr>
                <w:rFonts w:cs="Arial"/>
              </w:rPr>
            </w:pPr>
            <w:r w:rsidRPr="00043B8D">
              <w:rPr>
                <w:rFonts w:cs="Arial"/>
              </w:rPr>
              <w:t>de netstudies,</w:t>
            </w:r>
            <w:r w:rsidR="004225B5" w:rsidRPr="00043B8D">
              <w:rPr>
                <w:rFonts w:cs="Arial"/>
              </w:rPr>
              <w:t xml:space="preserve"> </w:t>
            </w:r>
            <w:r w:rsidRPr="00043B8D">
              <w:rPr>
                <w:rFonts w:cs="Arial"/>
              </w:rPr>
              <w:t>de algemene beheerskosten exclusief de kosten</w:t>
            </w:r>
            <w:r w:rsidR="004225B5" w:rsidRPr="00043B8D">
              <w:rPr>
                <w:rFonts w:cs="Arial"/>
              </w:rPr>
              <w:t xml:space="preserve"> </w:t>
            </w:r>
            <w:r w:rsidRPr="00043B8D">
              <w:rPr>
                <w:rFonts w:cs="Arial"/>
              </w:rPr>
              <w:t>systeembeheer</w:t>
            </w:r>
            <w:r w:rsidR="00317EE0" w:rsidRPr="00043B8D">
              <w:rPr>
                <w:rFonts w:cs="Arial"/>
              </w:rPr>
              <w:t>,</w:t>
            </w:r>
            <w:r w:rsidR="004225B5" w:rsidRPr="00043B8D">
              <w:rPr>
                <w:rFonts w:cs="Arial"/>
              </w:rPr>
              <w:t xml:space="preserve"> </w:t>
            </w:r>
            <w:r w:rsidRPr="00043B8D">
              <w:rPr>
                <w:rFonts w:cs="Arial"/>
              </w:rPr>
              <w:t>de afschrijvingen exclusief de afschrijvingen van de meters,</w:t>
            </w:r>
            <w:r w:rsidR="004225B5" w:rsidRPr="00043B8D">
              <w:rPr>
                <w:rFonts w:cs="Arial"/>
              </w:rPr>
              <w:t xml:space="preserve"> </w:t>
            </w:r>
            <w:r w:rsidRPr="00043B8D">
              <w:rPr>
                <w:rFonts w:cs="Arial"/>
              </w:rPr>
              <w:t xml:space="preserve">de </w:t>
            </w:r>
            <w:r w:rsidR="004225B5" w:rsidRPr="00043B8D">
              <w:rPr>
                <w:rFonts w:cs="Arial"/>
              </w:rPr>
              <w:t>f</w:t>
            </w:r>
            <w:r w:rsidRPr="00043B8D">
              <w:rPr>
                <w:rFonts w:cs="Arial"/>
              </w:rPr>
              <w:t>inancieringskosten</w:t>
            </w:r>
            <w:r w:rsidR="005B7BDF" w:rsidRPr="00043B8D">
              <w:rPr>
                <w:rFonts w:cs="Arial"/>
              </w:rPr>
              <w:t xml:space="preserve">, </w:t>
            </w:r>
            <w:r w:rsidRPr="00043B8D">
              <w:rPr>
                <w:rFonts w:cs="Arial"/>
              </w:rPr>
              <w:t>de onderhoudskosten</w:t>
            </w:r>
            <w:r w:rsidR="005B7BDF" w:rsidRPr="00043B8D">
              <w:rPr>
                <w:rFonts w:cs="Arial"/>
              </w:rPr>
              <w:t xml:space="preserve"> en</w:t>
            </w:r>
            <w:r w:rsidR="00412AA6" w:rsidRPr="00043B8D">
              <w:rPr>
                <w:rFonts w:cs="Arial"/>
              </w:rPr>
              <w:t xml:space="preserve"> de vennootschapsbelasting</w:t>
            </w:r>
          </w:p>
        </w:tc>
        <w:tc>
          <w:tcPr>
            <w:tcW w:w="3224" w:type="dxa"/>
            <w:tcBorders>
              <w:top w:val="dashSmallGap" w:sz="4" w:space="0" w:color="auto"/>
              <w:bottom w:val="dashSmallGap" w:sz="4" w:space="0" w:color="auto"/>
            </w:tcBorders>
          </w:tcPr>
          <w:p w14:paraId="097C2CDE" w14:textId="58161F05" w:rsidR="00BA66D9" w:rsidRPr="00043B8D" w:rsidRDefault="00BA66D9" w:rsidP="00E710F6">
            <w:pPr>
              <w:rPr>
                <w:rFonts w:cs="Arial"/>
              </w:rPr>
            </w:pPr>
            <w:r w:rsidRPr="00043B8D">
              <w:rPr>
                <w:rFonts w:cs="Arial"/>
              </w:rPr>
              <w:t xml:space="preserve">Het tarief bestaat voor niet-telegemeten </w:t>
            </w:r>
            <w:r w:rsidR="00B41023" w:rsidRPr="00043B8D">
              <w:rPr>
                <w:rFonts w:cs="Arial"/>
              </w:rPr>
              <w:t>distributienetgebruikers</w:t>
            </w:r>
            <w:r w:rsidR="004F3D85" w:rsidRPr="00043B8D">
              <w:rPr>
                <w:rStyle w:val="Voetnootmarkering"/>
                <w:rFonts w:cs="Arial"/>
              </w:rPr>
              <w:footnoteReference w:id="76"/>
            </w:r>
            <w:r w:rsidRPr="00043B8D">
              <w:rPr>
                <w:rFonts w:cs="Arial"/>
              </w:rPr>
              <w:t xml:space="preserve"> uit</w:t>
            </w:r>
          </w:p>
          <w:p w14:paraId="7BD20368" w14:textId="07FDEF15" w:rsidR="00BA66D9" w:rsidRPr="00043B8D" w:rsidRDefault="00BA66D9" w:rsidP="00B376D5">
            <w:pPr>
              <w:pStyle w:val="Lijstalinea"/>
              <w:numPr>
                <w:ilvl w:val="0"/>
                <w:numId w:val="20"/>
              </w:numPr>
              <w:rPr>
                <w:rFonts w:cs="Arial"/>
              </w:rPr>
            </w:pPr>
            <w:r w:rsidRPr="00043B8D">
              <w:rPr>
                <w:rFonts w:cs="Arial"/>
              </w:rPr>
              <w:t xml:space="preserve">een vaste term (EUR/jaar) en </w:t>
            </w:r>
          </w:p>
          <w:p w14:paraId="42D9A6EA" w14:textId="77777777" w:rsidR="00BA66D9" w:rsidRPr="00043B8D" w:rsidRDefault="00BA66D9" w:rsidP="00B376D5">
            <w:pPr>
              <w:pStyle w:val="Lijstalinea"/>
              <w:numPr>
                <w:ilvl w:val="0"/>
                <w:numId w:val="20"/>
              </w:numPr>
              <w:rPr>
                <w:rFonts w:cs="Arial"/>
              </w:rPr>
            </w:pPr>
            <w:r w:rsidRPr="00043B8D">
              <w:rPr>
                <w:rFonts w:cs="Arial"/>
              </w:rPr>
              <w:t xml:space="preserve">een proportionele term in functie van de afgenomen energie (EUR/kWh). </w:t>
            </w:r>
          </w:p>
          <w:p w14:paraId="04C96E5D" w14:textId="77777777" w:rsidR="00E710F6" w:rsidRPr="00043B8D" w:rsidRDefault="00E710F6" w:rsidP="00E710F6">
            <w:pPr>
              <w:rPr>
                <w:rFonts w:cs="Arial"/>
              </w:rPr>
            </w:pPr>
          </w:p>
          <w:p w14:paraId="32E53BD8" w14:textId="302BDD96" w:rsidR="00BA66D9" w:rsidRPr="00043B8D" w:rsidRDefault="00E710F6" w:rsidP="00E710F6">
            <w:pPr>
              <w:rPr>
                <w:rFonts w:cs="Arial"/>
              </w:rPr>
            </w:pPr>
            <w:r w:rsidRPr="00043B8D">
              <w:rPr>
                <w:rFonts w:cs="Arial"/>
              </w:rPr>
              <w:t xml:space="preserve">Het tarief bestaat </w:t>
            </w:r>
            <w:r w:rsidR="00BA66D9" w:rsidRPr="00043B8D">
              <w:rPr>
                <w:rFonts w:cs="Arial"/>
              </w:rPr>
              <w:t xml:space="preserve">voor telegemeten </w:t>
            </w:r>
            <w:r w:rsidR="00B41023" w:rsidRPr="00043B8D">
              <w:rPr>
                <w:rFonts w:cs="Arial"/>
              </w:rPr>
              <w:t xml:space="preserve">distributienetgebruikers </w:t>
            </w:r>
            <w:r w:rsidR="00BA66D9" w:rsidRPr="00043B8D">
              <w:rPr>
                <w:rFonts w:cs="Arial"/>
              </w:rPr>
              <w:t xml:space="preserve">(AMR) uit </w:t>
            </w:r>
          </w:p>
          <w:p w14:paraId="1F35A955" w14:textId="77777777" w:rsidR="00BA66D9" w:rsidRPr="00043B8D" w:rsidRDefault="00BA66D9" w:rsidP="00B376D5">
            <w:pPr>
              <w:pStyle w:val="Lijstalinea"/>
              <w:numPr>
                <w:ilvl w:val="0"/>
                <w:numId w:val="20"/>
              </w:numPr>
              <w:rPr>
                <w:rFonts w:cs="Arial"/>
              </w:rPr>
            </w:pPr>
            <w:r w:rsidRPr="00043B8D">
              <w:rPr>
                <w:rFonts w:cs="Arial"/>
              </w:rPr>
              <w:t>een proportionele term in functie van de afgenomen energie (EUR/kWh) en</w:t>
            </w:r>
          </w:p>
          <w:p w14:paraId="73D867F2" w14:textId="0B065F95" w:rsidR="00BA66D9" w:rsidRPr="00043B8D" w:rsidRDefault="00BA66D9" w:rsidP="00B376D5">
            <w:pPr>
              <w:pStyle w:val="Lijstalinea"/>
              <w:numPr>
                <w:ilvl w:val="0"/>
                <w:numId w:val="20"/>
              </w:numPr>
              <w:rPr>
                <w:rFonts w:cs="Arial"/>
              </w:rPr>
            </w:pPr>
            <w:r w:rsidRPr="00043B8D">
              <w:rPr>
                <w:rFonts w:cs="Arial"/>
              </w:rPr>
              <w:t xml:space="preserve">een term in functie van de afgenomen uurcapaciteit (EUR/max.cap.). </w:t>
            </w:r>
          </w:p>
        </w:tc>
      </w:tr>
      <w:tr w:rsidR="00BA66D9" w:rsidRPr="00043B8D" w14:paraId="27D7B905" w14:textId="77777777" w:rsidTr="008E06D8">
        <w:trPr>
          <w:cantSplit/>
        </w:trPr>
        <w:tc>
          <w:tcPr>
            <w:tcW w:w="0" w:type="auto"/>
            <w:vMerge/>
          </w:tcPr>
          <w:p w14:paraId="5DC9663B" w14:textId="77777777" w:rsidR="00BA66D9" w:rsidRPr="00043B8D" w:rsidRDefault="00BA66D9" w:rsidP="00987B60">
            <w:pPr>
              <w:ind w:left="142"/>
              <w:jc w:val="left"/>
              <w:rPr>
                <w:rFonts w:cs="Arial"/>
              </w:rPr>
            </w:pPr>
          </w:p>
        </w:tc>
        <w:tc>
          <w:tcPr>
            <w:tcW w:w="2779" w:type="dxa"/>
            <w:tcBorders>
              <w:top w:val="dashSmallGap" w:sz="4" w:space="0" w:color="auto"/>
              <w:bottom w:val="dashSmallGap" w:sz="4" w:space="0" w:color="auto"/>
            </w:tcBorders>
          </w:tcPr>
          <w:p w14:paraId="1263CB7D" w14:textId="77777777" w:rsidR="00BA66D9" w:rsidRPr="00043B8D" w:rsidRDefault="00BA66D9" w:rsidP="00B22601">
            <w:pPr>
              <w:ind w:left="525"/>
              <w:rPr>
                <w:rFonts w:cs="Arial"/>
              </w:rPr>
            </w:pPr>
            <w:r w:rsidRPr="00043B8D">
              <w:rPr>
                <w:rFonts w:cs="Arial"/>
              </w:rPr>
              <w:t>het tarief voor het systeembeheer</w:t>
            </w:r>
          </w:p>
        </w:tc>
        <w:tc>
          <w:tcPr>
            <w:tcW w:w="2815" w:type="dxa"/>
            <w:tcBorders>
              <w:top w:val="dashSmallGap" w:sz="4" w:space="0" w:color="auto"/>
              <w:bottom w:val="dashSmallGap" w:sz="4" w:space="0" w:color="auto"/>
            </w:tcBorders>
          </w:tcPr>
          <w:p w14:paraId="19823D06" w14:textId="77777777" w:rsidR="00BA66D9" w:rsidRPr="00043B8D" w:rsidRDefault="004225B5" w:rsidP="00B22601">
            <w:pPr>
              <w:rPr>
                <w:rFonts w:cs="Arial"/>
              </w:rPr>
            </w:pPr>
            <w:r w:rsidRPr="00043B8D">
              <w:rPr>
                <w:rFonts w:cs="Arial"/>
              </w:rPr>
              <w:t>het systeembeheer, de afschrijvingen en de financiering van de activa voor het beheer van het systeem</w:t>
            </w:r>
          </w:p>
        </w:tc>
        <w:tc>
          <w:tcPr>
            <w:tcW w:w="3224" w:type="dxa"/>
            <w:tcBorders>
              <w:top w:val="dashSmallGap" w:sz="4" w:space="0" w:color="auto"/>
              <w:bottom w:val="dashSmallGap" w:sz="4" w:space="0" w:color="auto"/>
            </w:tcBorders>
          </w:tcPr>
          <w:p w14:paraId="346BD504" w14:textId="77777777" w:rsidR="00BA66D9" w:rsidRPr="00043B8D" w:rsidRDefault="00BA66D9" w:rsidP="00B22601">
            <w:pPr>
              <w:rPr>
                <w:rFonts w:cs="Arial"/>
              </w:rPr>
            </w:pPr>
            <w:r w:rsidRPr="00043B8D">
              <w:rPr>
                <w:rFonts w:cs="Arial"/>
              </w:rPr>
              <w:t xml:space="preserve">Niet van toepassing. </w:t>
            </w:r>
          </w:p>
        </w:tc>
      </w:tr>
      <w:tr w:rsidR="00BA66D9" w:rsidRPr="00043B8D" w14:paraId="275DDC8D" w14:textId="77777777" w:rsidTr="008E06D8">
        <w:trPr>
          <w:cantSplit/>
        </w:trPr>
        <w:tc>
          <w:tcPr>
            <w:tcW w:w="0" w:type="auto"/>
            <w:vMerge/>
          </w:tcPr>
          <w:p w14:paraId="19E1C1FF" w14:textId="77777777" w:rsidR="00BA66D9" w:rsidRPr="00043B8D" w:rsidRDefault="00BA66D9" w:rsidP="00987B60">
            <w:pPr>
              <w:ind w:left="142"/>
              <w:jc w:val="left"/>
              <w:rPr>
                <w:rFonts w:cs="Arial"/>
              </w:rPr>
            </w:pPr>
          </w:p>
        </w:tc>
        <w:tc>
          <w:tcPr>
            <w:tcW w:w="2779" w:type="dxa"/>
            <w:tcBorders>
              <w:top w:val="dashSmallGap" w:sz="4" w:space="0" w:color="auto"/>
            </w:tcBorders>
          </w:tcPr>
          <w:p w14:paraId="04DC0A90" w14:textId="77777777" w:rsidR="00BA66D9" w:rsidRPr="00043B8D" w:rsidRDefault="00BA66D9" w:rsidP="00B22601">
            <w:pPr>
              <w:ind w:left="525"/>
              <w:rPr>
                <w:rFonts w:cs="Arial"/>
              </w:rPr>
            </w:pPr>
            <w:r w:rsidRPr="00043B8D">
              <w:rPr>
                <w:rFonts w:cs="Arial"/>
              </w:rPr>
              <w:t>het tarief ter vergoeding van het ter beschikking stellen van toestellen voor het meten, tellen en opnemen</w:t>
            </w:r>
          </w:p>
        </w:tc>
        <w:tc>
          <w:tcPr>
            <w:tcW w:w="2815" w:type="dxa"/>
            <w:tcBorders>
              <w:top w:val="dashSmallGap" w:sz="4" w:space="0" w:color="auto"/>
            </w:tcBorders>
          </w:tcPr>
          <w:p w14:paraId="088DEF43" w14:textId="77777777" w:rsidR="004225B5" w:rsidRPr="00043B8D" w:rsidRDefault="004225B5" w:rsidP="00B22601">
            <w:pPr>
              <w:rPr>
                <w:rFonts w:cs="Arial"/>
              </w:rPr>
            </w:pPr>
            <w:r w:rsidRPr="00043B8D">
              <w:rPr>
                <w:rFonts w:cs="Arial"/>
              </w:rPr>
              <w:t>het ter beschikking stellen van toestellen voor het meten, tellen en opnemen, inclusief de verzameling en de overdracht van de gegevens en informatie met</w:t>
            </w:r>
          </w:p>
          <w:p w14:paraId="4820929D" w14:textId="77777777" w:rsidR="00BA66D9" w:rsidRPr="00043B8D" w:rsidRDefault="004225B5" w:rsidP="00B22601">
            <w:pPr>
              <w:rPr>
                <w:rFonts w:cs="Arial"/>
              </w:rPr>
            </w:pPr>
            <w:r w:rsidRPr="00043B8D">
              <w:rPr>
                <w:rFonts w:cs="Arial"/>
              </w:rPr>
              <w:t>betrekking tot een in aanmerking komende afnemer wanneer deze van leverancier verandert</w:t>
            </w:r>
          </w:p>
        </w:tc>
        <w:tc>
          <w:tcPr>
            <w:tcW w:w="3224" w:type="dxa"/>
            <w:tcBorders>
              <w:top w:val="dashSmallGap" w:sz="4" w:space="0" w:color="auto"/>
            </w:tcBorders>
          </w:tcPr>
          <w:p w14:paraId="24A5707F" w14:textId="71D32511" w:rsidR="00BA66D9" w:rsidRPr="00043B8D" w:rsidRDefault="00BA66D9" w:rsidP="00B22601">
            <w:pPr>
              <w:rPr>
                <w:rFonts w:cs="Arial"/>
              </w:rPr>
            </w:pPr>
            <w:r w:rsidRPr="00043B8D">
              <w:rPr>
                <w:rFonts w:cs="Arial"/>
              </w:rPr>
              <w:t>Het tarief bestaat uit een vaste term  (EUR/jaar) in functie van de meetopstelling: continu gelezen meters (AMR), maandelijks opgenomen meters (MMR) of jaaropgenomen meters</w:t>
            </w:r>
            <w:r w:rsidR="00660914" w:rsidRPr="00043B8D">
              <w:rPr>
                <w:rFonts w:cs="Arial"/>
              </w:rPr>
              <w:t xml:space="preserve"> (YMR)</w:t>
            </w:r>
            <w:r w:rsidRPr="00043B8D">
              <w:rPr>
                <w:rFonts w:cs="Arial"/>
              </w:rPr>
              <w:t>.</w:t>
            </w:r>
          </w:p>
          <w:p w14:paraId="79D97B58" w14:textId="77777777" w:rsidR="00BA66D9" w:rsidRPr="00043B8D" w:rsidRDefault="00BA66D9" w:rsidP="00B22601">
            <w:pPr>
              <w:rPr>
                <w:rFonts w:cs="Arial"/>
              </w:rPr>
            </w:pPr>
          </w:p>
        </w:tc>
      </w:tr>
      <w:tr w:rsidR="00BA66D9" w:rsidRPr="00043B8D" w14:paraId="6B5D6BB4" w14:textId="77777777" w:rsidTr="008E06D8">
        <w:trPr>
          <w:cantSplit/>
        </w:trPr>
        <w:tc>
          <w:tcPr>
            <w:tcW w:w="0" w:type="auto"/>
          </w:tcPr>
          <w:p w14:paraId="56E2D12E" w14:textId="2C1316F4" w:rsidR="00BA66D9" w:rsidRPr="00043B8D" w:rsidRDefault="000278A9" w:rsidP="00987B60">
            <w:pPr>
              <w:ind w:left="142"/>
              <w:jc w:val="left"/>
              <w:rPr>
                <w:rFonts w:cs="Arial"/>
              </w:rPr>
            </w:pPr>
            <w:r w:rsidRPr="00043B8D">
              <w:rPr>
                <w:rFonts w:cs="Arial"/>
              </w:rPr>
              <w:t>2</w:t>
            </w:r>
          </w:p>
        </w:tc>
        <w:tc>
          <w:tcPr>
            <w:tcW w:w="2779" w:type="dxa"/>
          </w:tcPr>
          <w:p w14:paraId="567FC83F" w14:textId="77777777" w:rsidR="00BA66D9" w:rsidRPr="00043B8D" w:rsidRDefault="00BA66D9" w:rsidP="00B22601">
            <w:pPr>
              <w:ind w:left="175"/>
              <w:rPr>
                <w:rFonts w:cs="Arial"/>
              </w:rPr>
            </w:pPr>
            <w:r w:rsidRPr="00043B8D">
              <w:rPr>
                <w:rFonts w:cs="Arial"/>
              </w:rPr>
              <w:t>het tarief openbare dienstverplichtingen</w:t>
            </w:r>
          </w:p>
          <w:p w14:paraId="7F32005C" w14:textId="77777777" w:rsidR="00BA66D9" w:rsidRPr="00043B8D" w:rsidRDefault="00BA66D9" w:rsidP="00B22601">
            <w:pPr>
              <w:ind w:left="175"/>
              <w:rPr>
                <w:rFonts w:cs="Arial"/>
              </w:rPr>
            </w:pPr>
          </w:p>
        </w:tc>
        <w:tc>
          <w:tcPr>
            <w:tcW w:w="2815" w:type="dxa"/>
          </w:tcPr>
          <w:p w14:paraId="3C44C3B5" w14:textId="77777777" w:rsidR="00BA66D9" w:rsidRPr="00043B8D" w:rsidRDefault="004225B5" w:rsidP="00B22601">
            <w:pPr>
              <w:rPr>
                <w:rFonts w:cs="Arial"/>
              </w:rPr>
            </w:pPr>
            <w:r w:rsidRPr="00043B8D">
              <w:rPr>
                <w:rFonts w:cs="Arial"/>
              </w:rPr>
              <w:t>kosten openbare dienstverplichtingen</w:t>
            </w:r>
          </w:p>
        </w:tc>
        <w:tc>
          <w:tcPr>
            <w:tcW w:w="3224" w:type="dxa"/>
          </w:tcPr>
          <w:p w14:paraId="77574E22" w14:textId="64C604CF" w:rsidR="00BA66D9" w:rsidRPr="00043B8D" w:rsidRDefault="00BA66D9" w:rsidP="00C44293">
            <w:pPr>
              <w:rPr>
                <w:rFonts w:cs="Arial"/>
              </w:rPr>
            </w:pPr>
            <w:r w:rsidRPr="00043B8D">
              <w:rPr>
                <w:rFonts w:cs="Arial"/>
              </w:rPr>
              <w:t>Het tarief is functie van de energie afgenomen (kWh) door een netgebruiker.</w:t>
            </w:r>
          </w:p>
        </w:tc>
      </w:tr>
      <w:tr w:rsidR="00BA66D9" w:rsidRPr="0081130A" w14:paraId="38F2FFE4" w14:textId="77777777" w:rsidTr="008E06D8">
        <w:trPr>
          <w:cantSplit/>
        </w:trPr>
        <w:tc>
          <w:tcPr>
            <w:tcW w:w="0" w:type="auto"/>
            <w:vMerge w:val="restart"/>
          </w:tcPr>
          <w:p w14:paraId="79F9D43E" w14:textId="6AF84BA9" w:rsidR="00BA66D9" w:rsidRPr="00043B8D" w:rsidRDefault="000278A9" w:rsidP="00987B60">
            <w:pPr>
              <w:ind w:left="142"/>
              <w:jc w:val="left"/>
              <w:rPr>
                <w:rFonts w:cs="Arial"/>
              </w:rPr>
            </w:pPr>
            <w:r w:rsidRPr="00043B8D">
              <w:rPr>
                <w:rFonts w:cs="Arial"/>
              </w:rPr>
              <w:t>3</w:t>
            </w:r>
          </w:p>
        </w:tc>
        <w:tc>
          <w:tcPr>
            <w:tcW w:w="2779" w:type="dxa"/>
            <w:tcBorders>
              <w:bottom w:val="dashSmallGap" w:sz="4" w:space="0" w:color="auto"/>
            </w:tcBorders>
          </w:tcPr>
          <w:p w14:paraId="255EB682" w14:textId="534ADDA0" w:rsidR="00BA66D9" w:rsidRPr="00043B8D" w:rsidRDefault="00BA66D9" w:rsidP="008E06D8">
            <w:pPr>
              <w:ind w:left="175"/>
              <w:rPr>
                <w:rFonts w:cs="Arial"/>
                <w:lang w:val="fr-BE"/>
              </w:rPr>
            </w:pPr>
            <w:r w:rsidRPr="00043B8D">
              <w:rPr>
                <w:rFonts w:cs="Arial"/>
                <w:lang w:val="fr-BE"/>
              </w:rPr>
              <w:t xml:space="preserve">de complementaire en supplementaire diensten </w:t>
            </w:r>
          </w:p>
        </w:tc>
        <w:tc>
          <w:tcPr>
            <w:tcW w:w="2815" w:type="dxa"/>
            <w:tcBorders>
              <w:bottom w:val="dashSmallGap" w:sz="4" w:space="0" w:color="auto"/>
            </w:tcBorders>
          </w:tcPr>
          <w:p w14:paraId="3D8C5492" w14:textId="77777777" w:rsidR="00BA66D9" w:rsidRPr="00043B8D" w:rsidRDefault="00BA66D9" w:rsidP="00B22601">
            <w:pPr>
              <w:rPr>
                <w:rFonts w:cs="Arial"/>
                <w:lang w:val="fr-BE"/>
              </w:rPr>
            </w:pPr>
          </w:p>
        </w:tc>
        <w:tc>
          <w:tcPr>
            <w:tcW w:w="3224" w:type="dxa"/>
            <w:tcBorders>
              <w:bottom w:val="dashSmallGap" w:sz="4" w:space="0" w:color="auto"/>
            </w:tcBorders>
          </w:tcPr>
          <w:p w14:paraId="4B9547DE" w14:textId="77777777" w:rsidR="00BA66D9" w:rsidRPr="00043B8D" w:rsidRDefault="00BA66D9" w:rsidP="00B22601">
            <w:pPr>
              <w:rPr>
                <w:rFonts w:cs="Arial"/>
                <w:lang w:val="fr-BE"/>
              </w:rPr>
            </w:pPr>
          </w:p>
        </w:tc>
      </w:tr>
      <w:tr w:rsidR="00BA66D9" w:rsidRPr="00043B8D" w14:paraId="6AB9DFAA" w14:textId="77777777" w:rsidTr="008E06D8">
        <w:trPr>
          <w:cantSplit/>
        </w:trPr>
        <w:tc>
          <w:tcPr>
            <w:tcW w:w="0" w:type="auto"/>
            <w:vMerge/>
          </w:tcPr>
          <w:p w14:paraId="5D4FAB69" w14:textId="77777777" w:rsidR="00BA66D9" w:rsidRPr="00043B8D" w:rsidRDefault="00BA66D9" w:rsidP="00987B60">
            <w:pPr>
              <w:ind w:left="142"/>
              <w:jc w:val="left"/>
              <w:rPr>
                <w:rFonts w:cs="Arial"/>
                <w:lang w:val="fr-BE"/>
              </w:rPr>
            </w:pPr>
          </w:p>
        </w:tc>
        <w:tc>
          <w:tcPr>
            <w:tcW w:w="2779" w:type="dxa"/>
            <w:tcBorders>
              <w:top w:val="dashSmallGap" w:sz="4" w:space="0" w:color="auto"/>
              <w:bottom w:val="dashSmallGap" w:sz="4" w:space="0" w:color="auto"/>
            </w:tcBorders>
          </w:tcPr>
          <w:p w14:paraId="546FD653" w14:textId="16E7DE59" w:rsidR="00BA66D9" w:rsidRPr="00043B8D" w:rsidRDefault="00BA66D9" w:rsidP="00B22601">
            <w:pPr>
              <w:ind w:left="525"/>
              <w:rPr>
                <w:rFonts w:cs="Arial"/>
              </w:rPr>
            </w:pPr>
            <w:r w:rsidRPr="00043B8D">
              <w:rPr>
                <w:rFonts w:cs="Arial"/>
              </w:rPr>
              <w:t xml:space="preserve">Het tarief voor de complementaire diensten omvat de dienst van de ontspanning bij de </w:t>
            </w:r>
            <w:r w:rsidR="00B41023" w:rsidRPr="00043B8D">
              <w:rPr>
                <w:rFonts w:cs="Arial"/>
              </w:rPr>
              <w:t>distributienetgebruikers</w:t>
            </w:r>
            <w:r w:rsidRPr="00043B8D">
              <w:rPr>
                <w:rFonts w:cs="Arial"/>
              </w:rPr>
              <w:t>.</w:t>
            </w:r>
          </w:p>
        </w:tc>
        <w:tc>
          <w:tcPr>
            <w:tcW w:w="2815" w:type="dxa"/>
            <w:tcBorders>
              <w:top w:val="dashSmallGap" w:sz="4" w:space="0" w:color="auto"/>
              <w:bottom w:val="dashSmallGap" w:sz="4" w:space="0" w:color="auto"/>
            </w:tcBorders>
          </w:tcPr>
          <w:p w14:paraId="617E1FAB" w14:textId="1EBC406F" w:rsidR="00BA66D9" w:rsidRPr="00043B8D" w:rsidRDefault="004225B5" w:rsidP="00B22601">
            <w:pPr>
              <w:rPr>
                <w:rFonts w:cs="Arial"/>
              </w:rPr>
            </w:pPr>
            <w:r w:rsidRPr="00043B8D">
              <w:rPr>
                <w:rFonts w:cs="Arial"/>
              </w:rPr>
              <w:t xml:space="preserve">de dienst van de ontspanning bij de </w:t>
            </w:r>
            <w:r w:rsidR="00B41023" w:rsidRPr="00043B8D">
              <w:rPr>
                <w:rFonts w:cs="Arial"/>
              </w:rPr>
              <w:t>distributienetgebruikers</w:t>
            </w:r>
          </w:p>
        </w:tc>
        <w:tc>
          <w:tcPr>
            <w:tcW w:w="3224" w:type="dxa"/>
            <w:tcBorders>
              <w:top w:val="dashSmallGap" w:sz="4" w:space="0" w:color="auto"/>
              <w:bottom w:val="dashSmallGap" w:sz="4" w:space="0" w:color="auto"/>
            </w:tcBorders>
          </w:tcPr>
          <w:p w14:paraId="3E91C414" w14:textId="77777777" w:rsidR="00BA66D9" w:rsidRPr="00043B8D" w:rsidRDefault="00BA66D9" w:rsidP="00B22601">
            <w:pPr>
              <w:rPr>
                <w:rFonts w:cs="Arial"/>
              </w:rPr>
            </w:pPr>
            <w:r w:rsidRPr="00043B8D">
              <w:rPr>
                <w:rFonts w:cs="Arial"/>
              </w:rPr>
              <w:t>Niet van toepassing.</w:t>
            </w:r>
          </w:p>
          <w:p w14:paraId="791C0EC0" w14:textId="77777777" w:rsidR="00BA66D9" w:rsidRPr="00043B8D" w:rsidRDefault="00BA66D9" w:rsidP="00B22601">
            <w:pPr>
              <w:rPr>
                <w:rFonts w:cs="Arial"/>
              </w:rPr>
            </w:pPr>
          </w:p>
          <w:p w14:paraId="446ED3A3" w14:textId="77777777" w:rsidR="00BA66D9" w:rsidRPr="00043B8D" w:rsidRDefault="00BA66D9" w:rsidP="00B22601">
            <w:pPr>
              <w:rPr>
                <w:rFonts w:cs="Arial"/>
              </w:rPr>
            </w:pPr>
          </w:p>
        </w:tc>
      </w:tr>
      <w:tr w:rsidR="00BA66D9" w:rsidRPr="00043B8D" w14:paraId="656D34F3" w14:textId="77777777" w:rsidTr="008E06D8">
        <w:trPr>
          <w:cantSplit/>
        </w:trPr>
        <w:tc>
          <w:tcPr>
            <w:tcW w:w="0" w:type="auto"/>
            <w:vMerge/>
          </w:tcPr>
          <w:p w14:paraId="77C67996" w14:textId="77777777" w:rsidR="00BA66D9" w:rsidRPr="00043B8D" w:rsidRDefault="00BA66D9" w:rsidP="00987B60">
            <w:pPr>
              <w:ind w:left="142"/>
              <w:jc w:val="left"/>
              <w:rPr>
                <w:rFonts w:cs="Arial"/>
              </w:rPr>
            </w:pPr>
          </w:p>
        </w:tc>
        <w:tc>
          <w:tcPr>
            <w:tcW w:w="2779" w:type="dxa"/>
            <w:tcBorders>
              <w:top w:val="dashSmallGap" w:sz="4" w:space="0" w:color="auto"/>
              <w:bottom w:val="dashSmallGap" w:sz="4" w:space="0" w:color="auto"/>
            </w:tcBorders>
          </w:tcPr>
          <w:p w14:paraId="143360DD" w14:textId="77777777" w:rsidR="00BA66D9" w:rsidRPr="00043B8D" w:rsidRDefault="00BA66D9" w:rsidP="00B22601">
            <w:pPr>
              <w:ind w:left="525"/>
              <w:rPr>
                <w:rFonts w:cs="Arial"/>
              </w:rPr>
            </w:pPr>
            <w:r w:rsidRPr="00043B8D">
              <w:rPr>
                <w:rFonts w:cs="Arial"/>
              </w:rPr>
              <w:t>De tarieven voor de supplementaire diensten</w:t>
            </w:r>
            <w:r w:rsidR="004225B5" w:rsidRPr="00043B8D">
              <w:rPr>
                <w:rFonts w:cs="Arial"/>
              </w:rPr>
              <w:t>.</w:t>
            </w:r>
          </w:p>
        </w:tc>
        <w:tc>
          <w:tcPr>
            <w:tcW w:w="2815" w:type="dxa"/>
            <w:tcBorders>
              <w:top w:val="dashSmallGap" w:sz="4" w:space="0" w:color="auto"/>
              <w:bottom w:val="dashSmallGap" w:sz="4" w:space="0" w:color="auto"/>
            </w:tcBorders>
          </w:tcPr>
          <w:p w14:paraId="1217AB05" w14:textId="77777777" w:rsidR="00BA66D9" w:rsidRPr="00043B8D" w:rsidRDefault="00BA66D9" w:rsidP="00B22601">
            <w:pPr>
              <w:rPr>
                <w:rFonts w:cs="Arial"/>
              </w:rPr>
            </w:pPr>
          </w:p>
        </w:tc>
        <w:tc>
          <w:tcPr>
            <w:tcW w:w="3224" w:type="dxa"/>
            <w:tcBorders>
              <w:top w:val="dashSmallGap" w:sz="4" w:space="0" w:color="auto"/>
              <w:bottom w:val="dashSmallGap" w:sz="4" w:space="0" w:color="auto"/>
            </w:tcBorders>
          </w:tcPr>
          <w:p w14:paraId="3108A327" w14:textId="77777777" w:rsidR="00BA66D9" w:rsidRPr="00043B8D" w:rsidRDefault="00BA66D9" w:rsidP="00B22601">
            <w:pPr>
              <w:rPr>
                <w:rFonts w:cs="Arial"/>
              </w:rPr>
            </w:pPr>
            <w:r w:rsidRPr="00043B8D">
              <w:rPr>
                <w:rFonts w:cs="Arial"/>
              </w:rPr>
              <w:t>Niet van toepassing.</w:t>
            </w:r>
          </w:p>
          <w:p w14:paraId="3367DBD2" w14:textId="77777777" w:rsidR="00BA66D9" w:rsidRPr="00043B8D" w:rsidRDefault="00BA66D9" w:rsidP="00B22601">
            <w:pPr>
              <w:rPr>
                <w:rFonts w:cs="Arial"/>
              </w:rPr>
            </w:pPr>
          </w:p>
          <w:p w14:paraId="3268DA29" w14:textId="77777777" w:rsidR="00BA66D9" w:rsidRPr="00043B8D" w:rsidRDefault="00BA66D9" w:rsidP="00B22601">
            <w:pPr>
              <w:rPr>
                <w:rFonts w:cs="Arial"/>
              </w:rPr>
            </w:pPr>
          </w:p>
          <w:p w14:paraId="7B862CAF" w14:textId="77777777" w:rsidR="00BA66D9" w:rsidRPr="00043B8D" w:rsidRDefault="00BA66D9" w:rsidP="00B22601">
            <w:pPr>
              <w:rPr>
                <w:rFonts w:cs="Arial"/>
              </w:rPr>
            </w:pPr>
          </w:p>
        </w:tc>
      </w:tr>
      <w:tr w:rsidR="00BA66D9" w:rsidRPr="00043B8D" w14:paraId="141B7543" w14:textId="77777777" w:rsidTr="008E06D8">
        <w:trPr>
          <w:cantSplit/>
        </w:trPr>
        <w:tc>
          <w:tcPr>
            <w:tcW w:w="0" w:type="auto"/>
          </w:tcPr>
          <w:p w14:paraId="29954664" w14:textId="65C5B697" w:rsidR="00BA66D9" w:rsidRPr="00043B8D" w:rsidRDefault="000278A9" w:rsidP="00987B60">
            <w:pPr>
              <w:ind w:left="142"/>
              <w:jc w:val="left"/>
              <w:rPr>
                <w:rFonts w:cs="Arial"/>
              </w:rPr>
            </w:pPr>
            <w:r w:rsidRPr="00043B8D">
              <w:rPr>
                <w:rFonts w:cs="Arial"/>
              </w:rPr>
              <w:t>4</w:t>
            </w:r>
          </w:p>
        </w:tc>
        <w:tc>
          <w:tcPr>
            <w:tcW w:w="2779" w:type="dxa"/>
          </w:tcPr>
          <w:p w14:paraId="5EBA2452" w14:textId="77777777" w:rsidR="00BA66D9" w:rsidRPr="00043B8D" w:rsidRDefault="00BA66D9" w:rsidP="00B22601">
            <w:pPr>
              <w:ind w:left="175"/>
              <w:rPr>
                <w:rFonts w:cs="Arial"/>
              </w:rPr>
            </w:pPr>
            <w:r w:rsidRPr="00043B8D">
              <w:rPr>
                <w:rFonts w:cs="Arial"/>
              </w:rPr>
              <w:t>de belastingen, heffingen,</w:t>
            </w:r>
          </w:p>
          <w:p w14:paraId="26104E42" w14:textId="77777777" w:rsidR="00BA66D9" w:rsidRPr="00043B8D" w:rsidRDefault="00BA66D9" w:rsidP="00B22601">
            <w:pPr>
              <w:ind w:left="175"/>
              <w:rPr>
                <w:rFonts w:cs="Arial"/>
              </w:rPr>
            </w:pPr>
            <w:r w:rsidRPr="00043B8D">
              <w:rPr>
                <w:rFonts w:cs="Arial"/>
              </w:rPr>
              <w:t>toeslagen, bijdragen en retributies</w:t>
            </w:r>
          </w:p>
          <w:p w14:paraId="5A97061A" w14:textId="77777777" w:rsidR="00BA66D9" w:rsidRPr="00043B8D" w:rsidRDefault="00BA66D9" w:rsidP="00B22601">
            <w:pPr>
              <w:ind w:left="175"/>
              <w:rPr>
                <w:rFonts w:cs="Arial"/>
              </w:rPr>
            </w:pPr>
          </w:p>
          <w:p w14:paraId="6ED20243" w14:textId="77777777" w:rsidR="00BA66D9" w:rsidRPr="00043B8D" w:rsidRDefault="00BA66D9" w:rsidP="00B22601">
            <w:pPr>
              <w:ind w:left="241"/>
              <w:rPr>
                <w:rFonts w:cs="Arial"/>
              </w:rPr>
            </w:pPr>
            <w:r w:rsidRPr="00043B8D">
              <w:rPr>
                <w:rFonts w:cs="Arial"/>
              </w:rPr>
              <w:t>Deze omvatten:</w:t>
            </w:r>
          </w:p>
          <w:p w14:paraId="09ADB6FC" w14:textId="08690907" w:rsidR="00BA66D9" w:rsidRPr="00043B8D" w:rsidRDefault="00BA66D9" w:rsidP="00916C57">
            <w:pPr>
              <w:pStyle w:val="Lijstalinea"/>
              <w:numPr>
                <w:ilvl w:val="0"/>
                <w:numId w:val="20"/>
              </w:numPr>
              <w:rPr>
                <w:rFonts w:cs="Arial"/>
              </w:rPr>
            </w:pPr>
            <w:r w:rsidRPr="00043B8D">
              <w:rPr>
                <w:rFonts w:cs="Arial"/>
              </w:rPr>
              <w:t xml:space="preserve">De kosten van niet-gekapitaliseerde pensioenen (zie in </w:t>
            </w:r>
            <w:r w:rsidRPr="00043B8D">
              <w:rPr>
                <w:rFonts w:cs="Arial"/>
              </w:rPr>
              <w:fldChar w:fldCharType="begin"/>
            </w:r>
            <w:r w:rsidRPr="00043B8D">
              <w:rPr>
                <w:rFonts w:cs="Arial"/>
              </w:rPr>
              <w:instrText xml:space="preserve"> REF _Ref363651894 \r \h  \* MERGEFORMAT </w:instrText>
            </w:r>
            <w:r w:rsidRPr="00043B8D">
              <w:rPr>
                <w:rFonts w:cs="Arial"/>
              </w:rPr>
            </w:r>
            <w:r w:rsidRPr="00043B8D">
              <w:rPr>
                <w:rFonts w:cs="Arial"/>
              </w:rPr>
              <w:fldChar w:fldCharType="separate"/>
            </w:r>
            <w:r w:rsidR="00B30F9B">
              <w:rPr>
                <w:rFonts w:cs="Arial"/>
              </w:rPr>
              <w:t>5.4</w:t>
            </w:r>
            <w:r w:rsidRPr="00043B8D">
              <w:rPr>
                <w:rFonts w:cs="Arial"/>
              </w:rPr>
              <w:fldChar w:fldCharType="end"/>
            </w:r>
            <w:r w:rsidRPr="00043B8D">
              <w:rPr>
                <w:rFonts w:cs="Arial"/>
              </w:rPr>
              <w:t>).</w:t>
            </w:r>
          </w:p>
          <w:p w14:paraId="685191B9" w14:textId="77777777" w:rsidR="00BA66D9" w:rsidRPr="00043B8D" w:rsidRDefault="00BA66D9" w:rsidP="00916C57">
            <w:pPr>
              <w:pStyle w:val="Lijstalinea"/>
              <w:numPr>
                <w:ilvl w:val="0"/>
                <w:numId w:val="20"/>
              </w:numPr>
              <w:rPr>
                <w:rFonts w:cs="Arial"/>
              </w:rPr>
            </w:pPr>
            <w:r w:rsidRPr="00043B8D">
              <w:rPr>
                <w:rFonts w:cs="Arial"/>
              </w:rPr>
              <w:t>De rechtspersonenbelasting.</w:t>
            </w:r>
          </w:p>
          <w:p w14:paraId="1C505E8B" w14:textId="3648A02B" w:rsidR="00BA66D9" w:rsidRPr="00043B8D" w:rsidRDefault="00BA66D9" w:rsidP="00916C57">
            <w:pPr>
              <w:pStyle w:val="Lijstalinea"/>
              <w:numPr>
                <w:ilvl w:val="0"/>
                <w:numId w:val="20"/>
              </w:numPr>
              <w:rPr>
                <w:rFonts w:cs="Arial"/>
              </w:rPr>
            </w:pPr>
            <w:r w:rsidRPr="00043B8D">
              <w:rPr>
                <w:rFonts w:cs="Arial"/>
              </w:rPr>
              <w:t>De belastingen of andere bedragen die geheven worden door publieke overheden en die door de betrokken distributienetbeheerder verschuldigd zijn (obligatio) maar waarvan een derde de belasting draagt (contributio)</w:t>
            </w:r>
            <w:r w:rsidR="00203ABF" w:rsidRPr="00043B8D">
              <w:rPr>
                <w:rStyle w:val="Voetnootmarkering"/>
                <w:rFonts w:cs="Arial"/>
              </w:rPr>
              <w:footnoteReference w:id="77"/>
            </w:r>
            <w:r w:rsidRPr="00043B8D">
              <w:rPr>
                <w:rFonts w:cs="Arial"/>
              </w:rPr>
              <w:t>.</w:t>
            </w:r>
          </w:p>
          <w:p w14:paraId="5247C965" w14:textId="77777777" w:rsidR="00BA66D9" w:rsidRPr="00043B8D" w:rsidRDefault="00BA66D9" w:rsidP="00B22601">
            <w:pPr>
              <w:rPr>
                <w:rFonts w:cs="Arial"/>
              </w:rPr>
            </w:pPr>
          </w:p>
          <w:p w14:paraId="27060BCC" w14:textId="7F2994AD" w:rsidR="00BA66D9" w:rsidRPr="00043B8D" w:rsidRDefault="00AB197C" w:rsidP="00B22601">
            <w:pPr>
              <w:ind w:left="241"/>
              <w:rPr>
                <w:rFonts w:cs="Arial"/>
              </w:rPr>
            </w:pPr>
            <w:r w:rsidRPr="00043B8D">
              <w:rPr>
                <w:rFonts w:cs="Arial"/>
              </w:rPr>
              <w:t>Deze blijven bestaan</w:t>
            </w:r>
            <w:r w:rsidR="00BA66D9" w:rsidRPr="00043B8D">
              <w:rPr>
                <w:rFonts w:cs="Arial"/>
              </w:rPr>
              <w:t>:</w:t>
            </w:r>
          </w:p>
          <w:p w14:paraId="2DFF5E5D" w14:textId="23E58878" w:rsidR="00BA66D9" w:rsidRPr="00043B8D" w:rsidRDefault="00BA66D9" w:rsidP="00916C57">
            <w:pPr>
              <w:pStyle w:val="Lijstalinea"/>
              <w:numPr>
                <w:ilvl w:val="0"/>
                <w:numId w:val="20"/>
              </w:numPr>
              <w:rPr>
                <w:rFonts w:cs="Arial"/>
              </w:rPr>
            </w:pPr>
            <w:r w:rsidRPr="00043B8D">
              <w:rPr>
                <w:rFonts w:cs="Arial"/>
              </w:rPr>
              <w:t>de toeslagen of heffingen ter financiering van de openbare dienstverplichtingen</w:t>
            </w:r>
          </w:p>
          <w:p w14:paraId="38D3D3AD" w14:textId="77777777" w:rsidR="00BA66D9" w:rsidRPr="00043B8D" w:rsidRDefault="00BA66D9" w:rsidP="00916C57">
            <w:pPr>
              <w:pStyle w:val="Lijstalinea"/>
              <w:numPr>
                <w:ilvl w:val="0"/>
                <w:numId w:val="20"/>
              </w:numPr>
              <w:rPr>
                <w:rFonts w:cs="Arial"/>
              </w:rPr>
            </w:pPr>
            <w:r w:rsidRPr="00043B8D">
              <w:rPr>
                <w:rFonts w:cs="Arial"/>
              </w:rPr>
              <w:t>de toeslagen ter dekking van de werkingskosten van de CREG</w:t>
            </w:r>
          </w:p>
          <w:p w14:paraId="316C6F09" w14:textId="77777777" w:rsidR="00BA66D9" w:rsidRPr="00043B8D" w:rsidRDefault="00BA66D9" w:rsidP="00916C57">
            <w:pPr>
              <w:pStyle w:val="Lijstalinea"/>
              <w:numPr>
                <w:ilvl w:val="0"/>
                <w:numId w:val="20"/>
              </w:numPr>
              <w:rPr>
                <w:rFonts w:cs="Arial"/>
              </w:rPr>
            </w:pPr>
            <w:r w:rsidRPr="00043B8D">
              <w:rPr>
                <w:rFonts w:cs="Arial"/>
              </w:rPr>
              <w:t>de bijdragen ter dekking van de verloren kosten</w:t>
            </w:r>
          </w:p>
          <w:p w14:paraId="38350E18" w14:textId="77777777" w:rsidR="00BA66D9" w:rsidRPr="00043B8D" w:rsidRDefault="00BA66D9" w:rsidP="00412AA6">
            <w:pPr>
              <w:pStyle w:val="Lijstalinea"/>
              <w:ind w:left="720"/>
              <w:rPr>
                <w:rFonts w:cs="Arial"/>
              </w:rPr>
            </w:pPr>
          </w:p>
        </w:tc>
        <w:tc>
          <w:tcPr>
            <w:tcW w:w="2815" w:type="dxa"/>
          </w:tcPr>
          <w:p w14:paraId="666A83AF" w14:textId="77777777" w:rsidR="00BA66D9" w:rsidRPr="00043B8D" w:rsidRDefault="004225B5" w:rsidP="00B22601">
            <w:r w:rsidRPr="00043B8D">
              <w:t>Zoals vermeld.</w:t>
            </w:r>
          </w:p>
        </w:tc>
        <w:tc>
          <w:tcPr>
            <w:tcW w:w="3224" w:type="dxa"/>
          </w:tcPr>
          <w:p w14:paraId="1F4AD008" w14:textId="5AF4EE4D" w:rsidR="00BA66D9" w:rsidRPr="00043B8D" w:rsidRDefault="00BA66D9" w:rsidP="007F1159">
            <w:pPr>
              <w:rPr>
                <w:rFonts w:cs="Arial"/>
              </w:rPr>
            </w:pPr>
            <w:r w:rsidRPr="00043B8D">
              <w:t xml:space="preserve">De toeslagen </w:t>
            </w:r>
            <w:r w:rsidRPr="00043B8D">
              <w:rPr>
                <w:rFonts w:cs="Arial"/>
              </w:rPr>
              <w:t>zijn functie van de energie afgenomen (kWh) door de netgebruiker.</w:t>
            </w:r>
          </w:p>
        </w:tc>
      </w:tr>
    </w:tbl>
    <w:p w14:paraId="7C6E4136" w14:textId="77777777" w:rsidR="006B3912" w:rsidRPr="00043B8D" w:rsidRDefault="006B3912">
      <w:pPr>
        <w:jc w:val="left"/>
        <w:rPr>
          <w:rFonts w:cs="Arial"/>
          <w:sz w:val="26"/>
          <w:szCs w:val="28"/>
        </w:rPr>
      </w:pPr>
    </w:p>
    <w:p w14:paraId="2CC8A576" w14:textId="6F30BDF8" w:rsidR="009729FE" w:rsidRPr="00043B8D" w:rsidRDefault="006B3912" w:rsidP="00092E99">
      <w:pPr>
        <w:rPr>
          <w:rFonts w:cs="Arial"/>
        </w:rPr>
      </w:pPr>
      <w:r w:rsidRPr="00043B8D">
        <w:rPr>
          <w:rFonts w:cs="Arial"/>
        </w:rPr>
        <w:t>Zodra de distributienetbeheerder kennis krijgt van een nieuwe toeslag</w:t>
      </w:r>
      <w:r w:rsidR="00EE41FF" w:rsidRPr="00043B8D">
        <w:rPr>
          <w:rFonts w:cs="Arial"/>
        </w:rPr>
        <w:t xml:space="preserve"> over zijn werkingsgebied</w:t>
      </w:r>
      <w:r w:rsidRPr="00043B8D">
        <w:rPr>
          <w:rFonts w:cs="Arial"/>
        </w:rPr>
        <w:t xml:space="preserve">, informeert hij de VREG hiervan. De VREG en de distributienetbeheerder overleggen teneinde de toeslag in de tarieven op te nemen. </w:t>
      </w:r>
    </w:p>
    <w:p w14:paraId="23D57E28" w14:textId="77777777" w:rsidR="00092BB8" w:rsidRPr="00043B8D" w:rsidRDefault="00092BB8">
      <w:pPr>
        <w:jc w:val="left"/>
        <w:rPr>
          <w:rFonts w:cs="Arial"/>
        </w:rPr>
      </w:pPr>
    </w:p>
    <w:p w14:paraId="49C587E3" w14:textId="359C3CDF" w:rsidR="004F1D26" w:rsidRPr="00043B8D" w:rsidRDefault="00092BB8" w:rsidP="00092BB8">
      <w:pPr>
        <w:rPr>
          <w:rFonts w:cs="Arial"/>
        </w:rPr>
      </w:pPr>
      <w:r w:rsidRPr="00043B8D">
        <w:rPr>
          <w:rFonts w:cs="Arial"/>
        </w:rPr>
        <w:t>De kosten voor een eventuele vennootschapsbelasting</w:t>
      </w:r>
      <w:r w:rsidR="00E94762" w:rsidRPr="00043B8D">
        <w:rPr>
          <w:rFonts w:cs="Arial"/>
        </w:rPr>
        <w:t>[…]</w:t>
      </w:r>
      <w:r w:rsidRPr="00043B8D">
        <w:rPr>
          <w:rStyle w:val="Voetnootmarkering"/>
          <w:rFonts w:cs="Arial"/>
        </w:rPr>
        <w:footnoteReference w:id="78"/>
      </w:r>
      <w:r w:rsidRPr="00043B8D">
        <w:rPr>
          <w:rFonts w:cs="Arial"/>
        </w:rPr>
        <w:t xml:space="preserve"> worden toegewezen aan het tarief voor het gebruik van het distributienet. De gehanteerde tariefmethodologie, met een normatieve kapitaalkostenvergoeding als onderdeel van het toegelaten inkomen voor niet-exogene kosten, impliceert dat deze vennootschapsbelasting wordt verwerkt in de berekening van deze kapitaalkostenvergoeding</w:t>
      </w:r>
      <w:r w:rsidRPr="00043B8D">
        <w:rPr>
          <w:rStyle w:val="Voetnootmarkering"/>
          <w:rFonts w:cs="Arial"/>
        </w:rPr>
        <w:footnoteReference w:id="79"/>
      </w:r>
      <w:r w:rsidRPr="00043B8D">
        <w:rPr>
          <w:rFonts w:cs="Arial"/>
        </w:rPr>
        <w:t xml:space="preserve"> en niet afzonderlijk als exogeen element kan behandeld worden.</w:t>
      </w:r>
      <w:r w:rsidR="004F1D26" w:rsidRPr="00043B8D">
        <w:rPr>
          <w:rFonts w:cs="Arial"/>
        </w:rPr>
        <w:br w:type="page"/>
      </w:r>
    </w:p>
    <w:p w14:paraId="664E9972" w14:textId="77777777" w:rsidR="004D5C78" w:rsidRPr="00043B8D" w:rsidRDefault="004D5C78">
      <w:pPr>
        <w:jc w:val="left"/>
        <w:rPr>
          <w:rFonts w:cs="Arial"/>
        </w:rPr>
      </w:pPr>
    </w:p>
    <w:p w14:paraId="246D9C74" w14:textId="3BC04943" w:rsidR="004D5BA6" w:rsidRPr="00043B8D" w:rsidRDefault="00970FF6" w:rsidP="00D75659">
      <w:pPr>
        <w:pStyle w:val="Kop1"/>
      </w:pPr>
      <w:bookmarkStart w:id="562" w:name="_Ref392687989"/>
      <w:bookmarkStart w:id="563" w:name="_Ref392688040"/>
      <w:bookmarkStart w:id="564" w:name="_Toc454186707"/>
      <w:r w:rsidRPr="00043B8D">
        <w:t>Regulatorische boekhoudkundige voorschriften</w:t>
      </w:r>
      <w:bookmarkEnd w:id="562"/>
      <w:bookmarkEnd w:id="563"/>
      <w:bookmarkEnd w:id="564"/>
    </w:p>
    <w:p w14:paraId="1C17CA03" w14:textId="77777777" w:rsidR="00787FAE" w:rsidRPr="00043B8D" w:rsidRDefault="00787FAE" w:rsidP="00787FAE"/>
    <w:p w14:paraId="381D8BAF" w14:textId="37C3EF27" w:rsidR="00223001" w:rsidRPr="00043B8D" w:rsidRDefault="00787FAE" w:rsidP="00787FAE">
      <w:r w:rsidRPr="00043B8D">
        <w:t xml:space="preserve">In het kader van de tariefmethode heeft de VREG behoefte aan correctheid en uniformiteit in de financiële verslaggeving door de distributienetbeheerders. Daartoe </w:t>
      </w:r>
      <w:r w:rsidR="006C6F21" w:rsidRPr="00043B8D">
        <w:t xml:space="preserve">heeft </w:t>
      </w:r>
      <w:r w:rsidRPr="00043B8D">
        <w:t xml:space="preserve">de regulator een set van </w:t>
      </w:r>
      <w:r w:rsidR="00970FF6" w:rsidRPr="00043B8D">
        <w:t xml:space="preserve">voorschriften </w:t>
      </w:r>
      <w:r w:rsidRPr="00043B8D">
        <w:t>op</w:t>
      </w:r>
      <w:r w:rsidR="006C6F21" w:rsidRPr="00043B8D">
        <w:t xml:space="preserve">gesteld </w:t>
      </w:r>
      <w:r w:rsidRPr="00043B8D">
        <w:t xml:space="preserve">die de distributienetbeheerders dienen toe te passen </w:t>
      </w:r>
      <w:r w:rsidR="00C3778B" w:rsidRPr="00043B8D">
        <w:t>bij het invullen van de</w:t>
      </w:r>
      <w:r w:rsidRPr="00043B8D">
        <w:t xml:space="preserve"> rapportering</w:t>
      </w:r>
      <w:r w:rsidR="00C3778B" w:rsidRPr="00043B8D">
        <w:t>smodellen</w:t>
      </w:r>
      <w:r w:rsidRPr="00043B8D">
        <w:t xml:space="preserve">. </w:t>
      </w:r>
    </w:p>
    <w:p w14:paraId="39E52EE1" w14:textId="77777777" w:rsidR="006C6F21" w:rsidRPr="00043B8D" w:rsidRDefault="006C6F21" w:rsidP="00787FAE"/>
    <w:p w14:paraId="60848A65" w14:textId="77777777" w:rsidR="002549C5" w:rsidRPr="00043B8D" w:rsidRDefault="00223001" w:rsidP="002549C5">
      <w:pPr>
        <w:pStyle w:val="Kop2"/>
      </w:pPr>
      <w:bookmarkStart w:id="565" w:name="_Toc454186708"/>
      <w:r w:rsidRPr="00043B8D">
        <w:t>J</w:t>
      </w:r>
      <w:r w:rsidR="002549C5" w:rsidRPr="00043B8D">
        <w:t>uridisch kader</w:t>
      </w:r>
      <w:bookmarkEnd w:id="565"/>
    </w:p>
    <w:p w14:paraId="57BE2C04" w14:textId="77777777" w:rsidR="002549C5" w:rsidRPr="00043B8D" w:rsidRDefault="002549C5" w:rsidP="002549C5"/>
    <w:p w14:paraId="35AB81CD" w14:textId="20E4817F" w:rsidR="002549C5" w:rsidRPr="00043B8D" w:rsidRDefault="002549C5" w:rsidP="002549C5">
      <w:r w:rsidRPr="00043B8D">
        <w:t xml:space="preserve">Op grond </w:t>
      </w:r>
      <w:r w:rsidR="005515C8" w:rsidRPr="00043B8D">
        <w:t>v</w:t>
      </w:r>
      <w:r w:rsidR="00CE7A3D" w:rsidRPr="00043B8D">
        <w:t>an art.</w:t>
      </w:r>
      <w:r w:rsidR="005515C8" w:rsidRPr="00043B8D">
        <w:t xml:space="preserve"> 13.1.2 van </w:t>
      </w:r>
      <w:r w:rsidR="006C6F21" w:rsidRPr="00043B8D">
        <w:t xml:space="preserve">het Energiedecreet </w:t>
      </w:r>
      <w:r w:rsidRPr="00043B8D">
        <w:t xml:space="preserve">heeft de VREG de bevoegdheid om gegevens en inlichtingen op te vragen bij de distributienetbeheerders, die nodig zijn voor de uitvoering van zijn taken. Voor de uitvoering van </w:t>
      </w:r>
      <w:r w:rsidR="00013535" w:rsidRPr="00043B8D">
        <w:t>de</w:t>
      </w:r>
      <w:r w:rsidRPr="00043B8D">
        <w:t xml:space="preserve"> </w:t>
      </w:r>
      <w:r w:rsidR="00013535" w:rsidRPr="00043B8D">
        <w:t xml:space="preserve">regulerende </w:t>
      </w:r>
      <w:r w:rsidRPr="00043B8D">
        <w:t>taak</w:t>
      </w:r>
      <w:r w:rsidR="00013535" w:rsidRPr="00043B8D">
        <w:t xml:space="preserve"> betreffende de distributienettarieven voor elektriciteit en aardgas (art. 3.1.3</w:t>
      </w:r>
      <w:r w:rsidR="00886E0F" w:rsidRPr="00043B8D">
        <w:t>, 2°</w:t>
      </w:r>
      <w:r w:rsidR="00C11FDD" w:rsidRPr="00043B8D">
        <w:t xml:space="preserve"> </w:t>
      </w:r>
      <w:r w:rsidR="00CE7A3D" w:rsidRPr="00043B8D">
        <w:t>van het Energiedecreet</w:t>
      </w:r>
      <w:r w:rsidR="00013535" w:rsidRPr="00043B8D">
        <w:t>)</w:t>
      </w:r>
      <w:r w:rsidRPr="00043B8D">
        <w:t xml:space="preserve">, </w:t>
      </w:r>
      <w:r w:rsidR="00013535" w:rsidRPr="00043B8D">
        <w:t xml:space="preserve">heeft de </w:t>
      </w:r>
      <w:r w:rsidRPr="00043B8D">
        <w:t xml:space="preserve">VREG </w:t>
      </w:r>
      <w:r w:rsidR="00013535" w:rsidRPr="00043B8D">
        <w:t xml:space="preserve">behoefte aan gegevens </w:t>
      </w:r>
      <w:r w:rsidRPr="00043B8D">
        <w:t xml:space="preserve">en inlichtingen </w:t>
      </w:r>
      <w:r w:rsidR="00013535" w:rsidRPr="00043B8D">
        <w:t>van de distributienetbeheerders</w:t>
      </w:r>
      <w:r w:rsidRPr="00043B8D">
        <w:t>.</w:t>
      </w:r>
    </w:p>
    <w:p w14:paraId="0F9F61FA" w14:textId="77777777" w:rsidR="002549C5" w:rsidRPr="00043B8D" w:rsidRDefault="002549C5" w:rsidP="002549C5"/>
    <w:p w14:paraId="707E78C0" w14:textId="408BF62F" w:rsidR="002549C5" w:rsidRPr="00043B8D" w:rsidRDefault="002549C5" w:rsidP="002549C5">
      <w:r w:rsidRPr="00043B8D">
        <w:t>De VREG heef</w:t>
      </w:r>
      <w:r w:rsidR="00E35A55" w:rsidRPr="00043B8D">
        <w:t>t</w:t>
      </w:r>
      <w:r w:rsidRPr="00043B8D">
        <w:t xml:space="preserve"> </w:t>
      </w:r>
      <w:r w:rsidR="00013535" w:rsidRPr="00043B8D">
        <w:t>zijn</w:t>
      </w:r>
      <w:r w:rsidRPr="00043B8D">
        <w:t xml:space="preserve"> bevoegdheid om de gegevens en inlichtingen op te vragen, ingevuld met onderstaande </w:t>
      </w:r>
      <w:r w:rsidR="00970FF6" w:rsidRPr="00043B8D">
        <w:t xml:space="preserve">regulatorische </w:t>
      </w:r>
      <w:r w:rsidRPr="00043B8D">
        <w:t xml:space="preserve">boekhoudkundige </w:t>
      </w:r>
      <w:r w:rsidR="00970FF6" w:rsidRPr="00043B8D">
        <w:t>voorschriften</w:t>
      </w:r>
      <w:r w:rsidRPr="00043B8D">
        <w:t>.</w:t>
      </w:r>
    </w:p>
    <w:p w14:paraId="3EEB6226" w14:textId="77777777" w:rsidR="008F0634" w:rsidRPr="00043B8D" w:rsidRDefault="008F0634" w:rsidP="002549C5"/>
    <w:p w14:paraId="67212425" w14:textId="54703C18" w:rsidR="002549C5" w:rsidRPr="00043B8D" w:rsidRDefault="002549C5" w:rsidP="002549C5">
      <w:pPr>
        <w:pStyle w:val="Kop2"/>
      </w:pPr>
      <w:bookmarkStart w:id="566" w:name="_Toc454186709"/>
      <w:r w:rsidRPr="00043B8D">
        <w:t xml:space="preserve">Reikwijdte </w:t>
      </w:r>
      <w:r w:rsidR="00970FF6" w:rsidRPr="00043B8D">
        <w:t xml:space="preserve">regulatorische </w:t>
      </w:r>
      <w:r w:rsidRPr="00043B8D">
        <w:t xml:space="preserve">boekhoudkundige </w:t>
      </w:r>
      <w:r w:rsidR="00970FF6" w:rsidRPr="00043B8D">
        <w:t>voorschriften</w:t>
      </w:r>
      <w:bookmarkEnd w:id="566"/>
    </w:p>
    <w:p w14:paraId="7D747F32" w14:textId="77777777" w:rsidR="00EE54D1" w:rsidRPr="00043B8D" w:rsidRDefault="00EE54D1" w:rsidP="00EE54D1"/>
    <w:p w14:paraId="7940A69C" w14:textId="4EEE348D" w:rsidR="00EE54D1" w:rsidRPr="00043B8D" w:rsidRDefault="00EE54D1" w:rsidP="00EE54D1">
      <w:r w:rsidRPr="00043B8D">
        <w:t>De in de</w:t>
      </w:r>
      <w:r w:rsidR="004F3B2A" w:rsidRPr="00043B8D">
        <w:t>ze</w:t>
      </w:r>
      <w:r w:rsidRPr="00043B8D">
        <w:t xml:space="preserve"> </w:t>
      </w:r>
      <w:r w:rsidR="00970FF6" w:rsidRPr="00043B8D">
        <w:t xml:space="preserve">regulatorische </w:t>
      </w:r>
      <w:r w:rsidRPr="00043B8D">
        <w:t xml:space="preserve">boekhoudkundige </w:t>
      </w:r>
      <w:r w:rsidR="00970FF6" w:rsidRPr="00043B8D">
        <w:t xml:space="preserve">voorschriften </w:t>
      </w:r>
      <w:r w:rsidRPr="00043B8D">
        <w:t xml:space="preserve">vastgelegde bepalingen hebben betrekking op alle financiële gegevens die nodig zijn om de wettelijke taken en bevoegdheden die de VREG heeft ten aanzien van de distributienetbeheerders te kunnen uitvoeren. De </w:t>
      </w:r>
      <w:r w:rsidR="00970FF6" w:rsidRPr="00043B8D">
        <w:t xml:space="preserve">voorschriften </w:t>
      </w:r>
      <w:r w:rsidRPr="00043B8D">
        <w:t xml:space="preserve">dienen in de eerste plaats om het toegestaan inkomen, de x-factor en </w:t>
      </w:r>
      <w:r w:rsidR="00955790" w:rsidRPr="00043B8D">
        <w:t xml:space="preserve">de </w:t>
      </w:r>
      <w:r w:rsidRPr="00043B8D">
        <w:t xml:space="preserve">rekenvolumes op correcte wijze te kunnen bepalen. </w:t>
      </w:r>
    </w:p>
    <w:p w14:paraId="40449BD8" w14:textId="77777777" w:rsidR="00EE54D1" w:rsidRPr="00043B8D" w:rsidRDefault="00EE54D1" w:rsidP="00EE54D1"/>
    <w:p w14:paraId="231B79F9" w14:textId="2362D7DF" w:rsidR="00EE54D1" w:rsidRPr="00043B8D" w:rsidRDefault="00EE54D1" w:rsidP="00EE54D1">
      <w:r w:rsidRPr="00043B8D">
        <w:t xml:space="preserve">Bovendien betreffen deze </w:t>
      </w:r>
      <w:r w:rsidR="00970FF6" w:rsidRPr="00043B8D">
        <w:t xml:space="preserve">regulatorische </w:t>
      </w:r>
      <w:r w:rsidRPr="00043B8D">
        <w:t xml:space="preserve">boekhoudkundige </w:t>
      </w:r>
      <w:r w:rsidR="00970FF6" w:rsidRPr="00043B8D">
        <w:t xml:space="preserve">voorschriften </w:t>
      </w:r>
      <w:r w:rsidRPr="00043B8D">
        <w:t>een standaard voor financiële verslaggeving. Gegevens met betrekking tot kwaliteitsaspecten worden niet in beschouwing genomen.</w:t>
      </w:r>
    </w:p>
    <w:p w14:paraId="70230A63" w14:textId="77777777" w:rsidR="00EE54D1" w:rsidRPr="00043B8D" w:rsidRDefault="00EE54D1" w:rsidP="00EE54D1"/>
    <w:p w14:paraId="0B527C5E" w14:textId="7FACCAEE" w:rsidR="00EE54D1" w:rsidRPr="00043B8D" w:rsidRDefault="00EE54D1" w:rsidP="00EE54D1">
      <w:r w:rsidRPr="00043B8D">
        <w:t xml:space="preserve">Indien bepaalde van deze </w:t>
      </w:r>
      <w:r w:rsidR="00970FF6" w:rsidRPr="00043B8D">
        <w:t xml:space="preserve">voorschriften </w:t>
      </w:r>
      <w:r w:rsidRPr="00043B8D">
        <w:t xml:space="preserve">niet eenduidig door de distributienetbeheerder kunnen geïnterpreteerd worden, dient deze de VREG hiervan op de hoogte te brengen. </w:t>
      </w:r>
      <w:r w:rsidR="00546E86" w:rsidRPr="00043B8D">
        <w:t xml:space="preserve">Hieruit kunnen eventuele wijzigingen aan de </w:t>
      </w:r>
      <w:r w:rsidR="00970FF6" w:rsidRPr="00043B8D">
        <w:t xml:space="preserve">regulatorische </w:t>
      </w:r>
      <w:r w:rsidR="00546E86" w:rsidRPr="00043B8D">
        <w:t xml:space="preserve">boekhoudkundige </w:t>
      </w:r>
      <w:r w:rsidR="00970FF6" w:rsidRPr="00043B8D">
        <w:t xml:space="preserve">voorschriften </w:t>
      </w:r>
      <w:r w:rsidR="00546E86" w:rsidRPr="00043B8D">
        <w:t>voortvloeien die dan ook, indien van toepassing, voor de volledige sector zullen toegepast worden.</w:t>
      </w:r>
    </w:p>
    <w:p w14:paraId="7679D41F" w14:textId="77777777" w:rsidR="00546E86" w:rsidRPr="00043B8D" w:rsidRDefault="00546E86" w:rsidP="00EE54D1"/>
    <w:p w14:paraId="3ACBAF62" w14:textId="30CA03DC" w:rsidR="00546E86" w:rsidRPr="00043B8D" w:rsidRDefault="0017636D" w:rsidP="00546E86">
      <w:pPr>
        <w:pStyle w:val="Kop2"/>
      </w:pPr>
      <w:bookmarkStart w:id="567" w:name="_Toc454186710"/>
      <w:r w:rsidRPr="00043B8D">
        <w:t>[…]</w:t>
      </w:r>
      <w:r w:rsidRPr="00043B8D">
        <w:rPr>
          <w:rStyle w:val="Voetnootmarkering"/>
        </w:rPr>
        <w:footnoteReference w:id="80"/>
      </w:r>
      <w:r w:rsidRPr="00043B8D">
        <w:t xml:space="preserve"> [</w:t>
      </w:r>
      <w:r w:rsidR="00BE10DE" w:rsidRPr="00043B8D">
        <w:t>Rapport van feitelijke bevindingen</w:t>
      </w:r>
      <w:r w:rsidRPr="00043B8D">
        <w:t>]</w:t>
      </w:r>
      <w:r w:rsidR="00CD60BE" w:rsidRPr="00043B8D">
        <w:rPr>
          <w:rStyle w:val="Voetnootmarkering"/>
        </w:rPr>
        <w:footnoteReference w:id="81"/>
      </w:r>
      <w:r w:rsidR="003D69F2" w:rsidRPr="00043B8D">
        <w:t xml:space="preserve"> </w:t>
      </w:r>
      <w:r w:rsidR="00546E86" w:rsidRPr="00043B8D">
        <w:t>door commissaris</w:t>
      </w:r>
      <w:bookmarkEnd w:id="567"/>
    </w:p>
    <w:p w14:paraId="331421D6" w14:textId="77777777" w:rsidR="00546E86" w:rsidRPr="00043B8D" w:rsidRDefault="00546E86" w:rsidP="00546E86"/>
    <w:p w14:paraId="2662E36A" w14:textId="2D1D4FF2" w:rsidR="00546E86" w:rsidRPr="00043B8D" w:rsidRDefault="00546E86" w:rsidP="005D25AE">
      <w:pPr>
        <w:tabs>
          <w:tab w:val="left" w:pos="3828"/>
        </w:tabs>
      </w:pPr>
      <w:r w:rsidRPr="00043B8D">
        <w:t>De gegevens en inlichtingen die door de distributienetbeheerder in het rapporteringsmodel voor de exogene kosten (</w:t>
      </w:r>
      <w:r w:rsidR="004F3B2A" w:rsidRPr="00043B8D">
        <w:t xml:space="preserve">alleen wanneer </w:t>
      </w:r>
      <w:r w:rsidRPr="00043B8D">
        <w:t>ex-post) en het rapporteringsmodel voor de niet-exogene kosten worden opgenomen, dienen te worden gecontroleerd door de commissaris van de distributienetbeheerder</w:t>
      </w:r>
      <w:r w:rsidR="00BE10DE" w:rsidRPr="00043B8D">
        <w:t xml:space="preserve"> </w:t>
      </w:r>
      <w:r w:rsidR="00CD60BE" w:rsidRPr="00043B8D">
        <w:t>[</w:t>
      </w:r>
      <w:r w:rsidR="00BE10DE" w:rsidRPr="00043B8D">
        <w:t>en dit op basis van overeengekomen specifieke werkzaamheden</w:t>
      </w:r>
      <w:r w:rsidR="00CD60BE" w:rsidRPr="00043B8D">
        <w:t>]</w:t>
      </w:r>
      <w:r w:rsidR="00CD60BE" w:rsidRPr="00043B8D">
        <w:rPr>
          <w:rStyle w:val="Voetnootmarkering"/>
        </w:rPr>
        <w:footnoteReference w:id="82"/>
      </w:r>
      <w:r w:rsidRPr="00043B8D">
        <w:t xml:space="preserve">. Hierbij dient de commissaris een </w:t>
      </w:r>
      <w:r w:rsidR="00CD60BE" w:rsidRPr="00043B8D">
        <w:t>[…]</w:t>
      </w:r>
      <w:r w:rsidR="00CD60BE" w:rsidRPr="00043B8D">
        <w:rPr>
          <w:rStyle w:val="Voetnootmarkering"/>
        </w:rPr>
        <w:footnoteReference w:id="83"/>
      </w:r>
      <w:r w:rsidR="00CD60BE" w:rsidRPr="00043B8D">
        <w:t xml:space="preserve"> [</w:t>
      </w:r>
      <w:r w:rsidR="00BE10DE" w:rsidRPr="00043B8D">
        <w:t>rapport van feitelijke bevindingen</w:t>
      </w:r>
      <w:r w:rsidR="00CD60BE" w:rsidRPr="00043B8D">
        <w:t>]</w:t>
      </w:r>
      <w:r w:rsidR="00CD60BE" w:rsidRPr="00043B8D">
        <w:rPr>
          <w:rStyle w:val="Voetnootmarkering"/>
        </w:rPr>
        <w:footnoteReference w:id="84"/>
      </w:r>
      <w:r w:rsidR="003D69F2" w:rsidRPr="00043B8D">
        <w:t xml:space="preserve"> </w:t>
      </w:r>
      <w:r w:rsidRPr="00043B8D">
        <w:t>op te leveren omtrent deze rapporteringsmodellen. Voor meer detail verwijzen we naar de auditinstructie in</w:t>
      </w:r>
      <w:r w:rsidR="005D25AE" w:rsidRPr="00043B8D">
        <w:t xml:space="preserve"> paragraaf</w:t>
      </w:r>
      <w:r w:rsidR="00955790" w:rsidRPr="00043B8D">
        <w:t xml:space="preserve"> </w:t>
      </w:r>
      <w:r w:rsidR="00955790" w:rsidRPr="00043B8D">
        <w:fldChar w:fldCharType="begin"/>
      </w:r>
      <w:r w:rsidR="00955790" w:rsidRPr="00043B8D">
        <w:instrText xml:space="preserve"> REF _Ref392233276 \r \h </w:instrText>
      </w:r>
      <w:r w:rsidR="00043B8D">
        <w:instrText xml:space="preserve"> \* MERGEFORMAT </w:instrText>
      </w:r>
      <w:r w:rsidR="00955790" w:rsidRPr="00043B8D">
        <w:fldChar w:fldCharType="separate"/>
      </w:r>
      <w:r w:rsidR="00B30F9B">
        <w:t>10.1</w:t>
      </w:r>
      <w:r w:rsidR="00955790" w:rsidRPr="00043B8D">
        <w:fldChar w:fldCharType="end"/>
      </w:r>
      <w:r w:rsidRPr="00043B8D">
        <w:t>.</w:t>
      </w:r>
    </w:p>
    <w:p w14:paraId="3ABB16BA" w14:textId="77777777" w:rsidR="00EE54D1" w:rsidRPr="00043B8D" w:rsidRDefault="00EE54D1" w:rsidP="00EE54D1"/>
    <w:p w14:paraId="3663A068" w14:textId="22F20373" w:rsidR="00EE54D1" w:rsidRPr="00043B8D" w:rsidRDefault="00EE54D1" w:rsidP="00EE54D1">
      <w:pPr>
        <w:pStyle w:val="Kop2"/>
      </w:pPr>
      <w:bookmarkStart w:id="568" w:name="_Toc454186711"/>
      <w:r w:rsidRPr="00043B8D">
        <w:t xml:space="preserve">Aanpassing van de </w:t>
      </w:r>
      <w:r w:rsidR="00970FF6" w:rsidRPr="00043B8D">
        <w:t xml:space="preserve">regulatorische </w:t>
      </w:r>
      <w:r w:rsidRPr="00043B8D">
        <w:t xml:space="preserve">boekhoudkundige </w:t>
      </w:r>
      <w:r w:rsidR="00970FF6" w:rsidRPr="00043B8D">
        <w:t>voorschriften</w:t>
      </w:r>
      <w:bookmarkEnd w:id="568"/>
    </w:p>
    <w:p w14:paraId="270D9085" w14:textId="77777777" w:rsidR="00EE54D1" w:rsidRPr="00043B8D" w:rsidRDefault="00EE54D1" w:rsidP="00EE54D1"/>
    <w:p w14:paraId="4E6E16E2" w14:textId="713FC1FA" w:rsidR="00EE54D1" w:rsidRPr="00043B8D" w:rsidRDefault="00EE54D1" w:rsidP="00EE54D1">
      <w:r w:rsidRPr="00043B8D">
        <w:t xml:space="preserve">Voortschrijdend inzicht en evaluatie van de werkbaarheid van de </w:t>
      </w:r>
      <w:r w:rsidR="00970FF6" w:rsidRPr="00043B8D">
        <w:t xml:space="preserve">regulatorische </w:t>
      </w:r>
      <w:r w:rsidRPr="00043B8D">
        <w:t xml:space="preserve">boekhoudkundige </w:t>
      </w:r>
      <w:r w:rsidR="00970FF6" w:rsidRPr="00043B8D">
        <w:t xml:space="preserve">voorschriften </w:t>
      </w:r>
      <w:r w:rsidRPr="00043B8D">
        <w:t xml:space="preserve">kunnen aanleiding geven tot wijzigingen </w:t>
      </w:r>
      <w:r w:rsidR="00970FF6" w:rsidRPr="00043B8D">
        <w:t>in deze voorschriften</w:t>
      </w:r>
      <w:r w:rsidRPr="00043B8D">
        <w:t>. Verder kunnen ook wetswijzigingen en/of aanpassingen in de tariefmethodologie aanleiding geven tot wijzigingen.</w:t>
      </w:r>
    </w:p>
    <w:p w14:paraId="7070AA66" w14:textId="77777777" w:rsidR="00EE54D1" w:rsidRPr="00043B8D" w:rsidRDefault="00EE54D1" w:rsidP="00EE54D1"/>
    <w:p w14:paraId="2D460424" w14:textId="3601911A" w:rsidR="00EE54D1" w:rsidRPr="00043B8D" w:rsidRDefault="00EE54D1" w:rsidP="00EE54D1">
      <w:r w:rsidRPr="00043B8D">
        <w:t xml:space="preserve">Significante wijzigingen in de </w:t>
      </w:r>
      <w:r w:rsidR="00970FF6" w:rsidRPr="00043B8D">
        <w:t xml:space="preserve">regulatorische </w:t>
      </w:r>
      <w:r w:rsidRPr="00043B8D">
        <w:t xml:space="preserve">boekhoudkundige </w:t>
      </w:r>
      <w:r w:rsidR="00970FF6" w:rsidRPr="00043B8D">
        <w:t xml:space="preserve">voorschriften </w:t>
      </w:r>
      <w:r w:rsidRPr="00043B8D">
        <w:t>zullen wel slechts gemaakt worden na overleg met de distributienetbeheerders.</w:t>
      </w:r>
    </w:p>
    <w:p w14:paraId="7219A0EE" w14:textId="77777777" w:rsidR="008F0634" w:rsidRPr="00043B8D" w:rsidRDefault="008F0634" w:rsidP="00EE54D1"/>
    <w:p w14:paraId="5C3FD214" w14:textId="77777777" w:rsidR="00787FAE" w:rsidRPr="00043B8D" w:rsidRDefault="00C3778B" w:rsidP="002549C5">
      <w:pPr>
        <w:pStyle w:val="Kop2"/>
      </w:pPr>
      <w:bookmarkStart w:id="569" w:name="_Toc454186712"/>
      <w:r w:rsidRPr="00043B8D">
        <w:t>Algemene bepalingen</w:t>
      </w:r>
      <w:bookmarkEnd w:id="569"/>
    </w:p>
    <w:p w14:paraId="176B40C7" w14:textId="77777777" w:rsidR="00787FAE" w:rsidRPr="00043B8D" w:rsidRDefault="00787FAE" w:rsidP="00C91A04"/>
    <w:p w14:paraId="08A0E145" w14:textId="6EAE3667" w:rsidR="00C3778B" w:rsidRPr="00043B8D" w:rsidRDefault="00C3778B" w:rsidP="00C91A04">
      <w:r w:rsidRPr="00043B8D">
        <w:t>Deze regulato</w:t>
      </w:r>
      <w:r w:rsidR="00546E86" w:rsidRPr="00043B8D">
        <w:t>ire</w:t>
      </w:r>
      <w:r w:rsidRPr="00043B8D">
        <w:t xml:space="preserve"> </w:t>
      </w:r>
      <w:r w:rsidR="00970FF6" w:rsidRPr="00043B8D">
        <w:t xml:space="preserve">voorschriften </w:t>
      </w:r>
      <w:r w:rsidRPr="00043B8D">
        <w:t xml:space="preserve">m.b.t. de boekhouding zijn van toepassing voor de Vlaamse elektriciteits- en aardgasdistributienetbeheerders in het kader van hun rapporteringsplicht aan de VREG ter controle en vaststelling van </w:t>
      </w:r>
      <w:r w:rsidR="00955790" w:rsidRPr="00043B8D">
        <w:t>hun toegelaten inkomen en de hieruit voortvloeiende distributienettarieven</w:t>
      </w:r>
      <w:r w:rsidRPr="00043B8D">
        <w:t>. De distributienetbeheerder voert zijn boekhouding uiteraard in overeenstemming met het in België van toepassing zijnde boekhoudkundig referentiestelsel voor de jaarrekeningen van de vennootschappen.</w:t>
      </w:r>
    </w:p>
    <w:p w14:paraId="1EEED8C7" w14:textId="77777777" w:rsidR="00C3778B" w:rsidRPr="00043B8D" w:rsidRDefault="00C3778B" w:rsidP="00C91A04"/>
    <w:p w14:paraId="4BFF136C" w14:textId="2C69F220" w:rsidR="00C3778B" w:rsidRPr="00043B8D" w:rsidRDefault="00C3778B" w:rsidP="00C91A04">
      <w:r w:rsidRPr="00043B8D">
        <w:t>De distributienetbeheerder voert in voorkomend geval een afzonderlijke boekhouding voor zijn distributienetactiviteiten en voor zijn andere activiteiten, zoals hij zou doen indien deze activiteiten door verschillende bedrijven werden uitgevoerd. Deze interne boekhouding bevat per activiteit een balans en een resultatenrekening, die aansluit met de grootboekrekeningen.</w:t>
      </w:r>
      <w:r w:rsidR="00546E86" w:rsidRPr="00043B8D">
        <w:t xml:space="preserve"> Hierbij moet er een duidelijke afbakening zijn tussen de gegevens in de gereguleerde activiteit ‘elektriciteit’, de gegevens in de gereguleerde activiteit ‘gas’ en de gegevens in de niet-gereguleerde activiteiten. Voorts houdt dit ook in dat er geen activering kan plaatsvinden van </w:t>
      </w:r>
      <w:r w:rsidR="0092151D" w:rsidRPr="00043B8D">
        <w:t>soortgelijke uitgaven</w:t>
      </w:r>
      <w:r w:rsidR="00546E86" w:rsidRPr="00043B8D">
        <w:t xml:space="preserve"> die in eerdere jaren door de distributienetbeheerder als kosten werden opgenomen in het rapporteringsmodel.</w:t>
      </w:r>
    </w:p>
    <w:p w14:paraId="1398FADE" w14:textId="77777777" w:rsidR="00732A8F" w:rsidRPr="00043B8D" w:rsidRDefault="00732A8F" w:rsidP="00C91A04"/>
    <w:p w14:paraId="6EDCC7F3" w14:textId="77777777" w:rsidR="00732A8F" w:rsidRPr="00043B8D" w:rsidRDefault="00732A8F" w:rsidP="00C91A04">
      <w:r w:rsidRPr="00043B8D">
        <w:t>Deze bepalingen gelden eveneens voor de werkmaatschappijen waarvan de distributienetbeheerders onderdeel uitmaken. De werkmaatschappijen maken daartoe in hun boekhouding een bijkomende onderverdeling van de boekhoudkundige registraties per distributienetbeheerder per activiteit.</w:t>
      </w:r>
    </w:p>
    <w:p w14:paraId="26EFA30D" w14:textId="77777777" w:rsidR="00732A8F" w:rsidRPr="00043B8D" w:rsidRDefault="00732A8F" w:rsidP="00C91A04"/>
    <w:p w14:paraId="524EE13E" w14:textId="77777777" w:rsidR="00732A8F" w:rsidRPr="00043B8D" w:rsidRDefault="00732A8F" w:rsidP="00732A8F">
      <w:r w:rsidRPr="00043B8D">
        <w:t>De boekhouding van de distributienetbeheerder dient een oprecht en getrouw beeld van zijn financiële situatie te geven. De distributienetbeheerder volgt daartoe alle noodzakelijke principes in zijn boekhouding voor de gereguleerde activiteiten zoals o.a.:</w:t>
      </w:r>
    </w:p>
    <w:p w14:paraId="3723F837" w14:textId="57D32B1D" w:rsidR="00732A8F" w:rsidRPr="00043B8D" w:rsidRDefault="00732A8F" w:rsidP="005251E2">
      <w:pPr>
        <w:numPr>
          <w:ilvl w:val="0"/>
          <w:numId w:val="25"/>
        </w:numPr>
      </w:pPr>
      <w:r w:rsidRPr="00043B8D">
        <w:t>Het princ</w:t>
      </w:r>
      <w:r w:rsidR="00955790" w:rsidRPr="00043B8D">
        <w:t>ipe van de bedrijfscontinuïteit:</w:t>
      </w:r>
      <w:r w:rsidRPr="00043B8D">
        <w:t xml:space="preserve"> Waarderingen worden opgesteld in de veronderstelling dat het bedrijf zijn verplichtingen zal nakomen</w:t>
      </w:r>
      <w:r w:rsidR="008A6194" w:rsidRPr="00043B8D">
        <w:rPr>
          <w:rStyle w:val="Voetnootmarkering"/>
        </w:rPr>
        <w:footnoteReference w:id="85"/>
      </w:r>
      <w:r w:rsidRPr="00043B8D">
        <w:t>.</w:t>
      </w:r>
    </w:p>
    <w:p w14:paraId="79F63702" w14:textId="393F6A15" w:rsidR="00732A8F" w:rsidRPr="00043B8D" w:rsidRDefault="00732A8F" w:rsidP="005251E2">
      <w:pPr>
        <w:numPr>
          <w:ilvl w:val="0"/>
          <w:numId w:val="25"/>
        </w:numPr>
      </w:pPr>
      <w:r w:rsidRPr="00043B8D">
        <w:t>De distributienetbeheerder hanteert gelijkblijvende methodes van registratie en waardering</w:t>
      </w:r>
      <w:r w:rsidR="008A6194" w:rsidRPr="00043B8D">
        <w:rPr>
          <w:rStyle w:val="Voetnootmarkering"/>
        </w:rPr>
        <w:footnoteReference w:id="86"/>
      </w:r>
      <w:r w:rsidRPr="00043B8D">
        <w:t>. Om bedrijfseconomische redenen, met akkoord van de commissaris en expliciete vermelding aan de VREG, kan van het principe van bestendigheid afgeweken worden.</w:t>
      </w:r>
    </w:p>
    <w:p w14:paraId="75A9508B" w14:textId="46D90763" w:rsidR="00732A8F" w:rsidRPr="00043B8D" w:rsidRDefault="00732A8F" w:rsidP="005251E2">
      <w:pPr>
        <w:numPr>
          <w:ilvl w:val="0"/>
          <w:numId w:val="25"/>
        </w:numPr>
      </w:pPr>
      <w:r w:rsidRPr="00043B8D">
        <w:t>Voorzichtigheidsprincipe: Bij de waardering van een bepaald actief of goed, dient de distributienetbeheerder, indien er meerdere bronnen voor waardebepaling beschikbaar zijn, eerder de meer pessimistische benadering te volgen</w:t>
      </w:r>
      <w:r w:rsidR="006B5363" w:rsidRPr="00043B8D">
        <w:rPr>
          <w:rStyle w:val="Voetnootmarkering"/>
        </w:rPr>
        <w:footnoteReference w:id="87"/>
      </w:r>
      <w:r w:rsidRPr="00043B8D">
        <w:t>.</w:t>
      </w:r>
    </w:p>
    <w:p w14:paraId="7B83D868" w14:textId="0064D697" w:rsidR="00732A8F" w:rsidRPr="00043B8D" w:rsidRDefault="00732A8F" w:rsidP="005251E2">
      <w:pPr>
        <w:numPr>
          <w:ilvl w:val="0"/>
          <w:numId w:val="25"/>
        </w:numPr>
      </w:pPr>
      <w:r w:rsidRPr="00043B8D">
        <w:t>Overeenstemmingsprincipe: De kosten en opbrengsten worden opgenomen in de rapportering voor een bepaalde periode voor zover de transactie die aan de basis ligt op diezelfde periode een effect heeft gehad (m.a.w. geen kasboekhouding)</w:t>
      </w:r>
      <w:r w:rsidR="006B5363" w:rsidRPr="00043B8D">
        <w:rPr>
          <w:rStyle w:val="Voetnootmarkering"/>
        </w:rPr>
        <w:footnoteReference w:id="88"/>
      </w:r>
      <w:r w:rsidRPr="00043B8D">
        <w:t>.</w:t>
      </w:r>
    </w:p>
    <w:p w14:paraId="0C120DFD" w14:textId="0D3FC1E1" w:rsidR="00732A8F" w:rsidRPr="00043B8D" w:rsidRDefault="00732A8F" w:rsidP="005251E2">
      <w:pPr>
        <w:numPr>
          <w:ilvl w:val="0"/>
          <w:numId w:val="25"/>
        </w:numPr>
      </w:pPr>
      <w:r w:rsidRPr="00043B8D">
        <w:t>Realisatiebeginsel: Transacties worden geboekt van zodra ze zich voordoen en de geldelijke weerslag ervan zeker is, ook al is het geld nog niet ontvangen of betaald</w:t>
      </w:r>
      <w:r w:rsidR="006B5363" w:rsidRPr="00043B8D">
        <w:rPr>
          <w:rStyle w:val="Voetnootmarkering"/>
        </w:rPr>
        <w:footnoteReference w:id="89"/>
      </w:r>
      <w:r w:rsidRPr="00043B8D">
        <w:t xml:space="preserve">. </w:t>
      </w:r>
    </w:p>
    <w:p w14:paraId="2BAF4E4C" w14:textId="616A55AD" w:rsidR="00732A8F" w:rsidRPr="00043B8D" w:rsidRDefault="00732A8F" w:rsidP="005251E2">
      <w:pPr>
        <w:numPr>
          <w:ilvl w:val="0"/>
          <w:numId w:val="25"/>
        </w:numPr>
      </w:pPr>
      <w:r w:rsidRPr="00043B8D">
        <w:t>Niet-compensatie: Tegengestelde transacties met dezelfde partij worden niet gecompenseerd maar worden elk als afzonderlijke verrichting geboekt</w:t>
      </w:r>
      <w:r w:rsidR="008A6194" w:rsidRPr="00043B8D">
        <w:rPr>
          <w:rStyle w:val="Voetnootmarkering"/>
        </w:rPr>
        <w:footnoteReference w:id="90"/>
      </w:r>
      <w:r w:rsidRPr="00043B8D">
        <w:t>.</w:t>
      </w:r>
    </w:p>
    <w:p w14:paraId="7F5B739A" w14:textId="7FADFC28" w:rsidR="00732A8F" w:rsidRPr="00043B8D" w:rsidRDefault="00732A8F" w:rsidP="005251E2">
      <w:pPr>
        <w:pStyle w:val="Lijstalinea"/>
        <w:numPr>
          <w:ilvl w:val="0"/>
          <w:numId w:val="25"/>
        </w:numPr>
      </w:pPr>
      <w:r w:rsidRPr="00043B8D">
        <w:t>Objectiviteit: Er wordt gebruik gemaakt van objectieve</w:t>
      </w:r>
      <w:r w:rsidR="001C1B27" w:rsidRPr="00043B8D">
        <w:t xml:space="preserve"> en</w:t>
      </w:r>
      <w:r w:rsidRPr="00043B8D">
        <w:t xml:space="preserve"> neutrale waarderingsmethoden.</w:t>
      </w:r>
      <w:r w:rsidR="00217B19" w:rsidRPr="00043B8D">
        <w:t xml:space="preserve"> We verwijzen hierbij naar de concepten/vereisten van het Koninklijk Besluit tot uitvoering van het wetboek van vennootschappen inzake waarderingsregels</w:t>
      </w:r>
      <w:r w:rsidR="00183360" w:rsidRPr="00043B8D">
        <w:t xml:space="preserve"> (K.B. W.Venn.)</w:t>
      </w:r>
      <w:r w:rsidR="00217B19" w:rsidRPr="00043B8D">
        <w:rPr>
          <w:rStyle w:val="Voetnootmarkering"/>
        </w:rPr>
        <w:footnoteReference w:id="91"/>
      </w:r>
      <w:r w:rsidR="00217B19" w:rsidRPr="00043B8D">
        <w:t>.</w:t>
      </w:r>
    </w:p>
    <w:p w14:paraId="726ECB69" w14:textId="77777777" w:rsidR="00732A8F" w:rsidRPr="00043B8D" w:rsidRDefault="00732A8F" w:rsidP="00732A8F"/>
    <w:p w14:paraId="1F7E6DB6" w14:textId="359E4848" w:rsidR="00732A8F" w:rsidRPr="00043B8D" w:rsidRDefault="00313F9E" w:rsidP="00830AC6">
      <w:pPr>
        <w:pStyle w:val="Kop2"/>
      </w:pPr>
      <w:bookmarkStart w:id="570" w:name="_Toc454186713"/>
      <w:r w:rsidRPr="00043B8D">
        <w:t>Nominale waarden</w:t>
      </w:r>
      <w:bookmarkEnd w:id="570"/>
    </w:p>
    <w:p w14:paraId="5043AE9E" w14:textId="77777777" w:rsidR="00830AC6" w:rsidRPr="00043B8D" w:rsidRDefault="00830AC6" w:rsidP="00830AC6"/>
    <w:p w14:paraId="4F8EB286" w14:textId="77777777" w:rsidR="00830AC6" w:rsidRPr="00043B8D" w:rsidRDefault="00830AC6" w:rsidP="00830AC6">
      <w:r w:rsidRPr="00043B8D">
        <w:t>De waarden die door de distributienetbeheerders in de rapporteringsmodellen worden opgenomen, dienen op nominale basis te worden gewaardeerd, m.a.w. zonder correctie voor in- en deflatie. Op die manier kan de VREG het toegelaten inkomen voor elke distributienetbeheerder op uniforme wijze bepalen. Hierbij bepaalt de VREG de geactualiseerde waarde van deze nominale waarden door deze waarden te corrigeren voor in- en deflatie. Deze correcties worden dan ook uitsluitend door de VREG uitgevoerd.</w:t>
      </w:r>
    </w:p>
    <w:p w14:paraId="30639154" w14:textId="77777777" w:rsidR="00830AC6" w:rsidRPr="00043B8D" w:rsidRDefault="00830AC6" w:rsidP="00830AC6"/>
    <w:p w14:paraId="76CB0467" w14:textId="77777777" w:rsidR="00830AC6" w:rsidRPr="00043B8D" w:rsidRDefault="00830AC6" w:rsidP="00830AC6">
      <w:pPr>
        <w:pStyle w:val="Kop2"/>
      </w:pPr>
      <w:bookmarkStart w:id="571" w:name="_Toc454186714"/>
      <w:r w:rsidRPr="00043B8D">
        <w:t>Interne verrekenprijzen</w:t>
      </w:r>
      <w:bookmarkEnd w:id="571"/>
    </w:p>
    <w:p w14:paraId="6574C8CB" w14:textId="77777777" w:rsidR="00830AC6" w:rsidRPr="00043B8D" w:rsidRDefault="00830AC6" w:rsidP="00830AC6"/>
    <w:p w14:paraId="4C480ACF" w14:textId="648F60A1" w:rsidR="00830AC6" w:rsidRPr="00043B8D" w:rsidRDefault="00830AC6" w:rsidP="00830AC6">
      <w:r w:rsidRPr="00043B8D">
        <w:t xml:space="preserve">Indien een distributienetbeheerder goederen of diensten van een </w:t>
      </w:r>
      <w:r w:rsidR="00632A57" w:rsidRPr="00043B8D">
        <w:t xml:space="preserve">werkmaatschappij </w:t>
      </w:r>
      <w:r w:rsidRPr="00043B8D">
        <w:t>verwerft, dient hun respectievelijke waarde in de rapporteringsmodellen te zijn opgenomen op basis van marktconforme prijzen, tarieven en voorwaarden. De verwerving van een goed of dienst van een groepsmaatschappij wordt</w:t>
      </w:r>
      <w:r w:rsidR="00F17C00" w:rsidRPr="00043B8D">
        <w:t xml:space="preserve"> geacht</w:t>
      </w:r>
      <w:r w:rsidRPr="00043B8D">
        <w:t xml:space="preserve"> marktconform te zijn in het geval:</w:t>
      </w:r>
    </w:p>
    <w:p w14:paraId="02D372BB" w14:textId="6CC1DFAB" w:rsidR="00830AC6" w:rsidRPr="00043B8D" w:rsidRDefault="00830AC6" w:rsidP="00916C57">
      <w:pPr>
        <w:pStyle w:val="Lijstalinea"/>
        <w:numPr>
          <w:ilvl w:val="0"/>
          <w:numId w:val="23"/>
        </w:numPr>
      </w:pPr>
      <w:r w:rsidRPr="00043B8D">
        <w:t>De distributienetbeheerder deze heeft verworven tegen dezelfde of vergelijkbare prijzen, tarieven en voorwaarden als deze die gehanteerd zijn voor andere groepsmaatschappijen</w:t>
      </w:r>
      <w:r w:rsidR="00F17C00" w:rsidRPr="00043B8D">
        <w:t xml:space="preserve"> en</w:t>
      </w:r>
    </w:p>
    <w:p w14:paraId="04E52703" w14:textId="64AEA126" w:rsidR="00830AC6" w:rsidRPr="00043B8D" w:rsidRDefault="00F7428E" w:rsidP="00916C57">
      <w:pPr>
        <w:pStyle w:val="Lijstalinea"/>
        <w:numPr>
          <w:ilvl w:val="0"/>
          <w:numId w:val="23"/>
        </w:numPr>
      </w:pPr>
      <w:r w:rsidRPr="00043B8D">
        <w:t>e</w:t>
      </w:r>
      <w:r w:rsidR="00AC2825" w:rsidRPr="00043B8D">
        <w:t>r een causaal verband kan worden teruggevonden tussen de omvang van de interne verrekeningen door de groepsmaatschappij en de mate waarin de distributienetbeheerder de respectievelijke goederen en diensten van de groepsmaatschappij heeft afgenomen</w:t>
      </w:r>
      <w:r w:rsidR="00F17C00" w:rsidRPr="00043B8D">
        <w:t xml:space="preserve"> en</w:t>
      </w:r>
    </w:p>
    <w:p w14:paraId="66163E9C" w14:textId="2497C088" w:rsidR="00112E44" w:rsidRPr="00043B8D" w:rsidRDefault="00F7428E" w:rsidP="00916C57">
      <w:pPr>
        <w:pStyle w:val="Lijstalinea"/>
        <w:numPr>
          <w:ilvl w:val="0"/>
          <w:numId w:val="23"/>
        </w:numPr>
      </w:pPr>
      <w:r w:rsidRPr="00043B8D">
        <w:t>d</w:t>
      </w:r>
      <w:r w:rsidR="00112E44" w:rsidRPr="00043B8D">
        <w:t>e prijzen en tarieven die hiervoor worden aangerekend gebaseerd zijn op de werkelijk daaraan toe te rekenen kosten, eventueel verhoogd met een marge die in het handelsverkeer gebruikelijk is voor desbetreffende goederen of diensten.</w:t>
      </w:r>
    </w:p>
    <w:p w14:paraId="7E6CD10F" w14:textId="77777777" w:rsidR="00112E44" w:rsidRPr="00043B8D" w:rsidRDefault="00112E44" w:rsidP="00112E44"/>
    <w:p w14:paraId="2F9D1AAC" w14:textId="77777777" w:rsidR="00147C94" w:rsidRPr="00043B8D" w:rsidRDefault="00147C94" w:rsidP="00147C94">
      <w:pPr>
        <w:pStyle w:val="Kop2"/>
      </w:pPr>
      <w:bookmarkStart w:id="572" w:name="_Toc454186715"/>
      <w:r w:rsidRPr="00043B8D">
        <w:t>Gereguleerde vaste activa</w:t>
      </w:r>
      <w:bookmarkEnd w:id="572"/>
    </w:p>
    <w:p w14:paraId="3914F374" w14:textId="77777777" w:rsidR="00147C94" w:rsidRPr="00043B8D" w:rsidRDefault="00147C94" w:rsidP="00147C94"/>
    <w:p w14:paraId="73CC811B" w14:textId="3E6A3BFD" w:rsidR="004D5C78" w:rsidRPr="00043B8D" w:rsidRDefault="00147C94" w:rsidP="00147C94">
      <w:r w:rsidRPr="00043B8D">
        <w:t xml:space="preserve">De distributienetbeheerder dient </w:t>
      </w:r>
      <w:r w:rsidR="00A020FD" w:rsidRPr="00043B8D">
        <w:t xml:space="preserve">de </w:t>
      </w:r>
      <w:r w:rsidRPr="00043B8D">
        <w:t>volgende afschrijvingspercentages</w:t>
      </w:r>
      <w:r w:rsidR="00A020FD" w:rsidRPr="00043B8D">
        <w:t xml:space="preserve"> zoals vermeld in</w:t>
      </w:r>
      <w:r w:rsidR="00A8491B" w:rsidRPr="00043B8D">
        <w:t xml:space="preserve"> </w:t>
      </w:r>
      <w:r w:rsidR="00A8491B" w:rsidRPr="00043B8D">
        <w:fldChar w:fldCharType="begin"/>
      </w:r>
      <w:r w:rsidR="00A8491B" w:rsidRPr="00043B8D">
        <w:instrText xml:space="preserve"> REF _Ref391899914 \h </w:instrText>
      </w:r>
      <w:r w:rsidR="00043B8D">
        <w:instrText xml:space="preserve"> \* MERGEFORMAT </w:instrText>
      </w:r>
      <w:r w:rsidR="00A8491B" w:rsidRPr="00043B8D">
        <w:fldChar w:fldCharType="separate"/>
      </w:r>
      <w:r w:rsidR="00B30F9B" w:rsidRPr="00043B8D">
        <w:t xml:space="preserve">Tabel </w:t>
      </w:r>
      <w:r w:rsidR="00B30F9B">
        <w:rPr>
          <w:noProof/>
        </w:rPr>
        <w:t>9</w:t>
      </w:r>
      <w:r w:rsidR="00A8491B" w:rsidRPr="00043B8D">
        <w:fldChar w:fldCharType="end"/>
      </w:r>
      <w:r w:rsidRPr="00043B8D">
        <w:t xml:space="preserve"> te hanteren voor de afschrijving van de historische aanschaffingswaarde van de gereguleerde vaste activa, zonder rekening</w:t>
      </w:r>
      <w:r w:rsidR="00A8491B" w:rsidRPr="00043B8D">
        <w:t xml:space="preserve"> te houden met enige restwaarde.</w:t>
      </w:r>
      <w:r w:rsidR="00CB53E9">
        <w:t xml:space="preserve"> </w:t>
      </w:r>
    </w:p>
    <w:p w14:paraId="3F5E9696" w14:textId="77777777" w:rsidR="004D5C78" w:rsidRPr="00043B8D" w:rsidRDefault="004D5C78">
      <w:pPr>
        <w:jc w:val="left"/>
      </w:pPr>
      <w:r w:rsidRPr="00043B8D">
        <w:br w:type="page"/>
      </w:r>
    </w:p>
    <w:p w14:paraId="6B6794E6" w14:textId="77777777" w:rsidR="00147C94" w:rsidRPr="00043B8D" w:rsidRDefault="00147C94" w:rsidP="00147C94"/>
    <w:p w14:paraId="0781CC18" w14:textId="77777777" w:rsidR="00147C94" w:rsidRPr="00043B8D" w:rsidRDefault="00147C94" w:rsidP="00147C94"/>
    <w:p w14:paraId="4D3860A0" w14:textId="3D19F512" w:rsidR="00A8491B" w:rsidRPr="000D284A" w:rsidRDefault="00A8491B" w:rsidP="00654C50">
      <w:pPr>
        <w:pStyle w:val="Bijschrift"/>
        <w:keepNext/>
        <w:jc w:val="left"/>
        <w:rPr>
          <w:b w:val="0"/>
          <w:i/>
        </w:rPr>
      </w:pPr>
      <w:bookmarkStart w:id="573" w:name="_Ref391899914"/>
      <w:r w:rsidRPr="000D284A">
        <w:rPr>
          <w:b w:val="0"/>
          <w:i/>
        </w:rPr>
        <w:t xml:space="preserve">Tabel </w:t>
      </w:r>
      <w:r w:rsidRPr="000D284A">
        <w:rPr>
          <w:b w:val="0"/>
          <w:i/>
        </w:rPr>
        <w:fldChar w:fldCharType="begin"/>
      </w:r>
      <w:r w:rsidRPr="000D284A">
        <w:rPr>
          <w:b w:val="0"/>
          <w:i/>
        </w:rPr>
        <w:instrText xml:space="preserve"> SEQ Tabel \* ARABIC </w:instrText>
      </w:r>
      <w:r w:rsidRPr="000D284A">
        <w:rPr>
          <w:b w:val="0"/>
          <w:i/>
        </w:rPr>
        <w:fldChar w:fldCharType="separate"/>
      </w:r>
      <w:r w:rsidR="000D284A">
        <w:rPr>
          <w:b w:val="0"/>
          <w:i/>
          <w:noProof/>
        </w:rPr>
        <w:t>9</w:t>
      </w:r>
      <w:r w:rsidRPr="000D284A">
        <w:rPr>
          <w:b w:val="0"/>
          <w:i/>
        </w:rPr>
        <w:fldChar w:fldCharType="end"/>
      </w:r>
      <w:bookmarkEnd w:id="573"/>
      <w:r w:rsidRPr="000D284A">
        <w:rPr>
          <w:b w:val="0"/>
          <w:i/>
        </w:rPr>
        <w:t xml:space="preserve"> Afschrijvingspercentages</w:t>
      </w:r>
    </w:p>
    <w:tbl>
      <w:tblPr>
        <w:tblW w:w="622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bottom w:w="28" w:type="dxa"/>
          <w:right w:w="70" w:type="dxa"/>
        </w:tblCellMar>
        <w:tblLook w:val="04A0" w:firstRow="1" w:lastRow="0" w:firstColumn="1" w:lastColumn="0" w:noHBand="0" w:noVBand="1"/>
      </w:tblPr>
      <w:tblGrid>
        <w:gridCol w:w="4500"/>
        <w:gridCol w:w="1727"/>
      </w:tblGrid>
      <w:tr w:rsidR="00A8491B" w:rsidRPr="00043B8D" w14:paraId="2A036582" w14:textId="77777777" w:rsidTr="00D30289">
        <w:trPr>
          <w:trHeight w:val="520"/>
        </w:trPr>
        <w:tc>
          <w:tcPr>
            <w:tcW w:w="6227" w:type="dxa"/>
            <w:gridSpan w:val="2"/>
            <w:shd w:val="clear" w:color="000000" w:fill="FFFFFF"/>
            <w:noWrap/>
            <w:vAlign w:val="center"/>
            <w:hideMark/>
          </w:tcPr>
          <w:p w14:paraId="744F8738" w14:textId="57885910" w:rsidR="00A8491B" w:rsidRPr="00043B8D" w:rsidRDefault="00A8491B" w:rsidP="00A8491B">
            <w:pPr>
              <w:jc w:val="center"/>
              <w:rPr>
                <w:rFonts w:cs="Tahoma"/>
                <w:b/>
                <w:bCs/>
                <w:lang w:val="nl-BE" w:eastAsia="nl-BE"/>
              </w:rPr>
            </w:pPr>
            <w:r w:rsidRPr="00043B8D">
              <w:rPr>
                <w:rFonts w:cs="Tahoma"/>
                <w:b/>
                <w:bCs/>
                <w:lang w:val="nl-BE" w:eastAsia="nl-BE"/>
              </w:rPr>
              <w:t>AFSCHRIJVINGSPERCENTAGES (%)</w:t>
            </w:r>
          </w:p>
        </w:tc>
      </w:tr>
      <w:tr w:rsidR="00A8491B" w:rsidRPr="00043B8D" w14:paraId="70105B20" w14:textId="77777777" w:rsidTr="00D30289">
        <w:trPr>
          <w:trHeight w:val="255"/>
        </w:trPr>
        <w:tc>
          <w:tcPr>
            <w:tcW w:w="4500" w:type="dxa"/>
            <w:shd w:val="clear" w:color="000000" w:fill="FFFFFF"/>
            <w:noWrap/>
            <w:vAlign w:val="bottom"/>
            <w:hideMark/>
          </w:tcPr>
          <w:p w14:paraId="24CDB014" w14:textId="77777777" w:rsidR="00A8491B" w:rsidRPr="00043B8D" w:rsidRDefault="00A8491B" w:rsidP="00A8491B">
            <w:pPr>
              <w:jc w:val="left"/>
              <w:rPr>
                <w:rFonts w:cs="Tahoma"/>
                <w:b/>
                <w:bCs/>
                <w:i/>
                <w:iCs/>
                <w:lang w:val="nl-BE" w:eastAsia="nl-BE"/>
              </w:rPr>
            </w:pPr>
          </w:p>
          <w:p w14:paraId="319F48C1" w14:textId="1AF8D65D" w:rsidR="00A8491B" w:rsidRPr="00043B8D" w:rsidRDefault="00A8491B" w:rsidP="00A8491B">
            <w:pPr>
              <w:jc w:val="left"/>
              <w:rPr>
                <w:rFonts w:cs="Tahoma"/>
                <w:b/>
                <w:bCs/>
                <w:i/>
                <w:iCs/>
                <w:lang w:val="nl-BE" w:eastAsia="nl-BE"/>
              </w:rPr>
            </w:pPr>
            <w:r w:rsidRPr="00043B8D">
              <w:rPr>
                <w:rFonts w:cs="Tahoma"/>
                <w:b/>
                <w:bCs/>
                <w:i/>
                <w:iCs/>
                <w:lang w:val="nl-BE" w:eastAsia="nl-BE"/>
              </w:rPr>
              <w:t>Immateriële vaste activa (excl</w:t>
            </w:r>
            <w:r w:rsidR="005E21A9" w:rsidRPr="00043B8D">
              <w:rPr>
                <w:rFonts w:cs="Tahoma"/>
                <w:b/>
                <w:bCs/>
                <w:i/>
                <w:iCs/>
                <w:lang w:val="nl-BE" w:eastAsia="nl-BE"/>
              </w:rPr>
              <w:t>.</w:t>
            </w:r>
            <w:r w:rsidRPr="00043B8D">
              <w:rPr>
                <w:rFonts w:cs="Tahoma"/>
                <w:b/>
                <w:bCs/>
                <w:i/>
                <w:iCs/>
                <w:lang w:val="nl-BE" w:eastAsia="nl-BE"/>
              </w:rPr>
              <w:t xml:space="preserve"> goodwill)</w:t>
            </w:r>
          </w:p>
        </w:tc>
        <w:tc>
          <w:tcPr>
            <w:tcW w:w="1727" w:type="dxa"/>
            <w:shd w:val="clear" w:color="000000" w:fill="FFFFFF"/>
            <w:noWrap/>
            <w:vAlign w:val="bottom"/>
            <w:hideMark/>
          </w:tcPr>
          <w:p w14:paraId="46B6DB85" w14:textId="77777777" w:rsidR="00A8491B" w:rsidRPr="00043B8D" w:rsidRDefault="00A8491B" w:rsidP="00A8491B">
            <w:pPr>
              <w:jc w:val="left"/>
              <w:rPr>
                <w:rFonts w:cs="Tahoma"/>
                <w:lang w:val="nl-BE" w:eastAsia="nl-BE"/>
              </w:rPr>
            </w:pPr>
            <w:r w:rsidRPr="00043B8D">
              <w:rPr>
                <w:rFonts w:cs="Tahoma"/>
                <w:lang w:val="nl-BE" w:eastAsia="nl-BE"/>
              </w:rPr>
              <w:t> </w:t>
            </w:r>
          </w:p>
        </w:tc>
      </w:tr>
      <w:tr w:rsidR="00A8491B" w:rsidRPr="00043B8D" w14:paraId="2F5DAA00" w14:textId="77777777" w:rsidTr="00D30289">
        <w:trPr>
          <w:trHeight w:val="255"/>
        </w:trPr>
        <w:tc>
          <w:tcPr>
            <w:tcW w:w="4500" w:type="dxa"/>
            <w:shd w:val="clear" w:color="000000" w:fill="FFFFFF"/>
            <w:noWrap/>
            <w:vAlign w:val="bottom"/>
            <w:hideMark/>
          </w:tcPr>
          <w:p w14:paraId="3E84C459" w14:textId="77777777" w:rsidR="00A8491B" w:rsidRPr="00043B8D" w:rsidRDefault="00A8491B" w:rsidP="00A8491B">
            <w:pPr>
              <w:jc w:val="left"/>
              <w:rPr>
                <w:rFonts w:cs="Tahoma"/>
                <w:lang w:val="nl-BE" w:eastAsia="nl-BE"/>
              </w:rPr>
            </w:pPr>
            <w:r w:rsidRPr="00043B8D">
              <w:rPr>
                <w:rFonts w:cs="Tahoma"/>
                <w:lang w:val="nl-BE" w:eastAsia="nl-BE"/>
              </w:rPr>
              <w:t>Kosten onderzoek en ontwikkeling</w:t>
            </w:r>
          </w:p>
        </w:tc>
        <w:tc>
          <w:tcPr>
            <w:tcW w:w="1727" w:type="dxa"/>
            <w:shd w:val="clear" w:color="000000" w:fill="FFFFFF"/>
            <w:noWrap/>
            <w:vAlign w:val="bottom"/>
            <w:hideMark/>
          </w:tcPr>
          <w:p w14:paraId="066D6F90" w14:textId="77777777" w:rsidR="00A8491B" w:rsidRPr="00043B8D" w:rsidRDefault="00A8491B" w:rsidP="00A8491B">
            <w:pPr>
              <w:jc w:val="right"/>
              <w:rPr>
                <w:rFonts w:cs="Tahoma"/>
                <w:lang w:val="nl-BE" w:eastAsia="nl-BE"/>
              </w:rPr>
            </w:pPr>
            <w:r w:rsidRPr="00043B8D">
              <w:rPr>
                <w:rFonts w:cs="Tahoma"/>
                <w:lang w:val="nl-BE" w:eastAsia="nl-BE"/>
              </w:rPr>
              <w:t>20% (5 jaar)</w:t>
            </w:r>
          </w:p>
        </w:tc>
      </w:tr>
      <w:tr w:rsidR="00A8491B" w:rsidRPr="00043B8D" w14:paraId="0DF0AAB6" w14:textId="77777777" w:rsidTr="00D30289">
        <w:trPr>
          <w:trHeight w:val="510"/>
        </w:trPr>
        <w:tc>
          <w:tcPr>
            <w:tcW w:w="4500" w:type="dxa"/>
            <w:shd w:val="clear" w:color="000000" w:fill="FFFFFF"/>
            <w:vAlign w:val="bottom"/>
            <w:hideMark/>
          </w:tcPr>
          <w:p w14:paraId="374F8ECD" w14:textId="77777777" w:rsidR="00A8491B" w:rsidRPr="00043B8D" w:rsidRDefault="00A8491B" w:rsidP="00A8491B">
            <w:pPr>
              <w:jc w:val="left"/>
              <w:rPr>
                <w:rFonts w:cs="Tahoma"/>
                <w:lang w:val="nl-BE" w:eastAsia="nl-BE"/>
              </w:rPr>
            </w:pPr>
            <w:r w:rsidRPr="00043B8D">
              <w:rPr>
                <w:rFonts w:cs="Tahoma"/>
                <w:lang w:val="nl-BE" w:eastAsia="nl-BE"/>
              </w:rPr>
              <w:t>Concessies, octrooien, licenties, knowhow, merken en soortgelijke rechten</w:t>
            </w:r>
          </w:p>
        </w:tc>
        <w:tc>
          <w:tcPr>
            <w:tcW w:w="1727" w:type="dxa"/>
            <w:shd w:val="clear" w:color="000000" w:fill="FFFFFF"/>
            <w:noWrap/>
            <w:hideMark/>
          </w:tcPr>
          <w:p w14:paraId="02262F49" w14:textId="77777777" w:rsidR="00A8491B" w:rsidRPr="00043B8D" w:rsidRDefault="00A8491B" w:rsidP="00A8491B">
            <w:pPr>
              <w:jc w:val="right"/>
              <w:rPr>
                <w:rFonts w:cs="Tahoma"/>
                <w:lang w:val="nl-BE" w:eastAsia="nl-BE"/>
              </w:rPr>
            </w:pPr>
            <w:r w:rsidRPr="00043B8D">
              <w:rPr>
                <w:rFonts w:cs="Tahoma"/>
                <w:lang w:val="nl-BE" w:eastAsia="nl-BE"/>
              </w:rPr>
              <w:t>20% (5 jaar)</w:t>
            </w:r>
          </w:p>
        </w:tc>
      </w:tr>
      <w:tr w:rsidR="00A8491B" w:rsidRPr="00043B8D" w14:paraId="59941D9F" w14:textId="77777777" w:rsidTr="00D30289">
        <w:trPr>
          <w:trHeight w:val="255"/>
        </w:trPr>
        <w:tc>
          <w:tcPr>
            <w:tcW w:w="4500" w:type="dxa"/>
            <w:shd w:val="clear" w:color="000000" w:fill="FFFFFF"/>
            <w:vAlign w:val="bottom"/>
            <w:hideMark/>
          </w:tcPr>
          <w:p w14:paraId="64D1BB85" w14:textId="77777777" w:rsidR="00A8491B" w:rsidRPr="00043B8D" w:rsidRDefault="00A8491B" w:rsidP="00A8491B">
            <w:pPr>
              <w:jc w:val="left"/>
              <w:rPr>
                <w:rFonts w:cs="Tahoma"/>
                <w:lang w:val="nl-BE" w:eastAsia="nl-BE"/>
              </w:rPr>
            </w:pPr>
            <w:r w:rsidRPr="00043B8D">
              <w:rPr>
                <w:rFonts w:cs="Tahoma"/>
                <w:lang w:val="nl-BE" w:eastAsia="nl-BE"/>
              </w:rPr>
              <w:t>Vooruitbetalingen</w:t>
            </w:r>
          </w:p>
        </w:tc>
        <w:tc>
          <w:tcPr>
            <w:tcW w:w="1727" w:type="dxa"/>
            <w:shd w:val="clear" w:color="000000" w:fill="FFFFFF"/>
            <w:noWrap/>
            <w:hideMark/>
          </w:tcPr>
          <w:p w14:paraId="5D13BF05" w14:textId="77777777" w:rsidR="00A8491B" w:rsidRPr="00043B8D" w:rsidRDefault="00A8491B" w:rsidP="00A8491B">
            <w:pPr>
              <w:jc w:val="right"/>
              <w:rPr>
                <w:rFonts w:cs="Tahoma"/>
                <w:lang w:val="nl-BE" w:eastAsia="nl-BE"/>
              </w:rPr>
            </w:pPr>
            <w:r w:rsidRPr="00043B8D">
              <w:rPr>
                <w:rFonts w:cs="Tahoma"/>
                <w:lang w:val="nl-BE" w:eastAsia="nl-BE"/>
              </w:rPr>
              <w:t>0%</w:t>
            </w:r>
          </w:p>
        </w:tc>
      </w:tr>
      <w:tr w:rsidR="00A8491B" w:rsidRPr="00043B8D" w14:paraId="7D164418" w14:textId="77777777" w:rsidTr="00D30289">
        <w:trPr>
          <w:trHeight w:val="255"/>
        </w:trPr>
        <w:tc>
          <w:tcPr>
            <w:tcW w:w="4500" w:type="dxa"/>
            <w:shd w:val="clear" w:color="000000" w:fill="FFFFFF"/>
            <w:noWrap/>
            <w:vAlign w:val="bottom"/>
            <w:hideMark/>
          </w:tcPr>
          <w:p w14:paraId="224151CD" w14:textId="77777777" w:rsidR="00A8491B" w:rsidRPr="00043B8D" w:rsidRDefault="00A8491B" w:rsidP="00A8491B">
            <w:pPr>
              <w:jc w:val="left"/>
              <w:rPr>
                <w:rFonts w:cs="Tahoma"/>
                <w:lang w:val="nl-BE" w:eastAsia="nl-BE"/>
              </w:rPr>
            </w:pPr>
            <w:r w:rsidRPr="00043B8D">
              <w:rPr>
                <w:rFonts w:cs="Tahoma"/>
                <w:lang w:val="nl-BE" w:eastAsia="nl-BE"/>
              </w:rPr>
              <w:t> </w:t>
            </w:r>
          </w:p>
        </w:tc>
        <w:tc>
          <w:tcPr>
            <w:tcW w:w="1727" w:type="dxa"/>
            <w:shd w:val="clear" w:color="000000" w:fill="FFFFFF"/>
            <w:noWrap/>
            <w:vAlign w:val="bottom"/>
            <w:hideMark/>
          </w:tcPr>
          <w:p w14:paraId="3EEBF4AC" w14:textId="77777777" w:rsidR="00A8491B" w:rsidRPr="00043B8D" w:rsidRDefault="00A8491B" w:rsidP="00A8491B">
            <w:pPr>
              <w:jc w:val="right"/>
              <w:rPr>
                <w:rFonts w:cs="Tahoma"/>
                <w:lang w:val="nl-BE" w:eastAsia="nl-BE"/>
              </w:rPr>
            </w:pPr>
            <w:r w:rsidRPr="00043B8D">
              <w:rPr>
                <w:rFonts w:cs="Tahoma"/>
                <w:lang w:val="nl-BE" w:eastAsia="nl-BE"/>
              </w:rPr>
              <w:t> </w:t>
            </w:r>
          </w:p>
        </w:tc>
      </w:tr>
      <w:tr w:rsidR="00A8491B" w:rsidRPr="00043B8D" w14:paraId="5784587C" w14:textId="77777777" w:rsidTr="00D30289">
        <w:trPr>
          <w:trHeight w:val="255"/>
        </w:trPr>
        <w:tc>
          <w:tcPr>
            <w:tcW w:w="4500" w:type="dxa"/>
            <w:shd w:val="clear" w:color="000000" w:fill="FFFFFF"/>
            <w:noWrap/>
            <w:vAlign w:val="bottom"/>
            <w:hideMark/>
          </w:tcPr>
          <w:p w14:paraId="5A3F5636" w14:textId="45892C13" w:rsidR="00A8491B" w:rsidRPr="00043B8D" w:rsidRDefault="00A8491B" w:rsidP="00A8491B">
            <w:pPr>
              <w:jc w:val="left"/>
              <w:rPr>
                <w:rFonts w:cs="Tahoma"/>
                <w:b/>
                <w:bCs/>
                <w:i/>
                <w:iCs/>
                <w:lang w:val="nl-BE" w:eastAsia="nl-BE"/>
              </w:rPr>
            </w:pPr>
            <w:r w:rsidRPr="00043B8D">
              <w:rPr>
                <w:rFonts w:cs="Tahoma"/>
                <w:b/>
                <w:bCs/>
                <w:i/>
                <w:iCs/>
                <w:lang w:val="nl-BE" w:eastAsia="nl-BE"/>
              </w:rPr>
              <w:t>Materiële vaste activa</w:t>
            </w:r>
            <w:r w:rsidR="002F65E5" w:rsidRPr="00043B8D">
              <w:rPr>
                <w:rFonts w:cs="Tahoma"/>
                <w:b/>
                <w:bCs/>
                <w:i/>
                <w:iCs/>
                <w:lang w:val="nl-BE" w:eastAsia="nl-BE"/>
              </w:rPr>
              <w:t xml:space="preserve"> - elektriciteit</w:t>
            </w:r>
          </w:p>
        </w:tc>
        <w:tc>
          <w:tcPr>
            <w:tcW w:w="1727" w:type="dxa"/>
            <w:shd w:val="clear" w:color="000000" w:fill="FFFFFF"/>
            <w:noWrap/>
            <w:vAlign w:val="bottom"/>
            <w:hideMark/>
          </w:tcPr>
          <w:p w14:paraId="4ADB3B72" w14:textId="77777777" w:rsidR="00A8491B" w:rsidRPr="00043B8D" w:rsidRDefault="00A8491B" w:rsidP="00A8491B">
            <w:pPr>
              <w:jc w:val="right"/>
              <w:rPr>
                <w:rFonts w:cs="Tahoma"/>
                <w:lang w:val="nl-BE" w:eastAsia="nl-BE"/>
              </w:rPr>
            </w:pPr>
            <w:r w:rsidRPr="00043B8D">
              <w:rPr>
                <w:rFonts w:cs="Tahoma"/>
                <w:lang w:val="nl-BE" w:eastAsia="nl-BE"/>
              </w:rPr>
              <w:t> </w:t>
            </w:r>
          </w:p>
        </w:tc>
      </w:tr>
      <w:tr w:rsidR="00A8491B" w:rsidRPr="00043B8D" w14:paraId="3304BB42" w14:textId="77777777" w:rsidTr="00D30289">
        <w:trPr>
          <w:trHeight w:val="255"/>
        </w:trPr>
        <w:tc>
          <w:tcPr>
            <w:tcW w:w="4500" w:type="dxa"/>
            <w:shd w:val="clear" w:color="000000" w:fill="FFFFFF"/>
            <w:noWrap/>
            <w:vAlign w:val="bottom"/>
            <w:hideMark/>
          </w:tcPr>
          <w:p w14:paraId="0B435F3F" w14:textId="77777777" w:rsidR="00A8491B" w:rsidRPr="00043B8D" w:rsidRDefault="00A8491B" w:rsidP="00A8491B">
            <w:pPr>
              <w:jc w:val="left"/>
              <w:rPr>
                <w:rFonts w:cs="Tahoma"/>
                <w:lang w:val="nl-BE" w:eastAsia="nl-BE"/>
              </w:rPr>
            </w:pPr>
            <w:r w:rsidRPr="00043B8D">
              <w:rPr>
                <w:rFonts w:cs="Tahoma"/>
                <w:lang w:val="nl-BE" w:eastAsia="nl-BE"/>
              </w:rPr>
              <w:t>Terreinen</w:t>
            </w:r>
          </w:p>
        </w:tc>
        <w:tc>
          <w:tcPr>
            <w:tcW w:w="1727" w:type="dxa"/>
            <w:shd w:val="clear" w:color="000000" w:fill="FFFFFF"/>
            <w:noWrap/>
            <w:vAlign w:val="bottom"/>
            <w:hideMark/>
          </w:tcPr>
          <w:p w14:paraId="32A9B154" w14:textId="77777777" w:rsidR="00A8491B" w:rsidRPr="00043B8D" w:rsidRDefault="00A8491B" w:rsidP="00A8491B">
            <w:pPr>
              <w:jc w:val="right"/>
              <w:rPr>
                <w:rFonts w:cs="Tahoma"/>
                <w:lang w:val="nl-BE" w:eastAsia="nl-BE"/>
              </w:rPr>
            </w:pPr>
            <w:r w:rsidRPr="00043B8D">
              <w:rPr>
                <w:rFonts w:cs="Tahoma"/>
                <w:lang w:val="nl-BE" w:eastAsia="nl-BE"/>
              </w:rPr>
              <w:t>0%</w:t>
            </w:r>
          </w:p>
        </w:tc>
      </w:tr>
      <w:tr w:rsidR="00A8491B" w:rsidRPr="00043B8D" w14:paraId="02DC40B4" w14:textId="77777777" w:rsidTr="00D30289">
        <w:trPr>
          <w:trHeight w:val="255"/>
        </w:trPr>
        <w:tc>
          <w:tcPr>
            <w:tcW w:w="4500" w:type="dxa"/>
            <w:shd w:val="clear" w:color="000000" w:fill="FFFFFF"/>
            <w:noWrap/>
            <w:vAlign w:val="bottom"/>
            <w:hideMark/>
          </w:tcPr>
          <w:p w14:paraId="5790A15A" w14:textId="77777777" w:rsidR="00A8491B" w:rsidRPr="00043B8D" w:rsidRDefault="00A8491B" w:rsidP="00A8491B">
            <w:pPr>
              <w:jc w:val="left"/>
              <w:rPr>
                <w:rFonts w:cs="Tahoma"/>
                <w:lang w:val="nl-BE" w:eastAsia="nl-BE"/>
              </w:rPr>
            </w:pPr>
            <w:r w:rsidRPr="00043B8D">
              <w:rPr>
                <w:rFonts w:cs="Tahoma"/>
                <w:lang w:val="nl-BE" w:eastAsia="nl-BE"/>
              </w:rPr>
              <w:t>Industriële gebouwen</w:t>
            </w:r>
          </w:p>
        </w:tc>
        <w:tc>
          <w:tcPr>
            <w:tcW w:w="1727" w:type="dxa"/>
            <w:shd w:val="clear" w:color="000000" w:fill="FFFFFF"/>
            <w:noWrap/>
            <w:vAlign w:val="bottom"/>
            <w:hideMark/>
          </w:tcPr>
          <w:p w14:paraId="628AD362" w14:textId="77777777" w:rsidR="00A8491B" w:rsidRPr="00043B8D" w:rsidRDefault="00A8491B" w:rsidP="00A8491B">
            <w:pPr>
              <w:jc w:val="right"/>
              <w:rPr>
                <w:rFonts w:cs="Tahoma"/>
                <w:lang w:val="nl-BE" w:eastAsia="nl-BE"/>
              </w:rPr>
            </w:pPr>
            <w:r w:rsidRPr="00043B8D">
              <w:rPr>
                <w:rFonts w:cs="Tahoma"/>
                <w:lang w:val="nl-BE" w:eastAsia="nl-BE"/>
              </w:rPr>
              <w:t>3% (33 jaar)</w:t>
            </w:r>
          </w:p>
        </w:tc>
      </w:tr>
      <w:tr w:rsidR="00A8491B" w:rsidRPr="00043B8D" w14:paraId="6F2588CF" w14:textId="77777777" w:rsidTr="00D30289">
        <w:trPr>
          <w:trHeight w:val="255"/>
        </w:trPr>
        <w:tc>
          <w:tcPr>
            <w:tcW w:w="4500" w:type="dxa"/>
            <w:shd w:val="clear" w:color="000000" w:fill="FFFFFF"/>
            <w:noWrap/>
            <w:vAlign w:val="bottom"/>
            <w:hideMark/>
          </w:tcPr>
          <w:p w14:paraId="56AAF4A8" w14:textId="77777777" w:rsidR="00A8491B" w:rsidRPr="00043B8D" w:rsidRDefault="00A8491B" w:rsidP="00A8491B">
            <w:pPr>
              <w:jc w:val="left"/>
              <w:rPr>
                <w:rFonts w:cs="Tahoma"/>
                <w:lang w:val="nl-BE" w:eastAsia="nl-BE"/>
              </w:rPr>
            </w:pPr>
            <w:r w:rsidRPr="00043B8D">
              <w:rPr>
                <w:rFonts w:cs="Tahoma"/>
                <w:lang w:val="nl-BE" w:eastAsia="nl-BE"/>
              </w:rPr>
              <w:t>Administratieve gebouwen</w:t>
            </w:r>
          </w:p>
        </w:tc>
        <w:tc>
          <w:tcPr>
            <w:tcW w:w="1727" w:type="dxa"/>
            <w:shd w:val="clear" w:color="000000" w:fill="FFFFFF"/>
            <w:noWrap/>
            <w:vAlign w:val="bottom"/>
            <w:hideMark/>
          </w:tcPr>
          <w:p w14:paraId="7778C4DF" w14:textId="77777777" w:rsidR="00A8491B" w:rsidRPr="00043B8D" w:rsidRDefault="00A8491B" w:rsidP="00A8491B">
            <w:pPr>
              <w:jc w:val="right"/>
              <w:rPr>
                <w:rFonts w:cs="Tahoma"/>
                <w:lang w:val="nl-BE" w:eastAsia="nl-BE"/>
              </w:rPr>
            </w:pPr>
            <w:r w:rsidRPr="00043B8D">
              <w:rPr>
                <w:rFonts w:cs="Tahoma"/>
                <w:lang w:val="nl-BE" w:eastAsia="nl-BE"/>
              </w:rPr>
              <w:t>2% (50 jaar)</w:t>
            </w:r>
          </w:p>
        </w:tc>
      </w:tr>
      <w:tr w:rsidR="00A8491B" w:rsidRPr="00043B8D" w14:paraId="5A8282EB" w14:textId="77777777" w:rsidTr="00D30289">
        <w:trPr>
          <w:trHeight w:val="255"/>
        </w:trPr>
        <w:tc>
          <w:tcPr>
            <w:tcW w:w="4500" w:type="dxa"/>
            <w:shd w:val="clear" w:color="000000" w:fill="FFFFFF"/>
            <w:noWrap/>
            <w:vAlign w:val="bottom"/>
            <w:hideMark/>
          </w:tcPr>
          <w:p w14:paraId="0DFE5953" w14:textId="77777777" w:rsidR="00A8491B" w:rsidRPr="00043B8D" w:rsidRDefault="00A8491B" w:rsidP="00A8491B">
            <w:pPr>
              <w:jc w:val="left"/>
              <w:rPr>
                <w:rFonts w:cs="Tahoma"/>
                <w:lang w:val="nl-BE" w:eastAsia="nl-BE"/>
              </w:rPr>
            </w:pPr>
            <w:r w:rsidRPr="00043B8D">
              <w:rPr>
                <w:rFonts w:cs="Tahoma"/>
                <w:lang w:val="nl-BE" w:eastAsia="nl-BE"/>
              </w:rPr>
              <w:t>Kabels</w:t>
            </w:r>
          </w:p>
        </w:tc>
        <w:tc>
          <w:tcPr>
            <w:tcW w:w="1727" w:type="dxa"/>
            <w:shd w:val="clear" w:color="000000" w:fill="FFFFFF"/>
            <w:noWrap/>
            <w:vAlign w:val="bottom"/>
            <w:hideMark/>
          </w:tcPr>
          <w:p w14:paraId="71B57CD2" w14:textId="77777777" w:rsidR="00A8491B" w:rsidRPr="00043B8D" w:rsidRDefault="00A8491B" w:rsidP="00A8491B">
            <w:pPr>
              <w:jc w:val="right"/>
              <w:rPr>
                <w:rFonts w:cs="Tahoma"/>
                <w:lang w:val="nl-BE" w:eastAsia="nl-BE"/>
              </w:rPr>
            </w:pPr>
            <w:r w:rsidRPr="00043B8D">
              <w:rPr>
                <w:rFonts w:cs="Tahoma"/>
                <w:lang w:val="nl-BE" w:eastAsia="nl-BE"/>
              </w:rPr>
              <w:t>2% (50 jaar)</w:t>
            </w:r>
          </w:p>
        </w:tc>
      </w:tr>
      <w:tr w:rsidR="00A8491B" w:rsidRPr="00043B8D" w14:paraId="45608196" w14:textId="77777777" w:rsidTr="00D30289">
        <w:trPr>
          <w:trHeight w:val="255"/>
        </w:trPr>
        <w:tc>
          <w:tcPr>
            <w:tcW w:w="4500" w:type="dxa"/>
            <w:shd w:val="clear" w:color="000000" w:fill="FFFFFF"/>
            <w:noWrap/>
            <w:vAlign w:val="bottom"/>
            <w:hideMark/>
          </w:tcPr>
          <w:p w14:paraId="5BE54A4F" w14:textId="77777777" w:rsidR="00A8491B" w:rsidRPr="00043B8D" w:rsidRDefault="00A8491B" w:rsidP="00A8491B">
            <w:pPr>
              <w:jc w:val="left"/>
              <w:rPr>
                <w:rFonts w:cs="Tahoma"/>
                <w:lang w:val="nl-BE" w:eastAsia="nl-BE"/>
              </w:rPr>
            </w:pPr>
            <w:r w:rsidRPr="00043B8D">
              <w:rPr>
                <w:rFonts w:cs="Tahoma"/>
                <w:lang w:val="nl-BE" w:eastAsia="nl-BE"/>
              </w:rPr>
              <w:t>Lijnen</w:t>
            </w:r>
          </w:p>
        </w:tc>
        <w:tc>
          <w:tcPr>
            <w:tcW w:w="1727" w:type="dxa"/>
            <w:shd w:val="clear" w:color="000000" w:fill="FFFFFF"/>
            <w:noWrap/>
            <w:vAlign w:val="bottom"/>
            <w:hideMark/>
          </w:tcPr>
          <w:p w14:paraId="0660A9D8" w14:textId="77777777" w:rsidR="00A8491B" w:rsidRPr="00043B8D" w:rsidRDefault="00A8491B" w:rsidP="00A8491B">
            <w:pPr>
              <w:jc w:val="right"/>
              <w:rPr>
                <w:rFonts w:cs="Tahoma"/>
                <w:lang w:val="nl-BE" w:eastAsia="nl-BE"/>
              </w:rPr>
            </w:pPr>
            <w:r w:rsidRPr="00043B8D">
              <w:rPr>
                <w:rFonts w:cs="Tahoma"/>
                <w:lang w:val="nl-BE" w:eastAsia="nl-BE"/>
              </w:rPr>
              <w:t>2% (50 jaar)</w:t>
            </w:r>
          </w:p>
        </w:tc>
      </w:tr>
      <w:tr w:rsidR="00A8491B" w:rsidRPr="00043B8D" w14:paraId="43C71B1F" w14:textId="77777777" w:rsidTr="00D30289">
        <w:trPr>
          <w:trHeight w:val="255"/>
        </w:trPr>
        <w:tc>
          <w:tcPr>
            <w:tcW w:w="4500" w:type="dxa"/>
            <w:shd w:val="clear" w:color="000000" w:fill="FFFFFF"/>
            <w:noWrap/>
            <w:vAlign w:val="bottom"/>
            <w:hideMark/>
          </w:tcPr>
          <w:p w14:paraId="22582139" w14:textId="77777777" w:rsidR="00A8491B" w:rsidRPr="00043B8D" w:rsidRDefault="00A8491B" w:rsidP="00A8491B">
            <w:pPr>
              <w:jc w:val="left"/>
              <w:rPr>
                <w:rFonts w:cs="Tahoma"/>
                <w:lang w:val="nl-BE" w:eastAsia="nl-BE"/>
              </w:rPr>
            </w:pPr>
            <w:r w:rsidRPr="00043B8D">
              <w:rPr>
                <w:rFonts w:cs="Tahoma"/>
                <w:lang w:val="nl-BE" w:eastAsia="nl-BE"/>
              </w:rPr>
              <w:t>Posten en cabines</w:t>
            </w:r>
          </w:p>
        </w:tc>
        <w:tc>
          <w:tcPr>
            <w:tcW w:w="1727" w:type="dxa"/>
            <w:shd w:val="clear" w:color="000000" w:fill="FFFFFF"/>
            <w:noWrap/>
            <w:vAlign w:val="bottom"/>
            <w:hideMark/>
          </w:tcPr>
          <w:p w14:paraId="29FF575C" w14:textId="77777777" w:rsidR="00A8491B" w:rsidRPr="00043B8D" w:rsidRDefault="00A8491B" w:rsidP="00A8491B">
            <w:pPr>
              <w:jc w:val="right"/>
              <w:rPr>
                <w:rFonts w:cs="Tahoma"/>
                <w:lang w:val="nl-BE" w:eastAsia="nl-BE"/>
              </w:rPr>
            </w:pPr>
            <w:r w:rsidRPr="00043B8D">
              <w:rPr>
                <w:rFonts w:cs="Tahoma"/>
                <w:lang w:val="nl-BE" w:eastAsia="nl-BE"/>
              </w:rPr>
              <w:t>3% (33 jaar)</w:t>
            </w:r>
          </w:p>
        </w:tc>
      </w:tr>
      <w:tr w:rsidR="00A8491B" w:rsidRPr="00043B8D" w14:paraId="3C1FDBD0" w14:textId="77777777" w:rsidTr="00E35330">
        <w:trPr>
          <w:trHeight w:val="255"/>
        </w:trPr>
        <w:tc>
          <w:tcPr>
            <w:tcW w:w="4500" w:type="dxa"/>
            <w:shd w:val="clear" w:color="000000" w:fill="FFFFFF"/>
            <w:noWrap/>
            <w:vAlign w:val="bottom"/>
          </w:tcPr>
          <w:p w14:paraId="48683EAA" w14:textId="08A84E31" w:rsidR="00A8491B" w:rsidRPr="00043B8D" w:rsidRDefault="00E35330" w:rsidP="00A8491B">
            <w:pPr>
              <w:jc w:val="left"/>
              <w:rPr>
                <w:rFonts w:cs="Tahoma"/>
                <w:lang w:val="nl-BE" w:eastAsia="nl-BE"/>
              </w:rPr>
            </w:pPr>
            <w:r w:rsidRPr="00043B8D">
              <w:rPr>
                <w:rFonts w:cs="Tahoma"/>
                <w:lang w:val="nl-BE" w:eastAsia="nl-BE"/>
              </w:rPr>
              <w:t>Hergebruikte uitrusting cabines</w:t>
            </w:r>
          </w:p>
        </w:tc>
        <w:tc>
          <w:tcPr>
            <w:tcW w:w="1727" w:type="dxa"/>
            <w:shd w:val="clear" w:color="000000" w:fill="FFFFFF"/>
            <w:noWrap/>
            <w:vAlign w:val="bottom"/>
          </w:tcPr>
          <w:p w14:paraId="6238E7C2" w14:textId="3BCC64A6" w:rsidR="00A8491B" w:rsidRPr="00043B8D" w:rsidRDefault="00E35330" w:rsidP="00A8491B">
            <w:pPr>
              <w:jc w:val="right"/>
              <w:rPr>
                <w:rFonts w:cs="Tahoma"/>
                <w:lang w:val="nl-BE" w:eastAsia="nl-BE"/>
              </w:rPr>
            </w:pPr>
            <w:r w:rsidRPr="00043B8D">
              <w:rPr>
                <w:rFonts w:cs="Tahoma"/>
                <w:lang w:val="nl-BE" w:eastAsia="nl-BE"/>
              </w:rPr>
              <w:t>6,67% (15 jaar)</w:t>
            </w:r>
          </w:p>
        </w:tc>
      </w:tr>
      <w:tr w:rsidR="00E35330" w:rsidRPr="00043B8D" w14:paraId="47F9B7B2" w14:textId="77777777" w:rsidTr="00D30289">
        <w:trPr>
          <w:trHeight w:val="255"/>
        </w:trPr>
        <w:tc>
          <w:tcPr>
            <w:tcW w:w="4500" w:type="dxa"/>
            <w:shd w:val="clear" w:color="000000" w:fill="FFFFFF"/>
            <w:noWrap/>
            <w:vAlign w:val="bottom"/>
          </w:tcPr>
          <w:p w14:paraId="0CC1D9DB" w14:textId="04E7D084" w:rsidR="00E35330" w:rsidRPr="00043B8D" w:rsidRDefault="00E35330" w:rsidP="00A8491B">
            <w:pPr>
              <w:jc w:val="left"/>
              <w:rPr>
                <w:rFonts w:cs="Tahoma"/>
                <w:lang w:val="nl-BE" w:eastAsia="nl-BE"/>
              </w:rPr>
            </w:pPr>
            <w:r w:rsidRPr="00043B8D">
              <w:rPr>
                <w:rFonts w:cs="Tahoma"/>
                <w:lang w:val="nl-BE" w:eastAsia="nl-BE"/>
              </w:rPr>
              <w:t>Aansluitingen</w:t>
            </w:r>
          </w:p>
        </w:tc>
        <w:tc>
          <w:tcPr>
            <w:tcW w:w="1727" w:type="dxa"/>
            <w:shd w:val="clear" w:color="000000" w:fill="FFFFFF"/>
            <w:noWrap/>
            <w:vAlign w:val="bottom"/>
          </w:tcPr>
          <w:p w14:paraId="03CF6F9E" w14:textId="4C371AB7" w:rsidR="00E35330" w:rsidRPr="00043B8D" w:rsidRDefault="00E35330" w:rsidP="00A8491B">
            <w:pPr>
              <w:jc w:val="right"/>
              <w:rPr>
                <w:rFonts w:cs="Tahoma"/>
                <w:lang w:val="nl-BE" w:eastAsia="nl-BE"/>
              </w:rPr>
            </w:pPr>
            <w:r w:rsidRPr="00043B8D">
              <w:rPr>
                <w:rFonts w:cs="Tahoma"/>
                <w:lang w:val="nl-BE" w:eastAsia="nl-BE"/>
              </w:rPr>
              <w:t>3% (33 jaar)</w:t>
            </w:r>
          </w:p>
        </w:tc>
      </w:tr>
      <w:tr w:rsidR="00E35330" w:rsidRPr="00043B8D" w14:paraId="6CA98459" w14:textId="77777777" w:rsidTr="00D30289">
        <w:trPr>
          <w:trHeight w:val="255"/>
        </w:trPr>
        <w:tc>
          <w:tcPr>
            <w:tcW w:w="4500" w:type="dxa"/>
            <w:shd w:val="clear" w:color="000000" w:fill="FFFFFF"/>
            <w:noWrap/>
            <w:vAlign w:val="bottom"/>
            <w:hideMark/>
          </w:tcPr>
          <w:p w14:paraId="2D408857" w14:textId="77777777" w:rsidR="00E35330" w:rsidRPr="00043B8D" w:rsidRDefault="00E35330" w:rsidP="00A8491B">
            <w:pPr>
              <w:jc w:val="left"/>
              <w:rPr>
                <w:rFonts w:cs="Tahoma"/>
                <w:lang w:val="nl-BE" w:eastAsia="nl-BE"/>
              </w:rPr>
            </w:pPr>
            <w:r w:rsidRPr="00043B8D">
              <w:rPr>
                <w:rFonts w:cs="Tahoma"/>
                <w:lang w:val="nl-BE" w:eastAsia="nl-BE"/>
              </w:rPr>
              <w:t>Meetapparatuur</w:t>
            </w:r>
          </w:p>
        </w:tc>
        <w:tc>
          <w:tcPr>
            <w:tcW w:w="1727" w:type="dxa"/>
            <w:shd w:val="clear" w:color="000000" w:fill="FFFFFF"/>
            <w:noWrap/>
            <w:vAlign w:val="bottom"/>
            <w:hideMark/>
          </w:tcPr>
          <w:p w14:paraId="1FBB39EA" w14:textId="77777777" w:rsidR="00E35330" w:rsidRPr="00043B8D" w:rsidRDefault="00E35330" w:rsidP="00A8491B">
            <w:pPr>
              <w:jc w:val="right"/>
              <w:rPr>
                <w:rFonts w:cs="Tahoma"/>
                <w:lang w:val="nl-BE" w:eastAsia="nl-BE"/>
              </w:rPr>
            </w:pPr>
            <w:r w:rsidRPr="00043B8D">
              <w:rPr>
                <w:rFonts w:cs="Tahoma"/>
                <w:lang w:val="nl-BE" w:eastAsia="nl-BE"/>
              </w:rPr>
              <w:t>3% (33 jaar)</w:t>
            </w:r>
          </w:p>
        </w:tc>
      </w:tr>
      <w:tr w:rsidR="00E35330" w:rsidRPr="00043B8D" w14:paraId="2BD5C84C" w14:textId="77777777" w:rsidTr="00D30289">
        <w:trPr>
          <w:trHeight w:val="255"/>
        </w:trPr>
        <w:tc>
          <w:tcPr>
            <w:tcW w:w="4500" w:type="dxa"/>
            <w:shd w:val="clear" w:color="000000" w:fill="FFFFFF"/>
            <w:noWrap/>
            <w:vAlign w:val="bottom"/>
            <w:hideMark/>
          </w:tcPr>
          <w:p w14:paraId="3E4728F8" w14:textId="77777777" w:rsidR="00E35330" w:rsidRPr="00043B8D" w:rsidRDefault="00E35330" w:rsidP="00A8491B">
            <w:pPr>
              <w:jc w:val="left"/>
              <w:rPr>
                <w:rFonts w:cs="Tahoma"/>
                <w:lang w:val="nl-BE" w:eastAsia="nl-BE"/>
              </w:rPr>
            </w:pPr>
            <w:r w:rsidRPr="00043B8D">
              <w:rPr>
                <w:rFonts w:cs="Tahoma"/>
                <w:lang w:val="nl-BE" w:eastAsia="nl-BE"/>
              </w:rPr>
              <w:t>Teletransmissie en optische vezels</w:t>
            </w:r>
          </w:p>
        </w:tc>
        <w:tc>
          <w:tcPr>
            <w:tcW w:w="1727" w:type="dxa"/>
            <w:shd w:val="clear" w:color="000000" w:fill="FFFFFF"/>
            <w:noWrap/>
            <w:vAlign w:val="bottom"/>
            <w:hideMark/>
          </w:tcPr>
          <w:p w14:paraId="4AFB7574" w14:textId="77777777" w:rsidR="00E35330" w:rsidRPr="00043B8D" w:rsidRDefault="00E35330" w:rsidP="00A8491B">
            <w:pPr>
              <w:jc w:val="right"/>
              <w:rPr>
                <w:rFonts w:cs="Tahoma"/>
                <w:lang w:val="nl-BE" w:eastAsia="nl-BE"/>
              </w:rPr>
            </w:pPr>
            <w:r w:rsidRPr="00043B8D">
              <w:rPr>
                <w:rFonts w:cs="Tahoma"/>
                <w:lang w:val="nl-BE" w:eastAsia="nl-BE"/>
              </w:rPr>
              <w:t>10% (10 jaar)</w:t>
            </w:r>
          </w:p>
        </w:tc>
      </w:tr>
      <w:tr w:rsidR="00E35330" w:rsidRPr="00043B8D" w14:paraId="25E2531F" w14:textId="77777777" w:rsidTr="00D30289">
        <w:trPr>
          <w:trHeight w:val="255"/>
        </w:trPr>
        <w:tc>
          <w:tcPr>
            <w:tcW w:w="4500" w:type="dxa"/>
            <w:shd w:val="clear" w:color="000000" w:fill="FFFFFF"/>
            <w:noWrap/>
            <w:vAlign w:val="bottom"/>
            <w:hideMark/>
          </w:tcPr>
          <w:p w14:paraId="4371C754" w14:textId="77777777" w:rsidR="00E35330" w:rsidRPr="00043B8D" w:rsidRDefault="00E35330" w:rsidP="00A8491B">
            <w:pPr>
              <w:jc w:val="left"/>
              <w:rPr>
                <w:rFonts w:cs="Tahoma"/>
                <w:lang w:val="nl-BE" w:eastAsia="nl-BE"/>
              </w:rPr>
            </w:pPr>
            <w:r w:rsidRPr="00043B8D">
              <w:rPr>
                <w:rFonts w:cs="Tahoma"/>
                <w:lang w:val="nl-BE" w:eastAsia="nl-BE"/>
              </w:rPr>
              <w:t>Gereedschap en meubilair</w:t>
            </w:r>
          </w:p>
        </w:tc>
        <w:tc>
          <w:tcPr>
            <w:tcW w:w="1727" w:type="dxa"/>
            <w:shd w:val="clear" w:color="000000" w:fill="FFFFFF"/>
            <w:noWrap/>
            <w:vAlign w:val="bottom"/>
            <w:hideMark/>
          </w:tcPr>
          <w:p w14:paraId="7EF8B26F" w14:textId="77777777" w:rsidR="00E35330" w:rsidRPr="00043B8D" w:rsidRDefault="00E35330" w:rsidP="00A8491B">
            <w:pPr>
              <w:jc w:val="right"/>
              <w:rPr>
                <w:rFonts w:cs="Tahoma"/>
                <w:lang w:val="nl-BE" w:eastAsia="nl-BE"/>
              </w:rPr>
            </w:pPr>
            <w:r w:rsidRPr="00043B8D">
              <w:rPr>
                <w:rFonts w:cs="Tahoma"/>
                <w:lang w:val="nl-BE" w:eastAsia="nl-BE"/>
              </w:rPr>
              <w:t>10% (10 jaar)</w:t>
            </w:r>
          </w:p>
        </w:tc>
      </w:tr>
      <w:tr w:rsidR="00E35330" w:rsidRPr="00043B8D" w14:paraId="57292E1F" w14:textId="77777777" w:rsidTr="00D30289">
        <w:trPr>
          <w:trHeight w:val="255"/>
        </w:trPr>
        <w:tc>
          <w:tcPr>
            <w:tcW w:w="4500" w:type="dxa"/>
            <w:shd w:val="clear" w:color="000000" w:fill="FFFFFF"/>
            <w:noWrap/>
            <w:vAlign w:val="bottom"/>
            <w:hideMark/>
          </w:tcPr>
          <w:p w14:paraId="769B9D68" w14:textId="77777777" w:rsidR="00E35330" w:rsidRPr="00043B8D" w:rsidRDefault="00E35330" w:rsidP="00A8491B">
            <w:pPr>
              <w:jc w:val="left"/>
              <w:rPr>
                <w:rFonts w:cs="Tahoma"/>
                <w:lang w:val="nl-BE" w:eastAsia="nl-BE"/>
              </w:rPr>
            </w:pPr>
            <w:r w:rsidRPr="00043B8D">
              <w:rPr>
                <w:rFonts w:cs="Tahoma"/>
                <w:lang w:val="nl-BE" w:eastAsia="nl-BE"/>
              </w:rPr>
              <w:t>Rollend materieel</w:t>
            </w:r>
          </w:p>
        </w:tc>
        <w:tc>
          <w:tcPr>
            <w:tcW w:w="1727" w:type="dxa"/>
            <w:shd w:val="clear" w:color="000000" w:fill="FFFFFF"/>
            <w:noWrap/>
            <w:vAlign w:val="bottom"/>
            <w:hideMark/>
          </w:tcPr>
          <w:p w14:paraId="4AF2941E" w14:textId="77777777" w:rsidR="00E35330" w:rsidRPr="00043B8D" w:rsidRDefault="00E35330" w:rsidP="00A8491B">
            <w:pPr>
              <w:jc w:val="right"/>
              <w:rPr>
                <w:rFonts w:cs="Tahoma"/>
                <w:lang w:val="nl-BE" w:eastAsia="nl-BE"/>
              </w:rPr>
            </w:pPr>
            <w:r w:rsidRPr="00043B8D">
              <w:rPr>
                <w:rFonts w:cs="Tahoma"/>
                <w:lang w:val="nl-BE" w:eastAsia="nl-BE"/>
              </w:rPr>
              <w:t>20% (5 jaar)</w:t>
            </w:r>
          </w:p>
        </w:tc>
      </w:tr>
      <w:tr w:rsidR="00E35330" w:rsidRPr="00043B8D" w14:paraId="315E2256" w14:textId="77777777" w:rsidTr="00D30289">
        <w:trPr>
          <w:trHeight w:val="255"/>
        </w:trPr>
        <w:tc>
          <w:tcPr>
            <w:tcW w:w="4500" w:type="dxa"/>
            <w:shd w:val="clear" w:color="000000" w:fill="FFFFFF"/>
            <w:noWrap/>
            <w:vAlign w:val="bottom"/>
            <w:hideMark/>
          </w:tcPr>
          <w:p w14:paraId="61DB3254" w14:textId="77777777" w:rsidR="00E35330" w:rsidRPr="00043B8D" w:rsidRDefault="00E35330" w:rsidP="00A8491B">
            <w:pPr>
              <w:jc w:val="left"/>
              <w:rPr>
                <w:rFonts w:cs="Tahoma"/>
                <w:lang w:val="nl-BE" w:eastAsia="nl-BE"/>
              </w:rPr>
            </w:pPr>
            <w:r w:rsidRPr="00043B8D">
              <w:rPr>
                <w:rFonts w:cs="Tahoma"/>
                <w:lang w:val="nl-BE" w:eastAsia="nl-BE"/>
              </w:rPr>
              <w:t>CAB, telebediening, uitrusting dispatching</w:t>
            </w:r>
          </w:p>
        </w:tc>
        <w:tc>
          <w:tcPr>
            <w:tcW w:w="1727" w:type="dxa"/>
            <w:shd w:val="clear" w:color="000000" w:fill="FFFFFF"/>
            <w:noWrap/>
            <w:vAlign w:val="bottom"/>
            <w:hideMark/>
          </w:tcPr>
          <w:p w14:paraId="31269CE7" w14:textId="77777777" w:rsidR="00E35330" w:rsidRPr="00043B8D" w:rsidRDefault="00E35330" w:rsidP="00A8491B">
            <w:pPr>
              <w:jc w:val="right"/>
              <w:rPr>
                <w:rFonts w:cs="Tahoma"/>
                <w:lang w:val="nl-BE" w:eastAsia="nl-BE"/>
              </w:rPr>
            </w:pPr>
            <w:r w:rsidRPr="00043B8D">
              <w:rPr>
                <w:rFonts w:cs="Tahoma"/>
                <w:lang w:val="nl-BE" w:eastAsia="nl-BE"/>
              </w:rPr>
              <w:t>10% (10 jaar)</w:t>
            </w:r>
          </w:p>
        </w:tc>
      </w:tr>
      <w:tr w:rsidR="00E35330" w:rsidRPr="00043B8D" w14:paraId="2B2F8A8A" w14:textId="77777777" w:rsidTr="00D30289">
        <w:trPr>
          <w:trHeight w:val="255"/>
        </w:trPr>
        <w:tc>
          <w:tcPr>
            <w:tcW w:w="4500" w:type="dxa"/>
            <w:shd w:val="clear" w:color="000000" w:fill="FFFFFF"/>
            <w:noWrap/>
            <w:vAlign w:val="bottom"/>
            <w:hideMark/>
          </w:tcPr>
          <w:p w14:paraId="0357FD9C" w14:textId="77777777" w:rsidR="00E35330" w:rsidRPr="00043B8D" w:rsidRDefault="00E35330" w:rsidP="00A8491B">
            <w:pPr>
              <w:jc w:val="left"/>
              <w:rPr>
                <w:rFonts w:cs="Tahoma"/>
                <w:lang w:val="nl-BE" w:eastAsia="nl-BE"/>
              </w:rPr>
            </w:pPr>
            <w:r w:rsidRPr="00043B8D">
              <w:rPr>
                <w:rFonts w:cs="Tahoma"/>
                <w:lang w:val="nl-BE" w:eastAsia="nl-BE"/>
              </w:rPr>
              <w:t>Labo uitrusting</w:t>
            </w:r>
          </w:p>
        </w:tc>
        <w:tc>
          <w:tcPr>
            <w:tcW w:w="1727" w:type="dxa"/>
            <w:shd w:val="clear" w:color="000000" w:fill="FFFFFF"/>
            <w:noWrap/>
            <w:vAlign w:val="bottom"/>
            <w:hideMark/>
          </w:tcPr>
          <w:p w14:paraId="61A8FE45" w14:textId="77777777" w:rsidR="00E35330" w:rsidRPr="00043B8D" w:rsidRDefault="00E35330" w:rsidP="00A8491B">
            <w:pPr>
              <w:jc w:val="right"/>
              <w:rPr>
                <w:rFonts w:cs="Tahoma"/>
                <w:lang w:val="nl-BE" w:eastAsia="nl-BE"/>
              </w:rPr>
            </w:pPr>
            <w:r w:rsidRPr="00043B8D">
              <w:rPr>
                <w:rFonts w:cs="Tahoma"/>
                <w:lang w:val="nl-BE" w:eastAsia="nl-BE"/>
              </w:rPr>
              <w:t>10% (10 jaar)</w:t>
            </w:r>
          </w:p>
        </w:tc>
      </w:tr>
      <w:tr w:rsidR="00E35330" w:rsidRPr="00043B8D" w14:paraId="0451E343" w14:textId="77777777" w:rsidTr="00D30289">
        <w:trPr>
          <w:trHeight w:val="255"/>
        </w:trPr>
        <w:tc>
          <w:tcPr>
            <w:tcW w:w="4500" w:type="dxa"/>
            <w:shd w:val="clear" w:color="000000" w:fill="FFFFFF"/>
            <w:noWrap/>
            <w:vAlign w:val="bottom"/>
            <w:hideMark/>
          </w:tcPr>
          <w:p w14:paraId="59E29212" w14:textId="77777777" w:rsidR="00E35330" w:rsidRPr="00043B8D" w:rsidRDefault="00E35330" w:rsidP="00A8491B">
            <w:pPr>
              <w:jc w:val="left"/>
              <w:rPr>
                <w:rFonts w:cs="Tahoma"/>
                <w:lang w:val="nl-BE" w:eastAsia="nl-BE"/>
              </w:rPr>
            </w:pPr>
            <w:r w:rsidRPr="00043B8D">
              <w:rPr>
                <w:rFonts w:cs="Tahoma"/>
                <w:lang w:val="nl-BE" w:eastAsia="nl-BE"/>
              </w:rPr>
              <w:t>Administratieve uitrusting (informatica en kantoor)</w:t>
            </w:r>
          </w:p>
        </w:tc>
        <w:tc>
          <w:tcPr>
            <w:tcW w:w="1727" w:type="dxa"/>
            <w:shd w:val="clear" w:color="000000" w:fill="FFFFFF"/>
            <w:noWrap/>
            <w:vAlign w:val="bottom"/>
            <w:hideMark/>
          </w:tcPr>
          <w:p w14:paraId="640A9062" w14:textId="77777777" w:rsidR="00E35330" w:rsidRPr="00043B8D" w:rsidRDefault="00E35330" w:rsidP="00A8491B">
            <w:pPr>
              <w:jc w:val="right"/>
              <w:rPr>
                <w:rFonts w:cs="Tahoma"/>
                <w:lang w:val="nl-BE" w:eastAsia="nl-BE"/>
              </w:rPr>
            </w:pPr>
            <w:r w:rsidRPr="00043B8D">
              <w:rPr>
                <w:rFonts w:cs="Tahoma"/>
                <w:lang w:val="nl-BE" w:eastAsia="nl-BE"/>
              </w:rPr>
              <w:t>33% (3 jaar)</w:t>
            </w:r>
          </w:p>
        </w:tc>
      </w:tr>
      <w:tr w:rsidR="00E35330" w:rsidRPr="00043B8D" w14:paraId="11D6CD5F" w14:textId="77777777" w:rsidTr="00D30289">
        <w:trPr>
          <w:trHeight w:val="255"/>
        </w:trPr>
        <w:tc>
          <w:tcPr>
            <w:tcW w:w="4500" w:type="dxa"/>
            <w:shd w:val="clear" w:color="000000" w:fill="FFFFFF"/>
            <w:noWrap/>
            <w:vAlign w:val="bottom"/>
            <w:hideMark/>
          </w:tcPr>
          <w:p w14:paraId="548824C8" w14:textId="77777777" w:rsidR="00E35330" w:rsidRPr="00043B8D" w:rsidRDefault="00E35330" w:rsidP="00A8491B">
            <w:pPr>
              <w:jc w:val="left"/>
              <w:rPr>
                <w:rFonts w:cs="Tahoma"/>
                <w:lang w:val="nl-BE" w:eastAsia="nl-BE"/>
              </w:rPr>
            </w:pPr>
            <w:r w:rsidRPr="00043B8D">
              <w:rPr>
                <w:rFonts w:cs="Tahoma"/>
                <w:lang w:val="nl-BE" w:eastAsia="nl-BE"/>
              </w:rPr>
              <w:t>Telegelezen meters</w:t>
            </w:r>
          </w:p>
        </w:tc>
        <w:tc>
          <w:tcPr>
            <w:tcW w:w="1727" w:type="dxa"/>
            <w:shd w:val="clear" w:color="000000" w:fill="FFFFFF"/>
            <w:noWrap/>
            <w:vAlign w:val="bottom"/>
            <w:hideMark/>
          </w:tcPr>
          <w:p w14:paraId="05F7E347" w14:textId="77777777" w:rsidR="00E35330" w:rsidRPr="00043B8D" w:rsidRDefault="00E35330" w:rsidP="00A8491B">
            <w:pPr>
              <w:jc w:val="right"/>
              <w:rPr>
                <w:rFonts w:cs="Tahoma"/>
                <w:lang w:val="nl-BE" w:eastAsia="nl-BE"/>
              </w:rPr>
            </w:pPr>
            <w:r w:rsidRPr="00043B8D">
              <w:rPr>
                <w:rFonts w:cs="Tahoma"/>
                <w:lang w:val="nl-BE" w:eastAsia="nl-BE"/>
              </w:rPr>
              <w:t>10% (10 jaar)</w:t>
            </w:r>
          </w:p>
        </w:tc>
      </w:tr>
      <w:tr w:rsidR="00E35330" w:rsidRPr="00043B8D" w14:paraId="17D06898" w14:textId="77777777" w:rsidTr="00D30289">
        <w:trPr>
          <w:trHeight w:val="255"/>
        </w:trPr>
        <w:tc>
          <w:tcPr>
            <w:tcW w:w="4500" w:type="dxa"/>
            <w:shd w:val="clear" w:color="000000" w:fill="FFFFFF"/>
            <w:noWrap/>
            <w:vAlign w:val="bottom"/>
            <w:hideMark/>
          </w:tcPr>
          <w:p w14:paraId="78918049" w14:textId="77777777" w:rsidR="00E35330" w:rsidRPr="00043B8D" w:rsidRDefault="00E35330" w:rsidP="00A8491B">
            <w:pPr>
              <w:jc w:val="left"/>
              <w:rPr>
                <w:rFonts w:cs="Tahoma"/>
                <w:lang w:val="nl-BE" w:eastAsia="nl-BE"/>
              </w:rPr>
            </w:pPr>
            <w:r w:rsidRPr="00043B8D">
              <w:rPr>
                <w:rFonts w:cs="Tahoma"/>
                <w:lang w:val="nl-BE" w:eastAsia="nl-BE"/>
              </w:rPr>
              <w:t>Budgetmeters</w:t>
            </w:r>
          </w:p>
        </w:tc>
        <w:tc>
          <w:tcPr>
            <w:tcW w:w="1727" w:type="dxa"/>
            <w:shd w:val="clear" w:color="000000" w:fill="FFFFFF"/>
            <w:noWrap/>
            <w:vAlign w:val="bottom"/>
            <w:hideMark/>
          </w:tcPr>
          <w:p w14:paraId="00F37B5E" w14:textId="77777777" w:rsidR="00E35330" w:rsidRPr="00043B8D" w:rsidRDefault="00E35330" w:rsidP="00A8491B">
            <w:pPr>
              <w:jc w:val="right"/>
              <w:rPr>
                <w:rFonts w:cs="Tahoma"/>
                <w:lang w:val="nl-BE" w:eastAsia="nl-BE"/>
              </w:rPr>
            </w:pPr>
            <w:r w:rsidRPr="00043B8D">
              <w:rPr>
                <w:rFonts w:cs="Tahoma"/>
                <w:lang w:val="nl-BE" w:eastAsia="nl-BE"/>
              </w:rPr>
              <w:t>10% (10 jaar)</w:t>
            </w:r>
          </w:p>
        </w:tc>
      </w:tr>
      <w:tr w:rsidR="00E35330" w:rsidRPr="00043B8D" w14:paraId="574AC77B" w14:textId="77777777" w:rsidTr="00D30289">
        <w:trPr>
          <w:trHeight w:val="255"/>
        </w:trPr>
        <w:tc>
          <w:tcPr>
            <w:tcW w:w="4500" w:type="dxa"/>
            <w:shd w:val="clear" w:color="000000" w:fill="FFFFFF"/>
            <w:noWrap/>
            <w:vAlign w:val="bottom"/>
            <w:hideMark/>
          </w:tcPr>
          <w:p w14:paraId="31493F7A" w14:textId="77777777" w:rsidR="00E35330" w:rsidRPr="00043B8D" w:rsidRDefault="00E35330" w:rsidP="00A8491B">
            <w:pPr>
              <w:jc w:val="left"/>
              <w:rPr>
                <w:rFonts w:cs="Tahoma"/>
                <w:lang w:val="nl-BE" w:eastAsia="nl-BE"/>
              </w:rPr>
            </w:pPr>
            <w:r w:rsidRPr="00043B8D">
              <w:rPr>
                <w:rFonts w:cs="Tahoma"/>
                <w:lang w:val="nl-BE" w:eastAsia="nl-BE"/>
              </w:rPr>
              <w:t>WKK installaties</w:t>
            </w:r>
          </w:p>
        </w:tc>
        <w:tc>
          <w:tcPr>
            <w:tcW w:w="1727" w:type="dxa"/>
            <w:shd w:val="clear" w:color="000000" w:fill="FFFFFF"/>
            <w:noWrap/>
            <w:vAlign w:val="bottom"/>
            <w:hideMark/>
          </w:tcPr>
          <w:p w14:paraId="6214E966" w14:textId="77777777" w:rsidR="00E35330" w:rsidRPr="00043B8D" w:rsidRDefault="00E35330" w:rsidP="00A8491B">
            <w:pPr>
              <w:jc w:val="right"/>
              <w:rPr>
                <w:rFonts w:cs="Tahoma"/>
                <w:lang w:val="nl-BE" w:eastAsia="nl-BE"/>
              </w:rPr>
            </w:pPr>
            <w:r w:rsidRPr="00043B8D">
              <w:rPr>
                <w:rFonts w:cs="Tahoma"/>
                <w:lang w:val="nl-BE" w:eastAsia="nl-BE"/>
              </w:rPr>
              <w:t>10% (10 jaar)</w:t>
            </w:r>
          </w:p>
        </w:tc>
      </w:tr>
      <w:tr w:rsidR="00E35330" w:rsidRPr="00043B8D" w14:paraId="6B461D16" w14:textId="77777777" w:rsidTr="00D30289">
        <w:trPr>
          <w:trHeight w:val="255"/>
        </w:trPr>
        <w:tc>
          <w:tcPr>
            <w:tcW w:w="4500" w:type="dxa"/>
            <w:shd w:val="clear" w:color="000000" w:fill="FFFFFF"/>
            <w:noWrap/>
            <w:vAlign w:val="bottom"/>
            <w:hideMark/>
          </w:tcPr>
          <w:p w14:paraId="6AD39E89" w14:textId="50AF75FA" w:rsidR="00E35330" w:rsidRPr="00043B8D" w:rsidRDefault="00266F25" w:rsidP="00A8491B">
            <w:pPr>
              <w:jc w:val="left"/>
              <w:rPr>
                <w:rFonts w:cs="Tahoma"/>
                <w:lang w:val="nl-BE" w:eastAsia="nl-BE"/>
              </w:rPr>
            </w:pPr>
            <w:r w:rsidRPr="00043B8D">
              <w:rPr>
                <w:rFonts w:cs="Tahoma"/>
                <w:lang w:val="nl-BE" w:eastAsia="nl-BE"/>
              </w:rPr>
              <w:t>Unieke operator</w:t>
            </w:r>
          </w:p>
        </w:tc>
        <w:tc>
          <w:tcPr>
            <w:tcW w:w="1727" w:type="dxa"/>
            <w:shd w:val="clear" w:color="000000" w:fill="FFFFFF"/>
            <w:noWrap/>
            <w:vAlign w:val="bottom"/>
            <w:hideMark/>
          </w:tcPr>
          <w:p w14:paraId="5375DA57" w14:textId="77777777" w:rsidR="00E35330" w:rsidRPr="00043B8D" w:rsidRDefault="00E35330" w:rsidP="00A8491B">
            <w:pPr>
              <w:jc w:val="right"/>
              <w:rPr>
                <w:rFonts w:cs="Tahoma"/>
                <w:lang w:val="nl-BE" w:eastAsia="nl-BE"/>
              </w:rPr>
            </w:pPr>
            <w:r w:rsidRPr="00043B8D">
              <w:rPr>
                <w:rFonts w:cs="Tahoma"/>
                <w:lang w:val="nl-BE" w:eastAsia="nl-BE"/>
              </w:rPr>
              <w:t>10% (10 jaar)</w:t>
            </w:r>
          </w:p>
        </w:tc>
      </w:tr>
      <w:tr w:rsidR="00E35330" w:rsidRPr="00043B8D" w14:paraId="04AAAB96" w14:textId="77777777" w:rsidTr="00D30289">
        <w:trPr>
          <w:trHeight w:val="255"/>
        </w:trPr>
        <w:tc>
          <w:tcPr>
            <w:tcW w:w="4500" w:type="dxa"/>
            <w:shd w:val="clear" w:color="000000" w:fill="FFFFFF"/>
            <w:noWrap/>
            <w:vAlign w:val="bottom"/>
            <w:hideMark/>
          </w:tcPr>
          <w:p w14:paraId="7BD6BAE4" w14:textId="77777777" w:rsidR="00E35330" w:rsidRPr="00043B8D" w:rsidRDefault="00E35330" w:rsidP="00A8491B">
            <w:pPr>
              <w:jc w:val="left"/>
              <w:rPr>
                <w:rFonts w:cs="Tahoma"/>
                <w:lang w:val="nl-BE" w:eastAsia="nl-BE"/>
              </w:rPr>
            </w:pPr>
            <w:r w:rsidRPr="00043B8D">
              <w:rPr>
                <w:rFonts w:cs="Tahoma"/>
                <w:lang w:val="nl-BE" w:eastAsia="nl-BE"/>
              </w:rPr>
              <w:t>Project slimme netten</w:t>
            </w:r>
          </w:p>
        </w:tc>
        <w:tc>
          <w:tcPr>
            <w:tcW w:w="1727" w:type="dxa"/>
            <w:shd w:val="clear" w:color="000000" w:fill="FFFFFF"/>
            <w:noWrap/>
            <w:vAlign w:val="bottom"/>
            <w:hideMark/>
          </w:tcPr>
          <w:p w14:paraId="77CCBE3A" w14:textId="77777777" w:rsidR="00E35330" w:rsidRPr="00043B8D" w:rsidRDefault="00E35330" w:rsidP="00A8491B">
            <w:pPr>
              <w:jc w:val="right"/>
              <w:rPr>
                <w:rFonts w:cs="Tahoma"/>
                <w:lang w:val="nl-BE" w:eastAsia="nl-BE"/>
              </w:rPr>
            </w:pPr>
            <w:r w:rsidRPr="00043B8D">
              <w:rPr>
                <w:rFonts w:cs="Tahoma"/>
                <w:lang w:val="nl-BE" w:eastAsia="nl-BE"/>
              </w:rPr>
              <w:t>20% (5 jaar)</w:t>
            </w:r>
          </w:p>
        </w:tc>
      </w:tr>
      <w:tr w:rsidR="00E35330" w:rsidRPr="00043B8D" w14:paraId="0F290A3B" w14:textId="77777777" w:rsidTr="00D30289">
        <w:trPr>
          <w:trHeight w:val="255"/>
        </w:trPr>
        <w:tc>
          <w:tcPr>
            <w:tcW w:w="4500" w:type="dxa"/>
            <w:shd w:val="clear" w:color="000000" w:fill="FFFFFF"/>
            <w:noWrap/>
            <w:vAlign w:val="bottom"/>
            <w:hideMark/>
          </w:tcPr>
          <w:p w14:paraId="22855E5A" w14:textId="77777777" w:rsidR="00E35330" w:rsidRPr="00043B8D" w:rsidRDefault="00E35330" w:rsidP="00A8491B">
            <w:pPr>
              <w:jc w:val="left"/>
              <w:rPr>
                <w:rFonts w:cs="Tahoma"/>
                <w:lang w:val="nl-BE" w:eastAsia="nl-BE"/>
              </w:rPr>
            </w:pPr>
            <w:r w:rsidRPr="00043B8D">
              <w:rPr>
                <w:rFonts w:cs="Tahoma"/>
                <w:lang w:val="nl-BE" w:eastAsia="nl-BE"/>
              </w:rPr>
              <w:t>Project clearing house</w:t>
            </w:r>
          </w:p>
        </w:tc>
        <w:tc>
          <w:tcPr>
            <w:tcW w:w="1727" w:type="dxa"/>
            <w:shd w:val="clear" w:color="000000" w:fill="FFFFFF"/>
            <w:noWrap/>
            <w:vAlign w:val="bottom"/>
            <w:hideMark/>
          </w:tcPr>
          <w:p w14:paraId="718179C2" w14:textId="77777777" w:rsidR="00E35330" w:rsidRPr="00043B8D" w:rsidRDefault="00E35330" w:rsidP="00A8491B">
            <w:pPr>
              <w:jc w:val="right"/>
              <w:rPr>
                <w:rFonts w:cs="Tahoma"/>
                <w:lang w:val="nl-BE" w:eastAsia="nl-BE"/>
              </w:rPr>
            </w:pPr>
            <w:r w:rsidRPr="00043B8D">
              <w:rPr>
                <w:rFonts w:cs="Tahoma"/>
                <w:lang w:val="nl-BE" w:eastAsia="nl-BE"/>
              </w:rPr>
              <w:t>20% (5 jaar)</w:t>
            </w:r>
          </w:p>
        </w:tc>
      </w:tr>
      <w:tr w:rsidR="00E35330" w:rsidRPr="00043B8D" w14:paraId="0ACD62C9" w14:textId="77777777" w:rsidTr="00D30289">
        <w:trPr>
          <w:trHeight w:val="270"/>
        </w:trPr>
        <w:tc>
          <w:tcPr>
            <w:tcW w:w="4500" w:type="dxa"/>
            <w:shd w:val="clear" w:color="000000" w:fill="FFFFFF"/>
            <w:noWrap/>
            <w:vAlign w:val="bottom"/>
            <w:hideMark/>
          </w:tcPr>
          <w:p w14:paraId="347A2B90" w14:textId="77777777" w:rsidR="00E35330" w:rsidRPr="00043B8D" w:rsidRDefault="00E35330" w:rsidP="00A8491B">
            <w:pPr>
              <w:jc w:val="left"/>
              <w:rPr>
                <w:rFonts w:cs="Tahoma"/>
                <w:lang w:val="nl-BE" w:eastAsia="nl-BE"/>
              </w:rPr>
            </w:pPr>
            <w:r w:rsidRPr="00043B8D">
              <w:rPr>
                <w:rFonts w:cs="Tahoma"/>
                <w:lang w:val="nl-BE" w:eastAsia="nl-BE"/>
              </w:rPr>
              <w:t>Project slimme meters</w:t>
            </w:r>
          </w:p>
        </w:tc>
        <w:tc>
          <w:tcPr>
            <w:tcW w:w="1727" w:type="dxa"/>
            <w:shd w:val="clear" w:color="000000" w:fill="FFFFFF"/>
            <w:noWrap/>
            <w:vAlign w:val="bottom"/>
            <w:hideMark/>
          </w:tcPr>
          <w:p w14:paraId="4DE5FAA5" w14:textId="77777777" w:rsidR="00E35330" w:rsidRPr="00043B8D" w:rsidRDefault="00E35330" w:rsidP="00A8491B">
            <w:pPr>
              <w:jc w:val="right"/>
              <w:rPr>
                <w:rFonts w:cs="Tahoma"/>
                <w:lang w:val="nl-BE" w:eastAsia="nl-BE"/>
              </w:rPr>
            </w:pPr>
            <w:r w:rsidRPr="00043B8D">
              <w:rPr>
                <w:rFonts w:cs="Tahoma"/>
                <w:lang w:val="nl-BE" w:eastAsia="nl-BE"/>
              </w:rPr>
              <w:t>20% (5 jaar)</w:t>
            </w:r>
          </w:p>
        </w:tc>
      </w:tr>
      <w:tr w:rsidR="00BC6649" w:rsidRPr="00043B8D" w14:paraId="040D2EC9" w14:textId="77777777" w:rsidTr="00392ACE">
        <w:trPr>
          <w:trHeight w:val="270"/>
        </w:trPr>
        <w:tc>
          <w:tcPr>
            <w:tcW w:w="4500" w:type="dxa"/>
            <w:shd w:val="clear" w:color="auto" w:fill="auto"/>
            <w:noWrap/>
            <w:vAlign w:val="bottom"/>
          </w:tcPr>
          <w:p w14:paraId="26F9E66F" w14:textId="6CD270A2" w:rsidR="00BC6649" w:rsidRPr="004900BF" w:rsidRDefault="00BC6649" w:rsidP="00A8491B">
            <w:pPr>
              <w:jc w:val="left"/>
              <w:rPr>
                <w:rFonts w:cs="Tahoma"/>
                <w:lang w:val="nl-BE" w:eastAsia="nl-BE"/>
              </w:rPr>
            </w:pPr>
            <w:r w:rsidRPr="004900BF">
              <w:rPr>
                <w:rFonts w:cs="Tahoma"/>
                <w:lang w:val="nl-BE" w:eastAsia="nl-BE"/>
              </w:rPr>
              <w:t>[Oplaadpunten voor elektrische voertuigen</w:t>
            </w:r>
            <w:r w:rsidR="00AC3CBA" w:rsidRPr="004900BF">
              <w:rPr>
                <w:rStyle w:val="Voetnootmarkering"/>
                <w:rFonts w:cs="Tahoma"/>
                <w:lang w:val="nl-BE" w:eastAsia="nl-BE"/>
              </w:rPr>
              <w:footnoteReference w:id="92"/>
            </w:r>
          </w:p>
        </w:tc>
        <w:tc>
          <w:tcPr>
            <w:tcW w:w="1727" w:type="dxa"/>
            <w:shd w:val="clear" w:color="auto" w:fill="auto"/>
            <w:noWrap/>
            <w:vAlign w:val="bottom"/>
          </w:tcPr>
          <w:p w14:paraId="5C09EE70" w14:textId="2CE46D33" w:rsidR="00BC6649" w:rsidRPr="004900BF" w:rsidRDefault="00BC6649" w:rsidP="00A8491B">
            <w:pPr>
              <w:jc w:val="right"/>
              <w:rPr>
                <w:rFonts w:cs="Tahoma"/>
                <w:lang w:val="nl-BE" w:eastAsia="nl-BE"/>
              </w:rPr>
            </w:pPr>
            <w:r w:rsidRPr="004900BF">
              <w:rPr>
                <w:rFonts w:cs="Tahoma"/>
                <w:lang w:val="nl-BE" w:eastAsia="nl-BE"/>
              </w:rPr>
              <w:t>20% (5 jaar)]</w:t>
            </w:r>
            <w:r w:rsidRPr="004900BF">
              <w:rPr>
                <w:rStyle w:val="Voetnootmarkering"/>
                <w:rFonts w:cs="Tahoma"/>
                <w:lang w:val="nl-BE" w:eastAsia="nl-BE"/>
              </w:rPr>
              <w:footnoteReference w:id="93"/>
            </w:r>
          </w:p>
        </w:tc>
      </w:tr>
      <w:tr w:rsidR="002F65E5" w:rsidRPr="00043B8D" w14:paraId="75C6DABD" w14:textId="77777777" w:rsidTr="00392ACE">
        <w:trPr>
          <w:trHeight w:val="270"/>
        </w:trPr>
        <w:tc>
          <w:tcPr>
            <w:tcW w:w="4500" w:type="dxa"/>
            <w:shd w:val="clear" w:color="auto" w:fill="auto"/>
            <w:noWrap/>
            <w:vAlign w:val="bottom"/>
          </w:tcPr>
          <w:p w14:paraId="0E3E43C8" w14:textId="08F90A17" w:rsidR="002F65E5" w:rsidRPr="00043B8D" w:rsidRDefault="003E160A" w:rsidP="00A8491B">
            <w:pPr>
              <w:jc w:val="left"/>
              <w:rPr>
                <w:rFonts w:cs="Tahoma"/>
                <w:lang w:val="nl-BE" w:eastAsia="nl-BE"/>
              </w:rPr>
            </w:pPr>
            <w:r w:rsidRPr="00043B8D">
              <w:rPr>
                <w:rFonts w:cs="Tahoma"/>
                <w:lang w:val="nl-BE" w:eastAsia="nl-BE"/>
              </w:rPr>
              <w:t>Activa in aanbouw</w:t>
            </w:r>
          </w:p>
        </w:tc>
        <w:tc>
          <w:tcPr>
            <w:tcW w:w="1727" w:type="dxa"/>
            <w:shd w:val="clear" w:color="auto" w:fill="auto"/>
            <w:noWrap/>
            <w:vAlign w:val="bottom"/>
          </w:tcPr>
          <w:p w14:paraId="05BB1951" w14:textId="5504C702" w:rsidR="002F65E5" w:rsidRPr="00043B8D" w:rsidRDefault="003E160A" w:rsidP="00A8491B">
            <w:pPr>
              <w:jc w:val="right"/>
              <w:rPr>
                <w:rFonts w:cs="Tahoma"/>
                <w:lang w:val="nl-BE" w:eastAsia="nl-BE"/>
              </w:rPr>
            </w:pPr>
            <w:r w:rsidRPr="00043B8D">
              <w:rPr>
                <w:rFonts w:cs="Tahoma"/>
                <w:lang w:val="nl-BE" w:eastAsia="nl-BE"/>
              </w:rPr>
              <w:t>0%</w:t>
            </w:r>
          </w:p>
        </w:tc>
      </w:tr>
      <w:tr w:rsidR="002F65E5" w:rsidRPr="00043B8D" w14:paraId="3996747D" w14:textId="77777777" w:rsidTr="00392ACE">
        <w:trPr>
          <w:trHeight w:val="270"/>
        </w:trPr>
        <w:tc>
          <w:tcPr>
            <w:tcW w:w="4500" w:type="dxa"/>
            <w:shd w:val="clear" w:color="auto" w:fill="auto"/>
            <w:noWrap/>
            <w:vAlign w:val="bottom"/>
          </w:tcPr>
          <w:p w14:paraId="5B80708C" w14:textId="77777777" w:rsidR="002F65E5" w:rsidRPr="00043B8D" w:rsidRDefault="002F65E5" w:rsidP="00A8491B">
            <w:pPr>
              <w:jc w:val="left"/>
              <w:rPr>
                <w:rFonts w:cs="Tahoma"/>
                <w:lang w:val="nl-BE" w:eastAsia="nl-BE"/>
              </w:rPr>
            </w:pPr>
          </w:p>
        </w:tc>
        <w:tc>
          <w:tcPr>
            <w:tcW w:w="1727" w:type="dxa"/>
            <w:shd w:val="clear" w:color="auto" w:fill="auto"/>
            <w:noWrap/>
            <w:vAlign w:val="bottom"/>
          </w:tcPr>
          <w:p w14:paraId="696A99AD" w14:textId="77777777" w:rsidR="002F65E5" w:rsidRPr="00043B8D" w:rsidRDefault="002F65E5" w:rsidP="00A8491B">
            <w:pPr>
              <w:jc w:val="right"/>
              <w:rPr>
                <w:rFonts w:cs="Tahoma"/>
                <w:lang w:val="nl-BE" w:eastAsia="nl-BE"/>
              </w:rPr>
            </w:pPr>
          </w:p>
        </w:tc>
      </w:tr>
      <w:tr w:rsidR="002F65E5" w:rsidRPr="00043B8D" w14:paraId="36BF78D8" w14:textId="77777777" w:rsidTr="00392ACE">
        <w:trPr>
          <w:trHeight w:val="270"/>
        </w:trPr>
        <w:tc>
          <w:tcPr>
            <w:tcW w:w="4500" w:type="dxa"/>
            <w:shd w:val="clear" w:color="auto" w:fill="auto"/>
            <w:noWrap/>
            <w:vAlign w:val="bottom"/>
          </w:tcPr>
          <w:p w14:paraId="037A3928" w14:textId="40609D07" w:rsidR="002F65E5" w:rsidRPr="00043B8D" w:rsidRDefault="002F65E5" w:rsidP="002F65E5">
            <w:pPr>
              <w:jc w:val="left"/>
              <w:rPr>
                <w:rFonts w:cs="Tahoma"/>
                <w:lang w:val="nl-BE" w:eastAsia="nl-BE"/>
              </w:rPr>
            </w:pPr>
            <w:r w:rsidRPr="00043B8D">
              <w:rPr>
                <w:rFonts w:cs="Tahoma"/>
                <w:b/>
                <w:bCs/>
                <w:i/>
                <w:iCs/>
                <w:lang w:val="nl-BE" w:eastAsia="nl-BE"/>
              </w:rPr>
              <w:t>Materiële vaste activa - gas</w:t>
            </w:r>
          </w:p>
        </w:tc>
        <w:tc>
          <w:tcPr>
            <w:tcW w:w="1727" w:type="dxa"/>
            <w:shd w:val="clear" w:color="auto" w:fill="auto"/>
            <w:noWrap/>
            <w:vAlign w:val="bottom"/>
          </w:tcPr>
          <w:p w14:paraId="02EF709A" w14:textId="59473C3C" w:rsidR="002F65E5" w:rsidRPr="00043B8D" w:rsidRDefault="002F65E5" w:rsidP="00A8491B">
            <w:pPr>
              <w:jc w:val="right"/>
              <w:rPr>
                <w:rFonts w:cs="Tahoma"/>
                <w:lang w:val="nl-BE" w:eastAsia="nl-BE"/>
              </w:rPr>
            </w:pPr>
            <w:r w:rsidRPr="00043B8D">
              <w:rPr>
                <w:rFonts w:cs="Tahoma"/>
                <w:lang w:val="nl-BE" w:eastAsia="nl-BE"/>
              </w:rPr>
              <w:t> </w:t>
            </w:r>
          </w:p>
        </w:tc>
      </w:tr>
      <w:tr w:rsidR="002F65E5" w:rsidRPr="00043B8D" w14:paraId="13D3F977" w14:textId="77777777" w:rsidTr="00392ACE">
        <w:trPr>
          <w:trHeight w:val="270"/>
        </w:trPr>
        <w:tc>
          <w:tcPr>
            <w:tcW w:w="4500" w:type="dxa"/>
            <w:shd w:val="clear" w:color="auto" w:fill="auto"/>
            <w:noWrap/>
            <w:vAlign w:val="bottom"/>
          </w:tcPr>
          <w:p w14:paraId="3D575CDC" w14:textId="1CDEA37D" w:rsidR="002F65E5" w:rsidRPr="00043B8D" w:rsidRDefault="002F65E5" w:rsidP="00A8491B">
            <w:pPr>
              <w:jc w:val="left"/>
              <w:rPr>
                <w:rFonts w:cs="Tahoma"/>
                <w:lang w:val="nl-BE" w:eastAsia="nl-BE"/>
              </w:rPr>
            </w:pPr>
            <w:r w:rsidRPr="00043B8D">
              <w:rPr>
                <w:rFonts w:cs="Tahoma"/>
                <w:lang w:val="nl-BE" w:eastAsia="nl-BE"/>
              </w:rPr>
              <w:t>Terreinen</w:t>
            </w:r>
          </w:p>
        </w:tc>
        <w:tc>
          <w:tcPr>
            <w:tcW w:w="1727" w:type="dxa"/>
            <w:shd w:val="clear" w:color="auto" w:fill="auto"/>
            <w:noWrap/>
            <w:vAlign w:val="bottom"/>
          </w:tcPr>
          <w:p w14:paraId="5B923A50" w14:textId="2432B626" w:rsidR="002F65E5" w:rsidRPr="00043B8D" w:rsidRDefault="002F65E5" w:rsidP="00A8491B">
            <w:pPr>
              <w:jc w:val="right"/>
              <w:rPr>
                <w:rFonts w:cs="Tahoma"/>
                <w:lang w:val="nl-BE" w:eastAsia="nl-BE"/>
              </w:rPr>
            </w:pPr>
            <w:r w:rsidRPr="00043B8D">
              <w:rPr>
                <w:rFonts w:cs="Tahoma"/>
                <w:lang w:val="nl-BE" w:eastAsia="nl-BE"/>
              </w:rPr>
              <w:t>0%</w:t>
            </w:r>
          </w:p>
        </w:tc>
      </w:tr>
      <w:tr w:rsidR="002F65E5" w:rsidRPr="00043B8D" w14:paraId="4BDDF92F" w14:textId="77777777" w:rsidTr="00392ACE">
        <w:trPr>
          <w:trHeight w:val="270"/>
        </w:trPr>
        <w:tc>
          <w:tcPr>
            <w:tcW w:w="4500" w:type="dxa"/>
            <w:shd w:val="clear" w:color="auto" w:fill="auto"/>
            <w:noWrap/>
            <w:vAlign w:val="bottom"/>
          </w:tcPr>
          <w:p w14:paraId="6A8B7CEC" w14:textId="48828B13" w:rsidR="002F65E5" w:rsidRPr="00043B8D" w:rsidRDefault="002F65E5" w:rsidP="00A8491B">
            <w:pPr>
              <w:jc w:val="left"/>
              <w:rPr>
                <w:rFonts w:cs="Tahoma"/>
                <w:lang w:val="nl-BE" w:eastAsia="nl-BE"/>
              </w:rPr>
            </w:pPr>
            <w:r w:rsidRPr="00043B8D">
              <w:rPr>
                <w:rFonts w:cs="Tahoma"/>
                <w:lang w:val="nl-BE" w:eastAsia="nl-BE"/>
              </w:rPr>
              <w:t>Industriële gebouwen</w:t>
            </w:r>
          </w:p>
        </w:tc>
        <w:tc>
          <w:tcPr>
            <w:tcW w:w="1727" w:type="dxa"/>
            <w:shd w:val="clear" w:color="auto" w:fill="auto"/>
            <w:noWrap/>
            <w:vAlign w:val="bottom"/>
          </w:tcPr>
          <w:p w14:paraId="044450D7" w14:textId="531E2561" w:rsidR="002F65E5" w:rsidRPr="00043B8D" w:rsidRDefault="002F65E5" w:rsidP="00A8491B">
            <w:pPr>
              <w:jc w:val="right"/>
              <w:rPr>
                <w:rFonts w:cs="Tahoma"/>
                <w:lang w:val="nl-BE" w:eastAsia="nl-BE"/>
              </w:rPr>
            </w:pPr>
            <w:r w:rsidRPr="00043B8D">
              <w:rPr>
                <w:rFonts w:cs="Tahoma"/>
                <w:lang w:val="nl-BE" w:eastAsia="nl-BE"/>
              </w:rPr>
              <w:t>3% (33 jaar)</w:t>
            </w:r>
          </w:p>
        </w:tc>
      </w:tr>
      <w:tr w:rsidR="002F65E5" w:rsidRPr="00043B8D" w14:paraId="661CECF0" w14:textId="77777777" w:rsidTr="00392ACE">
        <w:trPr>
          <w:trHeight w:val="270"/>
        </w:trPr>
        <w:tc>
          <w:tcPr>
            <w:tcW w:w="4500" w:type="dxa"/>
            <w:shd w:val="clear" w:color="auto" w:fill="auto"/>
            <w:noWrap/>
            <w:vAlign w:val="bottom"/>
          </w:tcPr>
          <w:p w14:paraId="2C548706" w14:textId="468CCD09" w:rsidR="002F65E5" w:rsidRPr="00043B8D" w:rsidRDefault="002F65E5" w:rsidP="00A8491B">
            <w:pPr>
              <w:jc w:val="left"/>
              <w:rPr>
                <w:rFonts w:cs="Tahoma"/>
                <w:lang w:val="nl-BE" w:eastAsia="nl-BE"/>
              </w:rPr>
            </w:pPr>
            <w:r w:rsidRPr="00043B8D">
              <w:rPr>
                <w:rFonts w:cs="Tahoma"/>
                <w:lang w:val="nl-BE" w:eastAsia="nl-BE"/>
              </w:rPr>
              <w:t>Administratieve gebouwen</w:t>
            </w:r>
          </w:p>
        </w:tc>
        <w:tc>
          <w:tcPr>
            <w:tcW w:w="1727" w:type="dxa"/>
            <w:shd w:val="clear" w:color="auto" w:fill="auto"/>
            <w:noWrap/>
            <w:vAlign w:val="bottom"/>
          </w:tcPr>
          <w:p w14:paraId="41CCBA89" w14:textId="22A2A119" w:rsidR="002F65E5" w:rsidRPr="00043B8D" w:rsidRDefault="002F65E5" w:rsidP="00A8491B">
            <w:pPr>
              <w:jc w:val="right"/>
              <w:rPr>
                <w:rFonts w:cs="Tahoma"/>
                <w:lang w:val="nl-BE" w:eastAsia="nl-BE"/>
              </w:rPr>
            </w:pPr>
            <w:r w:rsidRPr="00043B8D">
              <w:rPr>
                <w:rFonts w:cs="Tahoma"/>
                <w:lang w:val="nl-BE" w:eastAsia="nl-BE"/>
              </w:rPr>
              <w:t>2% (50 jaar)</w:t>
            </w:r>
          </w:p>
        </w:tc>
      </w:tr>
      <w:tr w:rsidR="002F65E5" w:rsidRPr="00043B8D" w14:paraId="2D8AC9C1" w14:textId="77777777" w:rsidTr="00392ACE">
        <w:trPr>
          <w:trHeight w:val="270"/>
        </w:trPr>
        <w:tc>
          <w:tcPr>
            <w:tcW w:w="4500" w:type="dxa"/>
            <w:shd w:val="clear" w:color="auto" w:fill="auto"/>
            <w:noWrap/>
            <w:vAlign w:val="bottom"/>
          </w:tcPr>
          <w:p w14:paraId="671BFB99" w14:textId="0412DD21" w:rsidR="002F65E5" w:rsidRPr="00043B8D" w:rsidRDefault="002F65E5" w:rsidP="00A8491B">
            <w:pPr>
              <w:jc w:val="left"/>
              <w:rPr>
                <w:rFonts w:cs="Tahoma"/>
                <w:lang w:val="nl-BE" w:eastAsia="nl-BE"/>
              </w:rPr>
            </w:pPr>
            <w:r w:rsidRPr="00043B8D">
              <w:rPr>
                <w:rFonts w:cs="Tahoma"/>
                <w:lang w:val="nl-BE" w:eastAsia="nl-BE"/>
              </w:rPr>
              <w:t>Leidingen</w:t>
            </w:r>
          </w:p>
        </w:tc>
        <w:tc>
          <w:tcPr>
            <w:tcW w:w="1727" w:type="dxa"/>
            <w:shd w:val="clear" w:color="auto" w:fill="auto"/>
            <w:noWrap/>
            <w:vAlign w:val="bottom"/>
          </w:tcPr>
          <w:p w14:paraId="37901538" w14:textId="43138CEE" w:rsidR="002F65E5" w:rsidRPr="00043B8D" w:rsidRDefault="002F65E5" w:rsidP="00A8491B">
            <w:pPr>
              <w:jc w:val="right"/>
              <w:rPr>
                <w:rFonts w:cs="Tahoma"/>
                <w:lang w:val="nl-BE" w:eastAsia="nl-BE"/>
              </w:rPr>
            </w:pPr>
            <w:r w:rsidRPr="00043B8D">
              <w:rPr>
                <w:rFonts w:cs="Tahoma"/>
                <w:lang w:val="nl-BE" w:eastAsia="nl-BE"/>
              </w:rPr>
              <w:t>2% (50 jaar)</w:t>
            </w:r>
          </w:p>
        </w:tc>
      </w:tr>
      <w:tr w:rsidR="002F65E5" w:rsidRPr="00043B8D" w14:paraId="2DFD025C" w14:textId="77777777" w:rsidTr="00392ACE">
        <w:trPr>
          <w:trHeight w:val="270"/>
        </w:trPr>
        <w:tc>
          <w:tcPr>
            <w:tcW w:w="4500" w:type="dxa"/>
            <w:shd w:val="clear" w:color="auto" w:fill="auto"/>
            <w:noWrap/>
            <w:vAlign w:val="bottom"/>
          </w:tcPr>
          <w:p w14:paraId="4F3F0ECE" w14:textId="108652FD" w:rsidR="002F65E5" w:rsidRPr="00043B8D" w:rsidRDefault="002F65E5" w:rsidP="00A8491B">
            <w:pPr>
              <w:jc w:val="left"/>
              <w:rPr>
                <w:rFonts w:cs="Tahoma"/>
                <w:lang w:val="nl-BE" w:eastAsia="nl-BE"/>
              </w:rPr>
            </w:pPr>
            <w:r w:rsidRPr="00043B8D">
              <w:rPr>
                <w:rFonts w:cs="Tahoma"/>
                <w:lang w:val="nl-BE" w:eastAsia="nl-BE"/>
              </w:rPr>
              <w:t>Cabines/Stations</w:t>
            </w:r>
          </w:p>
        </w:tc>
        <w:tc>
          <w:tcPr>
            <w:tcW w:w="1727" w:type="dxa"/>
            <w:shd w:val="clear" w:color="auto" w:fill="auto"/>
            <w:noWrap/>
            <w:vAlign w:val="bottom"/>
          </w:tcPr>
          <w:p w14:paraId="4127C6A8" w14:textId="472E4046" w:rsidR="002F65E5" w:rsidRPr="00043B8D" w:rsidRDefault="002F65E5" w:rsidP="00A8491B">
            <w:pPr>
              <w:jc w:val="right"/>
              <w:rPr>
                <w:rFonts w:cs="Tahoma"/>
                <w:lang w:val="nl-BE" w:eastAsia="nl-BE"/>
              </w:rPr>
            </w:pPr>
            <w:r w:rsidRPr="00043B8D">
              <w:rPr>
                <w:rFonts w:cs="Tahoma"/>
                <w:lang w:val="nl-BE" w:eastAsia="nl-BE"/>
              </w:rPr>
              <w:t>3% (33 jaar)</w:t>
            </w:r>
          </w:p>
        </w:tc>
      </w:tr>
      <w:tr w:rsidR="002F65E5" w:rsidRPr="00043B8D" w14:paraId="2AD776B1" w14:textId="77777777" w:rsidTr="00392ACE">
        <w:trPr>
          <w:trHeight w:val="270"/>
        </w:trPr>
        <w:tc>
          <w:tcPr>
            <w:tcW w:w="4500" w:type="dxa"/>
            <w:shd w:val="clear" w:color="auto" w:fill="auto"/>
            <w:noWrap/>
            <w:vAlign w:val="bottom"/>
          </w:tcPr>
          <w:p w14:paraId="74E1A073" w14:textId="5464A401" w:rsidR="002F65E5" w:rsidRPr="00043B8D" w:rsidRDefault="002F65E5" w:rsidP="00A8491B">
            <w:pPr>
              <w:jc w:val="left"/>
              <w:rPr>
                <w:rFonts w:cs="Tahoma"/>
                <w:lang w:val="nl-BE" w:eastAsia="nl-BE"/>
              </w:rPr>
            </w:pPr>
            <w:r w:rsidRPr="00043B8D">
              <w:rPr>
                <w:rFonts w:cs="Tahoma"/>
                <w:lang w:val="nl-BE" w:eastAsia="nl-BE"/>
              </w:rPr>
              <w:t>Hergebruikte uitrusting cabines</w:t>
            </w:r>
          </w:p>
        </w:tc>
        <w:tc>
          <w:tcPr>
            <w:tcW w:w="1727" w:type="dxa"/>
            <w:shd w:val="clear" w:color="auto" w:fill="auto"/>
            <w:noWrap/>
            <w:vAlign w:val="bottom"/>
          </w:tcPr>
          <w:p w14:paraId="0ED5602E" w14:textId="33F4ADC1" w:rsidR="002F65E5" w:rsidRPr="00043B8D" w:rsidRDefault="002F65E5" w:rsidP="00A8491B">
            <w:pPr>
              <w:jc w:val="right"/>
              <w:rPr>
                <w:rFonts w:cs="Tahoma"/>
                <w:lang w:val="nl-BE" w:eastAsia="nl-BE"/>
              </w:rPr>
            </w:pPr>
            <w:r w:rsidRPr="00043B8D">
              <w:rPr>
                <w:rFonts w:cs="Tahoma"/>
                <w:lang w:val="nl-BE" w:eastAsia="nl-BE"/>
              </w:rPr>
              <w:t>6,67% (15 jaar)</w:t>
            </w:r>
          </w:p>
        </w:tc>
      </w:tr>
      <w:tr w:rsidR="002F65E5" w:rsidRPr="00043B8D" w14:paraId="7BBC3F4F" w14:textId="77777777" w:rsidTr="00392ACE">
        <w:trPr>
          <w:trHeight w:val="270"/>
        </w:trPr>
        <w:tc>
          <w:tcPr>
            <w:tcW w:w="4500" w:type="dxa"/>
            <w:shd w:val="clear" w:color="auto" w:fill="auto"/>
            <w:noWrap/>
            <w:vAlign w:val="bottom"/>
          </w:tcPr>
          <w:p w14:paraId="0FE1D07C" w14:textId="4CBA9476" w:rsidR="002F65E5" w:rsidRPr="00043B8D" w:rsidRDefault="002F65E5" w:rsidP="00A8491B">
            <w:pPr>
              <w:jc w:val="left"/>
              <w:rPr>
                <w:rFonts w:cs="Tahoma"/>
                <w:lang w:val="nl-BE" w:eastAsia="nl-BE"/>
              </w:rPr>
            </w:pPr>
            <w:r w:rsidRPr="00043B8D">
              <w:rPr>
                <w:rFonts w:cs="Tahoma"/>
                <w:lang w:val="nl-BE" w:eastAsia="nl-BE"/>
              </w:rPr>
              <w:t>Aansluitingen</w:t>
            </w:r>
          </w:p>
        </w:tc>
        <w:tc>
          <w:tcPr>
            <w:tcW w:w="1727" w:type="dxa"/>
            <w:shd w:val="clear" w:color="auto" w:fill="auto"/>
            <w:noWrap/>
            <w:vAlign w:val="bottom"/>
          </w:tcPr>
          <w:p w14:paraId="6507EA81" w14:textId="2CDE5A6B" w:rsidR="002F65E5" w:rsidRPr="00043B8D" w:rsidRDefault="002F65E5" w:rsidP="00A8491B">
            <w:pPr>
              <w:jc w:val="right"/>
              <w:rPr>
                <w:rFonts w:cs="Tahoma"/>
                <w:lang w:val="nl-BE" w:eastAsia="nl-BE"/>
              </w:rPr>
            </w:pPr>
            <w:r w:rsidRPr="00043B8D">
              <w:rPr>
                <w:rFonts w:cs="Tahoma"/>
                <w:lang w:val="nl-BE" w:eastAsia="nl-BE"/>
              </w:rPr>
              <w:t>3% (33 jaar)</w:t>
            </w:r>
          </w:p>
        </w:tc>
      </w:tr>
      <w:tr w:rsidR="002F65E5" w:rsidRPr="00043B8D" w14:paraId="0428EC80" w14:textId="77777777" w:rsidTr="00392ACE">
        <w:trPr>
          <w:trHeight w:val="270"/>
        </w:trPr>
        <w:tc>
          <w:tcPr>
            <w:tcW w:w="4500" w:type="dxa"/>
            <w:shd w:val="clear" w:color="auto" w:fill="auto"/>
            <w:noWrap/>
            <w:vAlign w:val="bottom"/>
          </w:tcPr>
          <w:p w14:paraId="5E66C699" w14:textId="693F95C2" w:rsidR="002F65E5" w:rsidRPr="00043B8D" w:rsidRDefault="002F65E5" w:rsidP="00A8491B">
            <w:pPr>
              <w:jc w:val="left"/>
              <w:rPr>
                <w:rFonts w:cs="Tahoma"/>
                <w:lang w:val="nl-BE" w:eastAsia="nl-BE"/>
              </w:rPr>
            </w:pPr>
            <w:r w:rsidRPr="00043B8D">
              <w:rPr>
                <w:rFonts w:cs="Tahoma"/>
                <w:lang w:val="nl-BE" w:eastAsia="nl-BE"/>
              </w:rPr>
              <w:t>Meetapparatuur</w:t>
            </w:r>
          </w:p>
        </w:tc>
        <w:tc>
          <w:tcPr>
            <w:tcW w:w="1727" w:type="dxa"/>
            <w:shd w:val="clear" w:color="auto" w:fill="auto"/>
            <w:noWrap/>
            <w:vAlign w:val="bottom"/>
          </w:tcPr>
          <w:p w14:paraId="27DDD45E" w14:textId="476119FA" w:rsidR="002F65E5" w:rsidRPr="00043B8D" w:rsidRDefault="002F65E5" w:rsidP="00A8491B">
            <w:pPr>
              <w:jc w:val="right"/>
              <w:rPr>
                <w:rFonts w:cs="Tahoma"/>
                <w:lang w:val="nl-BE" w:eastAsia="nl-BE"/>
              </w:rPr>
            </w:pPr>
            <w:r w:rsidRPr="00043B8D">
              <w:rPr>
                <w:rFonts w:cs="Tahoma"/>
                <w:lang w:val="nl-BE" w:eastAsia="nl-BE"/>
              </w:rPr>
              <w:t>3% (33 jaar)</w:t>
            </w:r>
          </w:p>
        </w:tc>
      </w:tr>
      <w:tr w:rsidR="002F65E5" w:rsidRPr="00043B8D" w14:paraId="15777F96" w14:textId="77777777" w:rsidTr="00392ACE">
        <w:trPr>
          <w:trHeight w:val="270"/>
        </w:trPr>
        <w:tc>
          <w:tcPr>
            <w:tcW w:w="4500" w:type="dxa"/>
            <w:shd w:val="clear" w:color="auto" w:fill="auto"/>
            <w:noWrap/>
            <w:vAlign w:val="bottom"/>
          </w:tcPr>
          <w:p w14:paraId="154F5345" w14:textId="732E783D" w:rsidR="002F65E5" w:rsidRPr="00043B8D" w:rsidRDefault="002F65E5" w:rsidP="00A8491B">
            <w:pPr>
              <w:jc w:val="left"/>
              <w:rPr>
                <w:rFonts w:cs="Tahoma"/>
                <w:lang w:val="nl-BE" w:eastAsia="nl-BE"/>
              </w:rPr>
            </w:pPr>
            <w:r w:rsidRPr="00043B8D">
              <w:rPr>
                <w:rFonts w:cs="Tahoma"/>
                <w:lang w:val="nl-BE" w:eastAsia="nl-BE"/>
              </w:rPr>
              <w:t>Teletransmissie en optische vezels</w:t>
            </w:r>
          </w:p>
        </w:tc>
        <w:tc>
          <w:tcPr>
            <w:tcW w:w="1727" w:type="dxa"/>
            <w:shd w:val="clear" w:color="auto" w:fill="auto"/>
            <w:noWrap/>
            <w:vAlign w:val="bottom"/>
          </w:tcPr>
          <w:p w14:paraId="1F3A2A5A" w14:textId="58C7B5FE" w:rsidR="002F65E5" w:rsidRPr="00043B8D" w:rsidRDefault="002F65E5" w:rsidP="00A8491B">
            <w:pPr>
              <w:jc w:val="right"/>
              <w:rPr>
                <w:rFonts w:cs="Tahoma"/>
                <w:lang w:val="nl-BE" w:eastAsia="nl-BE"/>
              </w:rPr>
            </w:pPr>
            <w:r w:rsidRPr="00043B8D">
              <w:rPr>
                <w:rFonts w:cs="Tahoma"/>
                <w:lang w:val="nl-BE" w:eastAsia="nl-BE"/>
              </w:rPr>
              <w:t>10% (10 jaar)</w:t>
            </w:r>
          </w:p>
        </w:tc>
      </w:tr>
      <w:tr w:rsidR="002F65E5" w:rsidRPr="00043B8D" w14:paraId="5A31BFFE" w14:textId="77777777" w:rsidTr="00392ACE">
        <w:trPr>
          <w:trHeight w:val="270"/>
        </w:trPr>
        <w:tc>
          <w:tcPr>
            <w:tcW w:w="4500" w:type="dxa"/>
            <w:shd w:val="clear" w:color="auto" w:fill="auto"/>
            <w:noWrap/>
            <w:vAlign w:val="bottom"/>
          </w:tcPr>
          <w:p w14:paraId="0B54EAC2" w14:textId="009DB89B" w:rsidR="002F65E5" w:rsidRPr="00043B8D" w:rsidRDefault="002F65E5" w:rsidP="00A8491B">
            <w:pPr>
              <w:jc w:val="left"/>
              <w:rPr>
                <w:rFonts w:cs="Tahoma"/>
                <w:lang w:val="nl-BE" w:eastAsia="nl-BE"/>
              </w:rPr>
            </w:pPr>
            <w:r w:rsidRPr="00043B8D">
              <w:rPr>
                <w:rFonts w:cs="Tahoma"/>
                <w:lang w:val="nl-BE" w:eastAsia="nl-BE"/>
              </w:rPr>
              <w:t>Gereedschap en meubilair</w:t>
            </w:r>
          </w:p>
        </w:tc>
        <w:tc>
          <w:tcPr>
            <w:tcW w:w="1727" w:type="dxa"/>
            <w:shd w:val="clear" w:color="auto" w:fill="auto"/>
            <w:noWrap/>
            <w:vAlign w:val="bottom"/>
          </w:tcPr>
          <w:p w14:paraId="53BECFAB" w14:textId="3DBFB1EE" w:rsidR="002F65E5" w:rsidRPr="00043B8D" w:rsidRDefault="002F65E5" w:rsidP="00A8491B">
            <w:pPr>
              <w:jc w:val="right"/>
              <w:rPr>
                <w:rFonts w:cs="Tahoma"/>
                <w:lang w:val="nl-BE" w:eastAsia="nl-BE"/>
              </w:rPr>
            </w:pPr>
            <w:r w:rsidRPr="00043B8D">
              <w:rPr>
                <w:rFonts w:cs="Tahoma"/>
                <w:lang w:val="nl-BE" w:eastAsia="nl-BE"/>
              </w:rPr>
              <w:t>10% (10 jaar)</w:t>
            </w:r>
          </w:p>
        </w:tc>
      </w:tr>
      <w:tr w:rsidR="002F65E5" w:rsidRPr="00043B8D" w14:paraId="33081EFC" w14:textId="77777777" w:rsidTr="00392ACE">
        <w:trPr>
          <w:trHeight w:val="270"/>
        </w:trPr>
        <w:tc>
          <w:tcPr>
            <w:tcW w:w="4500" w:type="dxa"/>
            <w:shd w:val="clear" w:color="auto" w:fill="auto"/>
            <w:noWrap/>
            <w:vAlign w:val="bottom"/>
          </w:tcPr>
          <w:p w14:paraId="44BF5FE8" w14:textId="7E19C3F6" w:rsidR="002F65E5" w:rsidRPr="00043B8D" w:rsidRDefault="002F65E5" w:rsidP="00A8491B">
            <w:pPr>
              <w:jc w:val="left"/>
              <w:rPr>
                <w:rFonts w:cs="Tahoma"/>
                <w:lang w:val="nl-BE" w:eastAsia="nl-BE"/>
              </w:rPr>
            </w:pPr>
            <w:r w:rsidRPr="00043B8D">
              <w:rPr>
                <w:rFonts w:cs="Tahoma"/>
                <w:lang w:val="nl-BE" w:eastAsia="nl-BE"/>
              </w:rPr>
              <w:t>Rollend materieel</w:t>
            </w:r>
          </w:p>
        </w:tc>
        <w:tc>
          <w:tcPr>
            <w:tcW w:w="1727" w:type="dxa"/>
            <w:shd w:val="clear" w:color="auto" w:fill="auto"/>
            <w:noWrap/>
            <w:vAlign w:val="bottom"/>
          </w:tcPr>
          <w:p w14:paraId="7CCF2D41" w14:textId="3D7FAB21" w:rsidR="002F65E5" w:rsidRPr="00043B8D" w:rsidRDefault="002F65E5" w:rsidP="00A8491B">
            <w:pPr>
              <w:jc w:val="right"/>
              <w:rPr>
                <w:rFonts w:cs="Tahoma"/>
                <w:lang w:val="nl-BE" w:eastAsia="nl-BE"/>
              </w:rPr>
            </w:pPr>
            <w:r w:rsidRPr="00043B8D">
              <w:rPr>
                <w:rFonts w:cs="Tahoma"/>
                <w:lang w:val="nl-BE" w:eastAsia="nl-BE"/>
              </w:rPr>
              <w:t>20% (5 jaar)</w:t>
            </w:r>
          </w:p>
        </w:tc>
      </w:tr>
      <w:tr w:rsidR="002F65E5" w:rsidRPr="00043B8D" w14:paraId="7335ED2A" w14:textId="77777777" w:rsidTr="00392ACE">
        <w:trPr>
          <w:trHeight w:val="270"/>
        </w:trPr>
        <w:tc>
          <w:tcPr>
            <w:tcW w:w="4500" w:type="dxa"/>
            <w:shd w:val="clear" w:color="auto" w:fill="auto"/>
            <w:noWrap/>
            <w:vAlign w:val="bottom"/>
          </w:tcPr>
          <w:p w14:paraId="28EA1BC9" w14:textId="65D4E714" w:rsidR="002F65E5" w:rsidRPr="00043B8D" w:rsidRDefault="002F65E5" w:rsidP="00A8491B">
            <w:pPr>
              <w:jc w:val="left"/>
              <w:rPr>
                <w:rFonts w:cs="Tahoma"/>
                <w:lang w:val="nl-BE" w:eastAsia="nl-BE"/>
              </w:rPr>
            </w:pPr>
            <w:r w:rsidRPr="00043B8D">
              <w:rPr>
                <w:rFonts w:cs="Tahoma"/>
                <w:lang w:val="nl-BE" w:eastAsia="nl-BE"/>
              </w:rPr>
              <w:t>CAB, telebediening, uitrusting dispatching</w:t>
            </w:r>
          </w:p>
        </w:tc>
        <w:tc>
          <w:tcPr>
            <w:tcW w:w="1727" w:type="dxa"/>
            <w:shd w:val="clear" w:color="auto" w:fill="auto"/>
            <w:noWrap/>
            <w:vAlign w:val="bottom"/>
          </w:tcPr>
          <w:p w14:paraId="3838B99F" w14:textId="33B1DF28" w:rsidR="002F65E5" w:rsidRPr="00043B8D" w:rsidRDefault="002F65E5" w:rsidP="00A8491B">
            <w:pPr>
              <w:jc w:val="right"/>
              <w:rPr>
                <w:rFonts w:cs="Tahoma"/>
                <w:lang w:val="nl-BE" w:eastAsia="nl-BE"/>
              </w:rPr>
            </w:pPr>
            <w:r w:rsidRPr="00043B8D">
              <w:rPr>
                <w:rFonts w:cs="Tahoma"/>
                <w:lang w:val="nl-BE" w:eastAsia="nl-BE"/>
              </w:rPr>
              <w:t>10% (10 jaar)</w:t>
            </w:r>
          </w:p>
        </w:tc>
      </w:tr>
      <w:tr w:rsidR="002F65E5" w:rsidRPr="00043B8D" w14:paraId="093969A1" w14:textId="77777777" w:rsidTr="00392ACE">
        <w:trPr>
          <w:trHeight w:val="270"/>
        </w:trPr>
        <w:tc>
          <w:tcPr>
            <w:tcW w:w="4500" w:type="dxa"/>
            <w:shd w:val="clear" w:color="auto" w:fill="auto"/>
            <w:noWrap/>
            <w:vAlign w:val="bottom"/>
          </w:tcPr>
          <w:p w14:paraId="7D3C0524" w14:textId="49CAC2CB" w:rsidR="002F65E5" w:rsidRPr="00043B8D" w:rsidRDefault="002F65E5" w:rsidP="00A8491B">
            <w:pPr>
              <w:jc w:val="left"/>
              <w:rPr>
                <w:rFonts w:cs="Tahoma"/>
                <w:lang w:val="nl-BE" w:eastAsia="nl-BE"/>
              </w:rPr>
            </w:pPr>
            <w:r w:rsidRPr="00043B8D">
              <w:rPr>
                <w:rFonts w:cs="Tahoma"/>
                <w:lang w:val="nl-BE" w:eastAsia="nl-BE"/>
              </w:rPr>
              <w:t>Labo uitrusting</w:t>
            </w:r>
          </w:p>
        </w:tc>
        <w:tc>
          <w:tcPr>
            <w:tcW w:w="1727" w:type="dxa"/>
            <w:shd w:val="clear" w:color="auto" w:fill="auto"/>
            <w:noWrap/>
            <w:vAlign w:val="bottom"/>
          </w:tcPr>
          <w:p w14:paraId="029E2D38" w14:textId="029FC79B" w:rsidR="002F65E5" w:rsidRPr="00043B8D" w:rsidRDefault="002F65E5" w:rsidP="00A8491B">
            <w:pPr>
              <w:jc w:val="right"/>
              <w:rPr>
                <w:rFonts w:cs="Tahoma"/>
                <w:lang w:val="nl-BE" w:eastAsia="nl-BE"/>
              </w:rPr>
            </w:pPr>
            <w:r w:rsidRPr="00043B8D">
              <w:rPr>
                <w:rFonts w:cs="Tahoma"/>
                <w:lang w:val="nl-BE" w:eastAsia="nl-BE"/>
              </w:rPr>
              <w:t>10% (10 jaar)</w:t>
            </w:r>
          </w:p>
        </w:tc>
      </w:tr>
      <w:tr w:rsidR="002F65E5" w:rsidRPr="00043B8D" w14:paraId="481398B3" w14:textId="77777777" w:rsidTr="00392ACE">
        <w:trPr>
          <w:trHeight w:val="270"/>
        </w:trPr>
        <w:tc>
          <w:tcPr>
            <w:tcW w:w="4500" w:type="dxa"/>
            <w:shd w:val="clear" w:color="auto" w:fill="auto"/>
            <w:noWrap/>
            <w:vAlign w:val="bottom"/>
          </w:tcPr>
          <w:p w14:paraId="005A88AD" w14:textId="46B94153" w:rsidR="002F65E5" w:rsidRPr="00043B8D" w:rsidRDefault="002F65E5" w:rsidP="00A8491B">
            <w:pPr>
              <w:jc w:val="left"/>
              <w:rPr>
                <w:rFonts w:cs="Tahoma"/>
                <w:lang w:val="nl-BE" w:eastAsia="nl-BE"/>
              </w:rPr>
            </w:pPr>
            <w:r w:rsidRPr="00043B8D">
              <w:rPr>
                <w:rFonts w:cs="Tahoma"/>
                <w:lang w:val="nl-BE" w:eastAsia="nl-BE"/>
              </w:rPr>
              <w:t>Administratieve uitrusting (informatica en kantoor)</w:t>
            </w:r>
          </w:p>
        </w:tc>
        <w:tc>
          <w:tcPr>
            <w:tcW w:w="1727" w:type="dxa"/>
            <w:shd w:val="clear" w:color="auto" w:fill="auto"/>
            <w:noWrap/>
            <w:vAlign w:val="bottom"/>
          </w:tcPr>
          <w:p w14:paraId="2C39FFB5" w14:textId="4C0BF9F3" w:rsidR="002F65E5" w:rsidRPr="00043B8D" w:rsidRDefault="002F65E5" w:rsidP="00A8491B">
            <w:pPr>
              <w:jc w:val="right"/>
              <w:rPr>
                <w:rFonts w:cs="Tahoma"/>
                <w:lang w:val="nl-BE" w:eastAsia="nl-BE"/>
              </w:rPr>
            </w:pPr>
            <w:r w:rsidRPr="00043B8D">
              <w:rPr>
                <w:rFonts w:cs="Tahoma"/>
                <w:lang w:val="nl-BE" w:eastAsia="nl-BE"/>
              </w:rPr>
              <w:t>33% (3 jaar)</w:t>
            </w:r>
          </w:p>
        </w:tc>
      </w:tr>
      <w:tr w:rsidR="002F65E5" w:rsidRPr="00043B8D" w14:paraId="49AF7D6F" w14:textId="77777777" w:rsidTr="00392ACE">
        <w:trPr>
          <w:trHeight w:val="270"/>
        </w:trPr>
        <w:tc>
          <w:tcPr>
            <w:tcW w:w="4500" w:type="dxa"/>
            <w:shd w:val="clear" w:color="auto" w:fill="auto"/>
            <w:noWrap/>
            <w:vAlign w:val="bottom"/>
          </w:tcPr>
          <w:p w14:paraId="4B7D2B08" w14:textId="0280C63C" w:rsidR="002F65E5" w:rsidRPr="00043B8D" w:rsidRDefault="002F65E5" w:rsidP="00A8491B">
            <w:pPr>
              <w:jc w:val="left"/>
              <w:rPr>
                <w:rFonts w:cs="Tahoma"/>
                <w:lang w:val="nl-BE" w:eastAsia="nl-BE"/>
              </w:rPr>
            </w:pPr>
            <w:r w:rsidRPr="00043B8D">
              <w:rPr>
                <w:rFonts w:cs="Tahoma"/>
                <w:lang w:val="nl-BE" w:eastAsia="nl-BE"/>
              </w:rPr>
              <w:t>Telegelezen meters</w:t>
            </w:r>
          </w:p>
        </w:tc>
        <w:tc>
          <w:tcPr>
            <w:tcW w:w="1727" w:type="dxa"/>
            <w:shd w:val="clear" w:color="auto" w:fill="auto"/>
            <w:noWrap/>
            <w:vAlign w:val="bottom"/>
          </w:tcPr>
          <w:p w14:paraId="1BE8B68A" w14:textId="21418EF1" w:rsidR="002F65E5" w:rsidRPr="00043B8D" w:rsidRDefault="002F65E5" w:rsidP="00A8491B">
            <w:pPr>
              <w:jc w:val="right"/>
              <w:rPr>
                <w:rFonts w:cs="Tahoma"/>
                <w:lang w:val="nl-BE" w:eastAsia="nl-BE"/>
              </w:rPr>
            </w:pPr>
            <w:r w:rsidRPr="00043B8D">
              <w:rPr>
                <w:rFonts w:cs="Tahoma"/>
                <w:lang w:val="nl-BE" w:eastAsia="nl-BE"/>
              </w:rPr>
              <w:t>10% (10 jaar)</w:t>
            </w:r>
          </w:p>
        </w:tc>
      </w:tr>
      <w:tr w:rsidR="002F65E5" w:rsidRPr="00043B8D" w14:paraId="1AFE1425" w14:textId="77777777" w:rsidTr="00392ACE">
        <w:trPr>
          <w:trHeight w:val="270"/>
        </w:trPr>
        <w:tc>
          <w:tcPr>
            <w:tcW w:w="4500" w:type="dxa"/>
            <w:shd w:val="clear" w:color="auto" w:fill="auto"/>
            <w:noWrap/>
            <w:vAlign w:val="bottom"/>
          </w:tcPr>
          <w:p w14:paraId="003B83C5" w14:textId="6B156E4B" w:rsidR="002F65E5" w:rsidRPr="00043B8D" w:rsidRDefault="002F65E5" w:rsidP="00A8491B">
            <w:pPr>
              <w:jc w:val="left"/>
              <w:rPr>
                <w:rFonts w:cs="Tahoma"/>
                <w:lang w:val="nl-BE" w:eastAsia="nl-BE"/>
              </w:rPr>
            </w:pPr>
            <w:r w:rsidRPr="00043B8D">
              <w:rPr>
                <w:rFonts w:cs="Tahoma"/>
                <w:lang w:val="nl-BE" w:eastAsia="nl-BE"/>
              </w:rPr>
              <w:t>Budgetmeters</w:t>
            </w:r>
          </w:p>
        </w:tc>
        <w:tc>
          <w:tcPr>
            <w:tcW w:w="1727" w:type="dxa"/>
            <w:shd w:val="clear" w:color="auto" w:fill="auto"/>
            <w:noWrap/>
            <w:vAlign w:val="bottom"/>
          </w:tcPr>
          <w:p w14:paraId="063ADB5C" w14:textId="303533AD" w:rsidR="002F65E5" w:rsidRPr="00043B8D" w:rsidRDefault="002F65E5" w:rsidP="00A8491B">
            <w:pPr>
              <w:jc w:val="right"/>
              <w:rPr>
                <w:rFonts w:cs="Tahoma"/>
                <w:lang w:val="nl-BE" w:eastAsia="nl-BE"/>
              </w:rPr>
            </w:pPr>
            <w:r w:rsidRPr="00043B8D">
              <w:rPr>
                <w:rFonts w:cs="Tahoma"/>
                <w:lang w:val="nl-BE" w:eastAsia="nl-BE"/>
              </w:rPr>
              <w:t>10% (10 jaar)</w:t>
            </w:r>
          </w:p>
        </w:tc>
      </w:tr>
      <w:tr w:rsidR="00BD6283" w:rsidRPr="00043B8D" w14:paraId="500F4BD5" w14:textId="77777777" w:rsidTr="002F65E5">
        <w:trPr>
          <w:trHeight w:val="270"/>
        </w:trPr>
        <w:tc>
          <w:tcPr>
            <w:tcW w:w="4500" w:type="dxa"/>
            <w:shd w:val="clear" w:color="auto" w:fill="auto"/>
            <w:noWrap/>
            <w:vAlign w:val="bottom"/>
          </w:tcPr>
          <w:p w14:paraId="0F5A9649" w14:textId="1747F615" w:rsidR="00BD6283" w:rsidRPr="00043B8D" w:rsidRDefault="00266F25" w:rsidP="00A8491B">
            <w:pPr>
              <w:jc w:val="left"/>
              <w:rPr>
                <w:rFonts w:cs="Tahoma"/>
                <w:lang w:val="nl-BE" w:eastAsia="nl-BE"/>
              </w:rPr>
            </w:pPr>
            <w:r w:rsidRPr="00043B8D">
              <w:rPr>
                <w:rFonts w:cs="Tahoma"/>
                <w:lang w:val="nl-BE" w:eastAsia="nl-BE"/>
              </w:rPr>
              <w:t>Unieke operator</w:t>
            </w:r>
          </w:p>
        </w:tc>
        <w:tc>
          <w:tcPr>
            <w:tcW w:w="1727" w:type="dxa"/>
            <w:shd w:val="clear" w:color="auto" w:fill="auto"/>
            <w:noWrap/>
            <w:vAlign w:val="bottom"/>
          </w:tcPr>
          <w:p w14:paraId="214430C2" w14:textId="266DD449" w:rsidR="00BD6283" w:rsidRPr="00043B8D" w:rsidRDefault="00BD6283" w:rsidP="00A8491B">
            <w:pPr>
              <w:jc w:val="right"/>
              <w:rPr>
                <w:rFonts w:cs="Tahoma"/>
                <w:lang w:val="nl-BE" w:eastAsia="nl-BE"/>
              </w:rPr>
            </w:pPr>
            <w:r w:rsidRPr="00043B8D">
              <w:rPr>
                <w:rFonts w:cs="Tahoma"/>
                <w:lang w:val="nl-BE" w:eastAsia="nl-BE"/>
              </w:rPr>
              <w:t>10% (10 jaar)</w:t>
            </w:r>
          </w:p>
        </w:tc>
      </w:tr>
      <w:tr w:rsidR="00BD6283" w:rsidRPr="00043B8D" w14:paraId="052EDF43" w14:textId="77777777" w:rsidTr="002F65E5">
        <w:trPr>
          <w:trHeight w:val="270"/>
        </w:trPr>
        <w:tc>
          <w:tcPr>
            <w:tcW w:w="4500" w:type="dxa"/>
            <w:shd w:val="clear" w:color="auto" w:fill="auto"/>
            <w:noWrap/>
            <w:vAlign w:val="bottom"/>
          </w:tcPr>
          <w:p w14:paraId="09881546" w14:textId="7237CDDA" w:rsidR="00BD6283" w:rsidRPr="00043B8D" w:rsidRDefault="00BD6283" w:rsidP="00A8491B">
            <w:pPr>
              <w:jc w:val="left"/>
              <w:rPr>
                <w:rFonts w:cs="Tahoma"/>
                <w:lang w:val="nl-BE" w:eastAsia="nl-BE"/>
              </w:rPr>
            </w:pPr>
            <w:r w:rsidRPr="00043B8D">
              <w:rPr>
                <w:rFonts w:cs="Tahoma"/>
                <w:lang w:val="nl-BE" w:eastAsia="nl-BE"/>
              </w:rPr>
              <w:t>Project slimme meters</w:t>
            </w:r>
          </w:p>
        </w:tc>
        <w:tc>
          <w:tcPr>
            <w:tcW w:w="1727" w:type="dxa"/>
            <w:shd w:val="clear" w:color="auto" w:fill="auto"/>
            <w:noWrap/>
            <w:vAlign w:val="bottom"/>
          </w:tcPr>
          <w:p w14:paraId="44A4E696" w14:textId="61E10D18" w:rsidR="00BD6283" w:rsidRPr="00043B8D" w:rsidRDefault="00BD6283" w:rsidP="00A8491B">
            <w:pPr>
              <w:jc w:val="right"/>
              <w:rPr>
                <w:rFonts w:cs="Tahoma"/>
                <w:lang w:val="nl-BE" w:eastAsia="nl-BE"/>
              </w:rPr>
            </w:pPr>
            <w:r w:rsidRPr="00043B8D">
              <w:rPr>
                <w:rFonts w:cs="Tahoma"/>
                <w:lang w:val="nl-BE" w:eastAsia="nl-BE"/>
              </w:rPr>
              <w:t>20% (5 jaar)</w:t>
            </w:r>
          </w:p>
        </w:tc>
      </w:tr>
      <w:tr w:rsidR="003E160A" w:rsidRPr="00043B8D" w14:paraId="60EA8139" w14:textId="77777777" w:rsidTr="002F65E5">
        <w:trPr>
          <w:trHeight w:val="270"/>
        </w:trPr>
        <w:tc>
          <w:tcPr>
            <w:tcW w:w="4500" w:type="dxa"/>
            <w:shd w:val="clear" w:color="auto" w:fill="auto"/>
            <w:noWrap/>
            <w:vAlign w:val="bottom"/>
          </w:tcPr>
          <w:p w14:paraId="47AB1888" w14:textId="1F6C5A5A" w:rsidR="003E160A" w:rsidRPr="00043B8D" w:rsidRDefault="003E160A" w:rsidP="00A8491B">
            <w:pPr>
              <w:jc w:val="left"/>
              <w:rPr>
                <w:rFonts w:cs="Tahoma"/>
                <w:lang w:val="nl-BE" w:eastAsia="nl-BE"/>
              </w:rPr>
            </w:pPr>
            <w:r w:rsidRPr="00043B8D">
              <w:rPr>
                <w:rFonts w:cs="Tahoma"/>
                <w:lang w:val="nl-BE" w:eastAsia="nl-BE"/>
              </w:rPr>
              <w:t>Activa in aanbouw</w:t>
            </w:r>
          </w:p>
        </w:tc>
        <w:tc>
          <w:tcPr>
            <w:tcW w:w="1727" w:type="dxa"/>
            <w:shd w:val="clear" w:color="auto" w:fill="auto"/>
            <w:noWrap/>
            <w:vAlign w:val="bottom"/>
          </w:tcPr>
          <w:p w14:paraId="09D8E589" w14:textId="1AD2DEBA" w:rsidR="003E160A" w:rsidRPr="00043B8D" w:rsidRDefault="003E160A" w:rsidP="00A8491B">
            <w:pPr>
              <w:jc w:val="right"/>
              <w:rPr>
                <w:rFonts w:cs="Tahoma"/>
                <w:lang w:val="nl-BE" w:eastAsia="nl-BE"/>
              </w:rPr>
            </w:pPr>
            <w:r w:rsidRPr="00043B8D">
              <w:rPr>
                <w:rFonts w:cs="Tahoma"/>
                <w:lang w:val="nl-BE" w:eastAsia="nl-BE"/>
              </w:rPr>
              <w:t>0%</w:t>
            </w:r>
          </w:p>
        </w:tc>
      </w:tr>
    </w:tbl>
    <w:p w14:paraId="54840EC8" w14:textId="77777777" w:rsidR="00A8491B" w:rsidRPr="00043B8D" w:rsidRDefault="00A8491B" w:rsidP="00147C94"/>
    <w:p w14:paraId="5CDBDA50" w14:textId="77777777" w:rsidR="009B72F0" w:rsidRPr="00043B8D" w:rsidRDefault="009B72F0" w:rsidP="00147C94"/>
    <w:p w14:paraId="38EAE049" w14:textId="459719F1" w:rsidR="009B72F0" w:rsidRPr="00043B8D" w:rsidRDefault="00147C94" w:rsidP="00147C94">
      <w:r w:rsidRPr="00043B8D">
        <w:t>Hiernaast werd in het verleden door de CREG een éénmalige meerwaarde op basis van de historische indexatie</w:t>
      </w:r>
      <w:r w:rsidRPr="00043B8D">
        <w:rPr>
          <w:rStyle w:val="Voetnootmarkering"/>
        </w:rPr>
        <w:footnoteReference w:id="94"/>
      </w:r>
      <w:r w:rsidRPr="00043B8D">
        <w:t xml:space="preserve"> goedgekeurd, alsook een meerwaarde op basis van de initiële waarde van het gereguleerd actief (iRAB</w:t>
      </w:r>
      <w:r w:rsidR="00C908CD" w:rsidRPr="00043B8D">
        <w:t xml:space="preserve"> volgens</w:t>
      </w:r>
      <w:r w:rsidR="00A8491B" w:rsidRPr="00043B8D">
        <w:t xml:space="preserve"> </w:t>
      </w:r>
      <w:r w:rsidR="00A8491B" w:rsidRPr="00043B8D">
        <w:fldChar w:fldCharType="begin"/>
      </w:r>
      <w:r w:rsidR="00A8491B" w:rsidRPr="00043B8D">
        <w:instrText xml:space="preserve"> REF _Ref391900114 \h </w:instrText>
      </w:r>
      <w:r w:rsidR="00043B8D">
        <w:instrText xml:space="preserve"> \* MERGEFORMAT </w:instrText>
      </w:r>
      <w:r w:rsidR="00A8491B" w:rsidRPr="00043B8D">
        <w:fldChar w:fldCharType="separate"/>
      </w:r>
      <w:r w:rsidR="00B30F9B" w:rsidRPr="00043B8D">
        <w:t xml:space="preserve">Tabel </w:t>
      </w:r>
      <w:r w:rsidR="00B30F9B">
        <w:rPr>
          <w:noProof/>
        </w:rPr>
        <w:t>10</w:t>
      </w:r>
      <w:r w:rsidR="00A8491B" w:rsidRPr="00043B8D">
        <w:fldChar w:fldCharType="end"/>
      </w:r>
      <w:r w:rsidRPr="00043B8D">
        <w:t>).</w:t>
      </w:r>
    </w:p>
    <w:p w14:paraId="33343535" w14:textId="09F33EC5" w:rsidR="004D5C78" w:rsidRPr="00043B8D" w:rsidRDefault="004D5C78">
      <w:pPr>
        <w:jc w:val="left"/>
      </w:pPr>
    </w:p>
    <w:p w14:paraId="35351AE1" w14:textId="77777777" w:rsidR="009B72F0" w:rsidRPr="00043B8D" w:rsidRDefault="009B72F0" w:rsidP="00147C94"/>
    <w:p w14:paraId="79531EED" w14:textId="3BF4C715" w:rsidR="009B72F0" w:rsidRPr="000D284A" w:rsidRDefault="009B72F0" w:rsidP="00654C50">
      <w:pPr>
        <w:pStyle w:val="Bijschrift"/>
        <w:keepNext/>
        <w:jc w:val="left"/>
        <w:rPr>
          <w:b w:val="0"/>
          <w:i/>
        </w:rPr>
      </w:pPr>
      <w:bookmarkStart w:id="574" w:name="_Ref391900114"/>
      <w:r w:rsidRPr="000D284A">
        <w:rPr>
          <w:b w:val="0"/>
          <w:i/>
        </w:rPr>
        <w:t xml:space="preserve">Tabel </w:t>
      </w:r>
      <w:r w:rsidRPr="000D284A">
        <w:rPr>
          <w:b w:val="0"/>
          <w:i/>
        </w:rPr>
        <w:fldChar w:fldCharType="begin"/>
      </w:r>
      <w:r w:rsidRPr="000D284A">
        <w:rPr>
          <w:b w:val="0"/>
          <w:i/>
        </w:rPr>
        <w:instrText xml:space="preserve"> SEQ Tabel \* ARABIC </w:instrText>
      </w:r>
      <w:r w:rsidRPr="000D284A">
        <w:rPr>
          <w:b w:val="0"/>
          <w:i/>
        </w:rPr>
        <w:fldChar w:fldCharType="separate"/>
      </w:r>
      <w:r w:rsidR="000D284A">
        <w:rPr>
          <w:b w:val="0"/>
          <w:i/>
          <w:noProof/>
        </w:rPr>
        <w:t>10</w:t>
      </w:r>
      <w:r w:rsidRPr="000D284A">
        <w:rPr>
          <w:b w:val="0"/>
          <w:i/>
        </w:rPr>
        <w:fldChar w:fldCharType="end"/>
      </w:r>
      <w:bookmarkEnd w:id="574"/>
      <w:r w:rsidRPr="000D284A">
        <w:rPr>
          <w:b w:val="0"/>
          <w:i/>
        </w:rPr>
        <w:t xml:space="preserve"> iRAB waarden per distributienetbeheerder</w:t>
      </w:r>
      <w:r w:rsidR="00EE41FF" w:rsidRPr="000D284A">
        <w:rPr>
          <w:b w:val="0"/>
          <w:i/>
        </w:rPr>
        <w:t xml:space="preserve"> (EUR)</w:t>
      </w:r>
    </w:p>
    <w:tbl>
      <w:tblPr>
        <w:tblW w:w="0" w:type="auto"/>
        <w:tblInd w:w="108" w:type="dxa"/>
        <w:tblCellMar>
          <w:left w:w="0" w:type="dxa"/>
          <w:bottom w:w="28" w:type="dxa"/>
          <w:right w:w="0" w:type="dxa"/>
        </w:tblCellMar>
        <w:tblLook w:val="04A0" w:firstRow="1" w:lastRow="0" w:firstColumn="1" w:lastColumn="0" w:noHBand="0" w:noVBand="1"/>
      </w:tblPr>
      <w:tblGrid>
        <w:gridCol w:w="2742"/>
        <w:gridCol w:w="2574"/>
        <w:gridCol w:w="2575"/>
      </w:tblGrid>
      <w:tr w:rsidR="009B72F0" w:rsidRPr="00043B8D" w14:paraId="07C9FBBB" w14:textId="77777777" w:rsidTr="00EE4DC3">
        <w:tc>
          <w:tcPr>
            <w:tcW w:w="27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D67192" w14:textId="77777777" w:rsidR="009B72F0" w:rsidRPr="00043B8D" w:rsidRDefault="009B72F0" w:rsidP="00EE4DC3">
            <w:pPr>
              <w:rPr>
                <w:rFonts w:cs="Tahoma"/>
              </w:rPr>
            </w:pPr>
            <w:r w:rsidRPr="00043B8D">
              <w:rPr>
                <w:rFonts w:cs="Tahoma"/>
              </w:rPr>
              <w:t>Distributienetbeheerder</w:t>
            </w:r>
          </w:p>
        </w:tc>
        <w:tc>
          <w:tcPr>
            <w:tcW w:w="514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CFB11A" w14:textId="77777777" w:rsidR="009B72F0" w:rsidRPr="00043B8D" w:rsidRDefault="009B72F0" w:rsidP="00EE4DC3">
            <w:pPr>
              <w:jc w:val="center"/>
              <w:rPr>
                <w:rFonts w:cs="Tahoma"/>
              </w:rPr>
            </w:pPr>
            <w:r w:rsidRPr="00043B8D">
              <w:rPr>
                <w:rFonts w:cs="Tahoma"/>
              </w:rPr>
              <w:t>Activiteit</w:t>
            </w:r>
          </w:p>
        </w:tc>
      </w:tr>
      <w:tr w:rsidR="009B72F0" w:rsidRPr="00043B8D" w14:paraId="68FEC58F" w14:textId="77777777" w:rsidTr="00EE4DC3">
        <w:trPr>
          <w:trHeight w:val="266"/>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ACADAC5" w14:textId="77777777" w:rsidR="009B72F0" w:rsidRPr="00043B8D" w:rsidRDefault="009B72F0" w:rsidP="00EE4DC3">
            <w:pPr>
              <w:rPr>
                <w:rFonts w:cs="Tahoma"/>
              </w:rPr>
            </w:pPr>
          </w:p>
        </w:tc>
        <w:tc>
          <w:tcPr>
            <w:tcW w:w="2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37AD5C" w14:textId="77777777" w:rsidR="009B72F0" w:rsidRPr="00043B8D" w:rsidRDefault="009B72F0" w:rsidP="00EE4DC3">
            <w:pPr>
              <w:jc w:val="center"/>
              <w:rPr>
                <w:rFonts w:cs="Tahoma"/>
              </w:rPr>
            </w:pPr>
            <w:r w:rsidRPr="00043B8D">
              <w:rPr>
                <w:rFonts w:cs="Tahoma"/>
              </w:rPr>
              <w:t>Elektriciteit</w:t>
            </w:r>
          </w:p>
          <w:p w14:paraId="0A024438" w14:textId="77777777" w:rsidR="009B72F0" w:rsidRPr="00043B8D" w:rsidRDefault="009B72F0" w:rsidP="00EE4DC3">
            <w:pPr>
              <w:jc w:val="center"/>
              <w:rPr>
                <w:rFonts w:cs="Tahoma"/>
              </w:rPr>
            </w:pPr>
            <w:r w:rsidRPr="00043B8D">
              <w:rPr>
                <w:rFonts w:cs="Tahoma"/>
              </w:rPr>
              <w:t>iRAB op 31 december 2001</w:t>
            </w:r>
          </w:p>
        </w:tc>
        <w:tc>
          <w:tcPr>
            <w:tcW w:w="2575" w:type="dxa"/>
            <w:tcBorders>
              <w:top w:val="nil"/>
              <w:left w:val="nil"/>
              <w:bottom w:val="single" w:sz="8" w:space="0" w:color="auto"/>
              <w:right w:val="single" w:sz="8" w:space="0" w:color="auto"/>
            </w:tcBorders>
            <w:tcMar>
              <w:top w:w="0" w:type="dxa"/>
              <w:left w:w="108" w:type="dxa"/>
              <w:bottom w:w="0" w:type="dxa"/>
              <w:right w:w="108" w:type="dxa"/>
            </w:tcMar>
            <w:hideMark/>
          </w:tcPr>
          <w:p w14:paraId="13FFC8C1" w14:textId="77777777" w:rsidR="009B72F0" w:rsidRPr="00043B8D" w:rsidRDefault="009B72F0" w:rsidP="00EE4DC3">
            <w:pPr>
              <w:jc w:val="center"/>
              <w:rPr>
                <w:rFonts w:cs="Tahoma"/>
              </w:rPr>
            </w:pPr>
            <w:r w:rsidRPr="00043B8D">
              <w:rPr>
                <w:rFonts w:cs="Tahoma"/>
              </w:rPr>
              <w:t>Aardgas</w:t>
            </w:r>
          </w:p>
          <w:p w14:paraId="56C54541" w14:textId="77777777" w:rsidR="009B72F0" w:rsidRPr="00043B8D" w:rsidRDefault="009B72F0" w:rsidP="00EE4DC3">
            <w:pPr>
              <w:jc w:val="center"/>
              <w:rPr>
                <w:rFonts w:cs="Tahoma"/>
              </w:rPr>
            </w:pPr>
            <w:r w:rsidRPr="00043B8D">
              <w:rPr>
                <w:rFonts w:cs="Tahoma"/>
              </w:rPr>
              <w:t>iRAB op 31 december 2002</w:t>
            </w:r>
          </w:p>
        </w:tc>
      </w:tr>
      <w:tr w:rsidR="009B72F0" w:rsidRPr="00043B8D" w14:paraId="43F33028" w14:textId="77777777" w:rsidTr="00EE4DC3">
        <w:trPr>
          <w:trHeight w:val="166"/>
        </w:trPr>
        <w:tc>
          <w:tcPr>
            <w:tcW w:w="27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EDF989" w14:textId="77777777" w:rsidR="009B72F0" w:rsidRPr="00043B8D" w:rsidRDefault="009B72F0" w:rsidP="00EE4DC3">
            <w:pPr>
              <w:pStyle w:val="Default"/>
              <w:jc w:val="both"/>
              <w:rPr>
                <w:rFonts w:ascii="Tahoma" w:hAnsi="Tahoma" w:cs="Tahoma"/>
                <w:sz w:val="20"/>
                <w:szCs w:val="20"/>
              </w:rPr>
            </w:pPr>
            <w:r w:rsidRPr="00043B8D">
              <w:rPr>
                <w:rFonts w:ascii="Tahoma" w:hAnsi="Tahoma" w:cs="Tahoma"/>
                <w:sz w:val="20"/>
                <w:szCs w:val="20"/>
              </w:rPr>
              <w:t>Gaselwest (Wallonië en Vlaanderen)</w:t>
            </w:r>
          </w:p>
        </w:tc>
        <w:tc>
          <w:tcPr>
            <w:tcW w:w="2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8AB68B" w14:textId="77777777" w:rsidR="009B72F0" w:rsidRPr="00043B8D" w:rsidRDefault="009B72F0" w:rsidP="00EE4DC3">
            <w:pPr>
              <w:ind w:right="359"/>
              <w:jc w:val="right"/>
              <w:rPr>
                <w:rFonts w:cs="Tahoma"/>
              </w:rPr>
            </w:pPr>
            <w:r w:rsidRPr="00043B8D">
              <w:rPr>
                <w:rFonts w:cs="Tahoma"/>
              </w:rPr>
              <w:t>755.421.259,89</w:t>
            </w:r>
          </w:p>
        </w:tc>
        <w:tc>
          <w:tcPr>
            <w:tcW w:w="2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89A7B2" w14:textId="77777777" w:rsidR="009B72F0" w:rsidRPr="00043B8D" w:rsidRDefault="009B72F0" w:rsidP="00EE4DC3">
            <w:pPr>
              <w:ind w:right="359"/>
              <w:jc w:val="right"/>
              <w:rPr>
                <w:rFonts w:cs="Tahoma"/>
              </w:rPr>
            </w:pPr>
            <w:r w:rsidRPr="00043B8D">
              <w:rPr>
                <w:rFonts w:cs="Tahoma"/>
              </w:rPr>
              <w:t>400.423.451,86</w:t>
            </w:r>
          </w:p>
        </w:tc>
      </w:tr>
      <w:tr w:rsidR="009B72F0" w:rsidRPr="00043B8D" w14:paraId="041B7B87" w14:textId="77777777" w:rsidTr="00EE4DC3">
        <w:trPr>
          <w:trHeight w:val="103"/>
        </w:trPr>
        <w:tc>
          <w:tcPr>
            <w:tcW w:w="27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8B35DC" w14:textId="77777777" w:rsidR="009B72F0" w:rsidRPr="00043B8D" w:rsidRDefault="009B72F0" w:rsidP="00EE4DC3">
            <w:pPr>
              <w:autoSpaceDE w:val="0"/>
              <w:autoSpaceDN w:val="0"/>
              <w:rPr>
                <w:rFonts w:cs="Tahoma"/>
                <w:color w:val="000000"/>
              </w:rPr>
            </w:pPr>
            <w:r w:rsidRPr="00043B8D">
              <w:rPr>
                <w:rFonts w:cs="Tahoma"/>
                <w:color w:val="000000"/>
              </w:rPr>
              <w:t xml:space="preserve">Iverlek </w:t>
            </w:r>
          </w:p>
        </w:tc>
        <w:tc>
          <w:tcPr>
            <w:tcW w:w="2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9E3620" w14:textId="77777777" w:rsidR="009B72F0" w:rsidRPr="00043B8D" w:rsidRDefault="009B72F0" w:rsidP="00EE4DC3">
            <w:pPr>
              <w:autoSpaceDE w:val="0"/>
              <w:autoSpaceDN w:val="0"/>
              <w:ind w:right="359"/>
              <w:jc w:val="right"/>
              <w:rPr>
                <w:rFonts w:cs="Tahoma"/>
                <w:color w:val="000000"/>
              </w:rPr>
            </w:pPr>
            <w:r w:rsidRPr="00043B8D">
              <w:rPr>
                <w:rFonts w:cs="Tahoma"/>
                <w:color w:val="000000"/>
              </w:rPr>
              <w:t xml:space="preserve">569.286.078,80 </w:t>
            </w:r>
          </w:p>
        </w:tc>
        <w:tc>
          <w:tcPr>
            <w:tcW w:w="2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8F5778" w14:textId="77777777" w:rsidR="009B72F0" w:rsidRPr="00043B8D" w:rsidRDefault="009B72F0" w:rsidP="00EE4DC3">
            <w:pPr>
              <w:autoSpaceDE w:val="0"/>
              <w:autoSpaceDN w:val="0"/>
              <w:ind w:right="359"/>
              <w:jc w:val="right"/>
              <w:rPr>
                <w:rFonts w:cs="Tahoma"/>
                <w:color w:val="000000"/>
              </w:rPr>
            </w:pPr>
            <w:r w:rsidRPr="00043B8D">
              <w:rPr>
                <w:rFonts w:cs="Tahoma"/>
                <w:color w:val="000000"/>
              </w:rPr>
              <w:t>394.843.826,85</w:t>
            </w:r>
          </w:p>
        </w:tc>
      </w:tr>
      <w:tr w:rsidR="009B72F0" w:rsidRPr="00043B8D" w14:paraId="075444EF" w14:textId="77777777" w:rsidTr="00EE4DC3">
        <w:trPr>
          <w:trHeight w:val="103"/>
        </w:trPr>
        <w:tc>
          <w:tcPr>
            <w:tcW w:w="27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5E90DB" w14:textId="77777777" w:rsidR="009B72F0" w:rsidRPr="00043B8D" w:rsidRDefault="009B72F0" w:rsidP="00EE4DC3">
            <w:pPr>
              <w:autoSpaceDE w:val="0"/>
              <w:autoSpaceDN w:val="0"/>
              <w:rPr>
                <w:rFonts w:cs="Tahoma"/>
                <w:color w:val="000000"/>
              </w:rPr>
            </w:pPr>
            <w:r w:rsidRPr="00043B8D">
              <w:rPr>
                <w:rFonts w:cs="Tahoma"/>
                <w:color w:val="000000"/>
              </w:rPr>
              <w:t xml:space="preserve">Iveka </w:t>
            </w:r>
          </w:p>
        </w:tc>
        <w:tc>
          <w:tcPr>
            <w:tcW w:w="2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E7FED9" w14:textId="77777777" w:rsidR="009B72F0" w:rsidRPr="00043B8D" w:rsidRDefault="009B72F0" w:rsidP="00EE4DC3">
            <w:pPr>
              <w:autoSpaceDE w:val="0"/>
              <w:autoSpaceDN w:val="0"/>
              <w:ind w:right="359"/>
              <w:jc w:val="right"/>
              <w:rPr>
                <w:rFonts w:cs="Tahoma"/>
                <w:color w:val="000000"/>
              </w:rPr>
            </w:pPr>
            <w:r w:rsidRPr="00043B8D">
              <w:rPr>
                <w:rFonts w:cs="Tahoma"/>
                <w:color w:val="000000"/>
              </w:rPr>
              <w:t xml:space="preserve">443.088.918,11 </w:t>
            </w:r>
          </w:p>
        </w:tc>
        <w:tc>
          <w:tcPr>
            <w:tcW w:w="2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2883C8" w14:textId="77777777" w:rsidR="009B72F0" w:rsidRPr="00043B8D" w:rsidRDefault="009B72F0" w:rsidP="00EE4DC3">
            <w:pPr>
              <w:autoSpaceDE w:val="0"/>
              <w:autoSpaceDN w:val="0"/>
              <w:ind w:right="359"/>
              <w:jc w:val="right"/>
              <w:rPr>
                <w:rFonts w:cs="Tahoma"/>
                <w:color w:val="000000"/>
              </w:rPr>
            </w:pPr>
            <w:r w:rsidRPr="00043B8D">
              <w:rPr>
                <w:rFonts w:cs="Tahoma"/>
                <w:color w:val="000000"/>
              </w:rPr>
              <w:t>306.796.862,10</w:t>
            </w:r>
          </w:p>
        </w:tc>
      </w:tr>
      <w:tr w:rsidR="009B72F0" w:rsidRPr="00043B8D" w14:paraId="4775FC50" w14:textId="77777777" w:rsidTr="00EE4DC3">
        <w:trPr>
          <w:trHeight w:val="103"/>
        </w:trPr>
        <w:tc>
          <w:tcPr>
            <w:tcW w:w="27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E53DEB" w14:textId="77777777" w:rsidR="009B72F0" w:rsidRPr="00043B8D" w:rsidRDefault="009B72F0" w:rsidP="00EE4DC3">
            <w:pPr>
              <w:autoSpaceDE w:val="0"/>
              <w:autoSpaceDN w:val="0"/>
              <w:rPr>
                <w:rFonts w:cs="Tahoma"/>
                <w:color w:val="000000"/>
              </w:rPr>
            </w:pPr>
            <w:r w:rsidRPr="00043B8D">
              <w:rPr>
                <w:rFonts w:cs="Tahoma"/>
                <w:color w:val="000000"/>
              </w:rPr>
              <w:t xml:space="preserve">Imewo </w:t>
            </w:r>
          </w:p>
        </w:tc>
        <w:tc>
          <w:tcPr>
            <w:tcW w:w="2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8549F1" w14:textId="77777777" w:rsidR="009B72F0" w:rsidRPr="00043B8D" w:rsidRDefault="009B72F0" w:rsidP="00EE4DC3">
            <w:pPr>
              <w:autoSpaceDE w:val="0"/>
              <w:autoSpaceDN w:val="0"/>
              <w:ind w:right="359"/>
              <w:jc w:val="right"/>
              <w:rPr>
                <w:rFonts w:cs="Tahoma"/>
                <w:color w:val="000000"/>
              </w:rPr>
            </w:pPr>
            <w:r w:rsidRPr="00043B8D">
              <w:rPr>
                <w:rFonts w:cs="Tahoma"/>
                <w:color w:val="000000"/>
              </w:rPr>
              <w:t xml:space="preserve">575.679.886,33 </w:t>
            </w:r>
          </w:p>
        </w:tc>
        <w:tc>
          <w:tcPr>
            <w:tcW w:w="2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72A022" w14:textId="77777777" w:rsidR="009B72F0" w:rsidRPr="00043B8D" w:rsidRDefault="009B72F0" w:rsidP="00EE4DC3">
            <w:pPr>
              <w:autoSpaceDE w:val="0"/>
              <w:autoSpaceDN w:val="0"/>
              <w:ind w:right="359"/>
              <w:jc w:val="right"/>
              <w:rPr>
                <w:rFonts w:cs="Tahoma"/>
                <w:color w:val="000000"/>
              </w:rPr>
            </w:pPr>
            <w:r w:rsidRPr="00043B8D">
              <w:rPr>
                <w:rFonts w:cs="Tahoma"/>
                <w:color w:val="000000"/>
              </w:rPr>
              <w:t>405.414.683,98</w:t>
            </w:r>
          </w:p>
        </w:tc>
      </w:tr>
      <w:tr w:rsidR="009B72F0" w:rsidRPr="00043B8D" w14:paraId="603537F4" w14:textId="77777777" w:rsidTr="00EE4DC3">
        <w:trPr>
          <w:trHeight w:val="103"/>
        </w:trPr>
        <w:tc>
          <w:tcPr>
            <w:tcW w:w="27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5D593D" w14:textId="77777777" w:rsidR="009B72F0" w:rsidRPr="00043B8D" w:rsidRDefault="009B72F0" w:rsidP="00EE4DC3">
            <w:pPr>
              <w:autoSpaceDE w:val="0"/>
              <w:autoSpaceDN w:val="0"/>
              <w:rPr>
                <w:rFonts w:cs="Tahoma"/>
                <w:color w:val="000000"/>
              </w:rPr>
            </w:pPr>
            <w:r w:rsidRPr="00043B8D">
              <w:rPr>
                <w:rFonts w:cs="Tahoma"/>
                <w:color w:val="000000"/>
              </w:rPr>
              <w:t xml:space="preserve">Imea </w:t>
            </w:r>
          </w:p>
        </w:tc>
        <w:tc>
          <w:tcPr>
            <w:tcW w:w="2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353A45" w14:textId="77777777" w:rsidR="009B72F0" w:rsidRPr="00043B8D" w:rsidRDefault="009B72F0" w:rsidP="00EE4DC3">
            <w:pPr>
              <w:autoSpaceDE w:val="0"/>
              <w:autoSpaceDN w:val="0"/>
              <w:ind w:right="359"/>
              <w:jc w:val="right"/>
              <w:rPr>
                <w:rFonts w:cs="Tahoma"/>
                <w:color w:val="000000"/>
              </w:rPr>
            </w:pPr>
            <w:r w:rsidRPr="00043B8D">
              <w:rPr>
                <w:rFonts w:cs="Tahoma"/>
                <w:color w:val="000000"/>
              </w:rPr>
              <w:t xml:space="preserve">274.811.647,55 </w:t>
            </w:r>
          </w:p>
        </w:tc>
        <w:tc>
          <w:tcPr>
            <w:tcW w:w="2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09635B" w14:textId="77777777" w:rsidR="009B72F0" w:rsidRPr="00043B8D" w:rsidRDefault="009B72F0" w:rsidP="00EE4DC3">
            <w:pPr>
              <w:autoSpaceDE w:val="0"/>
              <w:autoSpaceDN w:val="0"/>
              <w:ind w:right="359"/>
              <w:jc w:val="right"/>
              <w:rPr>
                <w:rFonts w:cs="Tahoma"/>
                <w:color w:val="000000"/>
              </w:rPr>
            </w:pPr>
            <w:r w:rsidRPr="00043B8D">
              <w:rPr>
                <w:rFonts w:cs="Tahoma"/>
                <w:color w:val="000000"/>
              </w:rPr>
              <w:t>187.085.698,93</w:t>
            </w:r>
          </w:p>
        </w:tc>
      </w:tr>
      <w:tr w:rsidR="009B72F0" w:rsidRPr="00043B8D" w14:paraId="5ED37949" w14:textId="77777777" w:rsidTr="00EE4DC3">
        <w:trPr>
          <w:trHeight w:val="103"/>
        </w:trPr>
        <w:tc>
          <w:tcPr>
            <w:tcW w:w="27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B077AF" w14:textId="77777777" w:rsidR="009B72F0" w:rsidRPr="00043B8D" w:rsidRDefault="009B72F0" w:rsidP="00EE4DC3">
            <w:pPr>
              <w:autoSpaceDE w:val="0"/>
              <w:autoSpaceDN w:val="0"/>
              <w:rPr>
                <w:rFonts w:cs="Tahoma"/>
                <w:color w:val="000000"/>
              </w:rPr>
            </w:pPr>
            <w:r w:rsidRPr="00043B8D">
              <w:rPr>
                <w:rFonts w:cs="Tahoma"/>
                <w:color w:val="000000"/>
              </w:rPr>
              <w:t xml:space="preserve">Sibelgas </w:t>
            </w:r>
          </w:p>
        </w:tc>
        <w:tc>
          <w:tcPr>
            <w:tcW w:w="2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EC7D65" w14:textId="77777777" w:rsidR="009B72F0" w:rsidRPr="00043B8D" w:rsidRDefault="009B72F0" w:rsidP="00EE4DC3">
            <w:pPr>
              <w:autoSpaceDE w:val="0"/>
              <w:autoSpaceDN w:val="0"/>
              <w:ind w:right="359"/>
              <w:jc w:val="right"/>
              <w:rPr>
                <w:rFonts w:cs="Tahoma"/>
                <w:color w:val="000000"/>
              </w:rPr>
            </w:pPr>
            <w:r w:rsidRPr="00043B8D">
              <w:rPr>
                <w:rFonts w:cs="Tahoma"/>
                <w:color w:val="000000"/>
              </w:rPr>
              <w:t xml:space="preserve">93.896.904,07 </w:t>
            </w:r>
          </w:p>
        </w:tc>
        <w:tc>
          <w:tcPr>
            <w:tcW w:w="2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93593D" w14:textId="77777777" w:rsidR="009B72F0" w:rsidRPr="00043B8D" w:rsidRDefault="009B72F0" w:rsidP="00EE4DC3">
            <w:pPr>
              <w:autoSpaceDE w:val="0"/>
              <w:autoSpaceDN w:val="0"/>
              <w:ind w:right="359"/>
              <w:jc w:val="right"/>
              <w:rPr>
                <w:rFonts w:cs="Tahoma"/>
                <w:color w:val="000000"/>
              </w:rPr>
            </w:pPr>
            <w:r w:rsidRPr="00043B8D">
              <w:rPr>
                <w:rFonts w:cs="Tahoma"/>
                <w:color w:val="000000"/>
              </w:rPr>
              <w:t>64.995.792,32</w:t>
            </w:r>
          </w:p>
        </w:tc>
      </w:tr>
      <w:tr w:rsidR="009B72F0" w:rsidRPr="00043B8D" w14:paraId="32EC5767" w14:textId="77777777" w:rsidTr="00EE4DC3">
        <w:trPr>
          <w:trHeight w:val="103"/>
        </w:trPr>
        <w:tc>
          <w:tcPr>
            <w:tcW w:w="27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E0D6BC" w14:textId="77777777" w:rsidR="009B72F0" w:rsidRPr="00043B8D" w:rsidRDefault="009B72F0" w:rsidP="00EE4DC3">
            <w:pPr>
              <w:autoSpaceDE w:val="0"/>
              <w:autoSpaceDN w:val="0"/>
              <w:rPr>
                <w:rFonts w:cs="Tahoma"/>
                <w:color w:val="000000"/>
              </w:rPr>
            </w:pPr>
            <w:r w:rsidRPr="00043B8D">
              <w:rPr>
                <w:rFonts w:cs="Tahoma"/>
                <w:color w:val="000000"/>
              </w:rPr>
              <w:t xml:space="preserve">Intergem </w:t>
            </w:r>
          </w:p>
        </w:tc>
        <w:tc>
          <w:tcPr>
            <w:tcW w:w="2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9AD5BE" w14:textId="77777777" w:rsidR="009B72F0" w:rsidRPr="00043B8D" w:rsidRDefault="009B72F0" w:rsidP="00EE4DC3">
            <w:pPr>
              <w:autoSpaceDE w:val="0"/>
              <w:autoSpaceDN w:val="0"/>
              <w:ind w:right="359"/>
              <w:jc w:val="right"/>
              <w:rPr>
                <w:rFonts w:cs="Tahoma"/>
                <w:color w:val="000000"/>
              </w:rPr>
            </w:pPr>
            <w:r w:rsidRPr="00043B8D">
              <w:rPr>
                <w:rFonts w:cs="Tahoma"/>
                <w:color w:val="000000"/>
              </w:rPr>
              <w:t xml:space="preserve">319.904.974,20 </w:t>
            </w:r>
          </w:p>
        </w:tc>
        <w:tc>
          <w:tcPr>
            <w:tcW w:w="2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06C626" w14:textId="77777777" w:rsidR="009B72F0" w:rsidRPr="00043B8D" w:rsidRDefault="009B72F0" w:rsidP="00EE4DC3">
            <w:pPr>
              <w:autoSpaceDE w:val="0"/>
              <w:autoSpaceDN w:val="0"/>
              <w:ind w:right="359"/>
              <w:jc w:val="right"/>
              <w:rPr>
                <w:rFonts w:cs="Tahoma"/>
                <w:color w:val="000000"/>
              </w:rPr>
            </w:pPr>
            <w:r w:rsidRPr="00043B8D">
              <w:rPr>
                <w:rFonts w:cs="Tahoma"/>
                <w:color w:val="000000"/>
              </w:rPr>
              <w:t>202.069.413,59</w:t>
            </w:r>
          </w:p>
        </w:tc>
      </w:tr>
      <w:tr w:rsidR="009B72F0" w:rsidRPr="00043B8D" w14:paraId="025489C7" w14:textId="77777777" w:rsidTr="00EE4DC3">
        <w:trPr>
          <w:trHeight w:val="103"/>
        </w:trPr>
        <w:tc>
          <w:tcPr>
            <w:tcW w:w="27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E1DBB7" w14:textId="77777777" w:rsidR="009B72F0" w:rsidRPr="00043B8D" w:rsidRDefault="009B72F0" w:rsidP="00EE4DC3">
            <w:pPr>
              <w:autoSpaceDE w:val="0"/>
              <w:autoSpaceDN w:val="0"/>
              <w:rPr>
                <w:rFonts w:cs="Tahoma"/>
                <w:color w:val="000000"/>
              </w:rPr>
            </w:pPr>
            <w:r w:rsidRPr="00043B8D">
              <w:rPr>
                <w:rFonts w:cs="Tahoma"/>
                <w:color w:val="000000"/>
              </w:rPr>
              <w:t xml:space="preserve">InterEnerga </w:t>
            </w:r>
          </w:p>
        </w:tc>
        <w:tc>
          <w:tcPr>
            <w:tcW w:w="2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B6D865" w14:textId="77777777" w:rsidR="009B72F0" w:rsidRPr="00043B8D" w:rsidRDefault="009B72F0" w:rsidP="00EE4DC3">
            <w:pPr>
              <w:autoSpaceDE w:val="0"/>
              <w:autoSpaceDN w:val="0"/>
              <w:ind w:right="359"/>
              <w:jc w:val="right"/>
              <w:rPr>
                <w:rFonts w:cs="Tahoma"/>
                <w:color w:val="000000"/>
              </w:rPr>
            </w:pPr>
            <w:r w:rsidRPr="00043B8D">
              <w:rPr>
                <w:rFonts w:cs="Tahoma"/>
                <w:color w:val="000000"/>
              </w:rPr>
              <w:t xml:space="preserve">656.885.700,00 </w:t>
            </w:r>
          </w:p>
        </w:tc>
        <w:tc>
          <w:tcPr>
            <w:tcW w:w="2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985729" w14:textId="77777777" w:rsidR="009B72F0" w:rsidRPr="00043B8D" w:rsidRDefault="009B72F0" w:rsidP="00EE4DC3">
            <w:pPr>
              <w:autoSpaceDE w:val="0"/>
              <w:autoSpaceDN w:val="0"/>
              <w:ind w:right="359"/>
              <w:jc w:val="right"/>
              <w:rPr>
                <w:rFonts w:cs="Tahoma"/>
                <w:color w:val="000000"/>
              </w:rPr>
            </w:pPr>
            <w:r w:rsidRPr="00043B8D">
              <w:rPr>
                <w:rFonts w:cs="Tahoma"/>
                <w:color w:val="000000"/>
              </w:rPr>
              <w:t>211.725.820,00</w:t>
            </w:r>
          </w:p>
        </w:tc>
      </w:tr>
      <w:tr w:rsidR="009B72F0" w:rsidRPr="00043B8D" w14:paraId="465F8543" w14:textId="77777777" w:rsidTr="00EE4DC3">
        <w:trPr>
          <w:trHeight w:val="103"/>
        </w:trPr>
        <w:tc>
          <w:tcPr>
            <w:tcW w:w="27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364E85" w14:textId="77777777" w:rsidR="009B72F0" w:rsidRPr="00043B8D" w:rsidRDefault="009B72F0" w:rsidP="00EE4DC3">
            <w:pPr>
              <w:autoSpaceDE w:val="0"/>
              <w:autoSpaceDN w:val="0"/>
              <w:rPr>
                <w:rFonts w:cs="Tahoma"/>
                <w:color w:val="000000"/>
                <w:lang w:val="fr-BE"/>
              </w:rPr>
            </w:pPr>
            <w:r w:rsidRPr="00043B8D">
              <w:rPr>
                <w:rFonts w:cs="Tahoma"/>
                <w:color w:val="000000"/>
                <w:lang w:val="fr-BE"/>
              </w:rPr>
              <w:t xml:space="preserve">IVEG </w:t>
            </w:r>
          </w:p>
        </w:tc>
        <w:tc>
          <w:tcPr>
            <w:tcW w:w="2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6EF2C6" w14:textId="77777777" w:rsidR="009B72F0" w:rsidRPr="00043B8D" w:rsidRDefault="009B72F0" w:rsidP="00EE4DC3">
            <w:pPr>
              <w:autoSpaceDE w:val="0"/>
              <w:autoSpaceDN w:val="0"/>
              <w:ind w:right="359"/>
              <w:jc w:val="right"/>
              <w:rPr>
                <w:rFonts w:cs="Tahoma"/>
                <w:color w:val="000000"/>
                <w:lang w:val="en-US"/>
              </w:rPr>
            </w:pPr>
            <w:r w:rsidRPr="00043B8D">
              <w:rPr>
                <w:rFonts w:cs="Tahoma"/>
                <w:color w:val="000000"/>
                <w:lang w:val="en-US"/>
              </w:rPr>
              <w:t>85.073.392,00</w:t>
            </w:r>
          </w:p>
        </w:tc>
        <w:tc>
          <w:tcPr>
            <w:tcW w:w="2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647815" w14:textId="77777777" w:rsidR="009B72F0" w:rsidRPr="00043B8D" w:rsidRDefault="009B72F0" w:rsidP="00EE4DC3">
            <w:pPr>
              <w:autoSpaceDE w:val="0"/>
              <w:autoSpaceDN w:val="0"/>
              <w:ind w:right="359"/>
              <w:jc w:val="right"/>
              <w:rPr>
                <w:rFonts w:cs="Tahoma"/>
                <w:color w:val="000000"/>
              </w:rPr>
            </w:pPr>
            <w:r w:rsidRPr="00043B8D">
              <w:rPr>
                <w:rFonts w:cs="Tahoma"/>
                <w:color w:val="000000"/>
              </w:rPr>
              <w:t>63.439.757,00</w:t>
            </w:r>
          </w:p>
        </w:tc>
      </w:tr>
      <w:tr w:rsidR="009B72F0" w:rsidRPr="00043B8D" w14:paraId="2AA3D101" w14:textId="77777777" w:rsidTr="00EE4DC3">
        <w:trPr>
          <w:trHeight w:val="103"/>
        </w:trPr>
        <w:tc>
          <w:tcPr>
            <w:tcW w:w="27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8827B1" w14:textId="77777777" w:rsidR="009B72F0" w:rsidRPr="00043B8D" w:rsidRDefault="009B72F0" w:rsidP="00EE4DC3">
            <w:pPr>
              <w:autoSpaceDE w:val="0"/>
              <w:autoSpaceDN w:val="0"/>
              <w:rPr>
                <w:rFonts w:cs="Tahoma"/>
                <w:color w:val="000000"/>
              </w:rPr>
            </w:pPr>
            <w:r w:rsidRPr="00043B8D">
              <w:rPr>
                <w:rFonts w:cs="Tahoma"/>
                <w:color w:val="000000"/>
              </w:rPr>
              <w:t>GHA</w:t>
            </w:r>
          </w:p>
        </w:tc>
        <w:tc>
          <w:tcPr>
            <w:tcW w:w="2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678EA9" w14:textId="77777777" w:rsidR="009B72F0" w:rsidRPr="00043B8D" w:rsidRDefault="009B72F0" w:rsidP="00EE4DC3">
            <w:pPr>
              <w:autoSpaceDE w:val="0"/>
              <w:autoSpaceDN w:val="0"/>
              <w:ind w:right="359"/>
              <w:jc w:val="right"/>
              <w:rPr>
                <w:rFonts w:cs="Tahoma"/>
                <w:color w:val="000000"/>
              </w:rPr>
            </w:pPr>
            <w:r w:rsidRPr="00043B8D">
              <w:rPr>
                <w:rFonts w:cs="Tahoma"/>
                <w:color w:val="000000"/>
              </w:rPr>
              <w:t>28.809.914,75</w:t>
            </w:r>
          </w:p>
        </w:tc>
        <w:tc>
          <w:tcPr>
            <w:tcW w:w="2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D8CFAC" w14:textId="77777777" w:rsidR="009B72F0" w:rsidRPr="00043B8D" w:rsidRDefault="009B72F0" w:rsidP="00EE4DC3">
            <w:pPr>
              <w:autoSpaceDE w:val="0"/>
              <w:autoSpaceDN w:val="0"/>
              <w:ind w:right="359"/>
              <w:jc w:val="right"/>
              <w:rPr>
                <w:rFonts w:cs="Tahoma"/>
                <w:color w:val="000000"/>
              </w:rPr>
            </w:pPr>
            <w:r w:rsidRPr="00043B8D">
              <w:rPr>
                <w:rFonts w:cs="Tahoma"/>
                <w:color w:val="000000"/>
              </w:rPr>
              <w:t>n.v.t.</w:t>
            </w:r>
          </w:p>
        </w:tc>
      </w:tr>
      <w:tr w:rsidR="009B72F0" w:rsidRPr="00043B8D" w14:paraId="68802605" w14:textId="77777777" w:rsidTr="00EE4DC3">
        <w:trPr>
          <w:trHeight w:val="103"/>
        </w:trPr>
        <w:tc>
          <w:tcPr>
            <w:tcW w:w="27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95CCD5" w14:textId="77777777" w:rsidR="009B72F0" w:rsidRPr="00043B8D" w:rsidRDefault="009B72F0" w:rsidP="00EE4DC3">
            <w:pPr>
              <w:autoSpaceDE w:val="0"/>
              <w:autoSpaceDN w:val="0"/>
              <w:rPr>
                <w:rFonts w:cs="Tahoma"/>
                <w:color w:val="000000"/>
              </w:rPr>
            </w:pPr>
            <w:r w:rsidRPr="00043B8D">
              <w:rPr>
                <w:rFonts w:cs="Tahoma"/>
                <w:color w:val="000000"/>
              </w:rPr>
              <w:t>AGEM</w:t>
            </w:r>
          </w:p>
        </w:tc>
        <w:tc>
          <w:tcPr>
            <w:tcW w:w="2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DFED6F" w14:textId="77777777" w:rsidR="009B72F0" w:rsidRPr="00043B8D" w:rsidRDefault="009B72F0" w:rsidP="00EE4DC3">
            <w:pPr>
              <w:autoSpaceDE w:val="0"/>
              <w:autoSpaceDN w:val="0"/>
              <w:ind w:right="359"/>
              <w:jc w:val="right"/>
              <w:rPr>
                <w:rFonts w:cs="Tahoma"/>
                <w:color w:val="000000"/>
              </w:rPr>
            </w:pPr>
            <w:r w:rsidRPr="00043B8D">
              <w:rPr>
                <w:rFonts w:cs="Tahoma"/>
                <w:color w:val="000000"/>
              </w:rPr>
              <w:t>5.842.408,03</w:t>
            </w:r>
          </w:p>
        </w:tc>
        <w:tc>
          <w:tcPr>
            <w:tcW w:w="2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A47DEF" w14:textId="77777777" w:rsidR="009B72F0" w:rsidRPr="00043B8D" w:rsidRDefault="009B72F0" w:rsidP="00EE4DC3">
            <w:pPr>
              <w:autoSpaceDE w:val="0"/>
              <w:autoSpaceDN w:val="0"/>
              <w:ind w:right="359"/>
              <w:jc w:val="right"/>
              <w:rPr>
                <w:rFonts w:cs="Tahoma"/>
                <w:color w:val="000000"/>
              </w:rPr>
            </w:pPr>
            <w:r w:rsidRPr="00043B8D">
              <w:rPr>
                <w:rFonts w:cs="Tahoma"/>
                <w:color w:val="000000"/>
              </w:rPr>
              <w:t>n.v.t.</w:t>
            </w:r>
          </w:p>
        </w:tc>
      </w:tr>
      <w:tr w:rsidR="009B72F0" w:rsidRPr="00043B8D" w14:paraId="0AFBDFF8" w14:textId="77777777" w:rsidTr="00EE4DC3">
        <w:trPr>
          <w:trHeight w:val="103"/>
        </w:trPr>
        <w:tc>
          <w:tcPr>
            <w:tcW w:w="27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3F72BF" w14:textId="77777777" w:rsidR="009B72F0" w:rsidRPr="00043B8D" w:rsidRDefault="009B72F0" w:rsidP="00EE4DC3">
            <w:pPr>
              <w:autoSpaceDE w:val="0"/>
              <w:autoSpaceDN w:val="0"/>
              <w:rPr>
                <w:rFonts w:cs="Tahoma"/>
                <w:color w:val="000000"/>
              </w:rPr>
            </w:pPr>
            <w:r w:rsidRPr="00043B8D">
              <w:rPr>
                <w:rFonts w:cs="Tahoma"/>
                <w:color w:val="000000"/>
              </w:rPr>
              <w:t xml:space="preserve">Infrax West </w:t>
            </w:r>
          </w:p>
        </w:tc>
        <w:tc>
          <w:tcPr>
            <w:tcW w:w="2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21D68F" w14:textId="77777777" w:rsidR="009B72F0" w:rsidRPr="00043B8D" w:rsidRDefault="009B72F0" w:rsidP="00EE4DC3">
            <w:pPr>
              <w:autoSpaceDE w:val="0"/>
              <w:autoSpaceDN w:val="0"/>
              <w:ind w:right="359"/>
              <w:jc w:val="right"/>
              <w:rPr>
                <w:rFonts w:cs="Tahoma"/>
                <w:color w:val="000000"/>
              </w:rPr>
            </w:pPr>
            <w:r w:rsidRPr="00043B8D">
              <w:rPr>
                <w:rFonts w:cs="Tahoma"/>
                <w:color w:val="000000"/>
              </w:rPr>
              <w:t xml:space="preserve">164.628.777,00 </w:t>
            </w:r>
          </w:p>
        </w:tc>
        <w:tc>
          <w:tcPr>
            <w:tcW w:w="2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312F99" w14:textId="77777777" w:rsidR="009B72F0" w:rsidRPr="00043B8D" w:rsidRDefault="009B72F0" w:rsidP="00EE4DC3">
            <w:pPr>
              <w:autoSpaceDE w:val="0"/>
              <w:autoSpaceDN w:val="0"/>
              <w:ind w:right="359"/>
              <w:jc w:val="right"/>
              <w:rPr>
                <w:rFonts w:cs="Tahoma"/>
                <w:color w:val="000000"/>
              </w:rPr>
            </w:pPr>
            <w:r w:rsidRPr="00043B8D">
              <w:rPr>
                <w:rFonts w:cs="Tahoma"/>
                <w:color w:val="000000"/>
              </w:rPr>
              <w:t>67.881.162,00</w:t>
            </w:r>
          </w:p>
        </w:tc>
      </w:tr>
      <w:tr w:rsidR="009B72F0" w:rsidRPr="00043B8D" w14:paraId="7AD4360B" w14:textId="77777777" w:rsidTr="00EE4DC3">
        <w:trPr>
          <w:trHeight w:val="103"/>
        </w:trPr>
        <w:tc>
          <w:tcPr>
            <w:tcW w:w="27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CBE955" w14:textId="77777777" w:rsidR="009B72F0" w:rsidRPr="00043B8D" w:rsidRDefault="009B72F0" w:rsidP="00EE4DC3">
            <w:pPr>
              <w:autoSpaceDE w:val="0"/>
              <w:autoSpaceDN w:val="0"/>
              <w:rPr>
                <w:rFonts w:cs="Tahoma"/>
                <w:color w:val="000000"/>
              </w:rPr>
            </w:pPr>
            <w:r w:rsidRPr="00043B8D">
              <w:rPr>
                <w:rFonts w:cs="Tahoma"/>
                <w:color w:val="000000"/>
              </w:rPr>
              <w:t xml:space="preserve">PBE </w:t>
            </w:r>
            <w:r w:rsidRPr="00043B8D">
              <w:rPr>
                <w:rFonts w:cs="Tahoma"/>
              </w:rPr>
              <w:t>(Wallonië en Vlaanderen)</w:t>
            </w:r>
          </w:p>
        </w:tc>
        <w:tc>
          <w:tcPr>
            <w:tcW w:w="2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C36394" w14:textId="77777777" w:rsidR="009B72F0" w:rsidRPr="00043B8D" w:rsidRDefault="009B72F0" w:rsidP="00EE4DC3">
            <w:pPr>
              <w:autoSpaceDE w:val="0"/>
              <w:autoSpaceDN w:val="0"/>
              <w:ind w:right="359"/>
              <w:jc w:val="right"/>
              <w:rPr>
                <w:rFonts w:cs="Tahoma"/>
                <w:color w:val="000000"/>
              </w:rPr>
            </w:pPr>
            <w:r w:rsidRPr="00043B8D">
              <w:rPr>
                <w:rFonts w:cs="Tahoma"/>
                <w:color w:val="000000"/>
              </w:rPr>
              <w:t xml:space="preserve">129.015.827,00 </w:t>
            </w:r>
          </w:p>
        </w:tc>
        <w:tc>
          <w:tcPr>
            <w:tcW w:w="2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D00ECA" w14:textId="77777777" w:rsidR="009B72F0" w:rsidRPr="00043B8D" w:rsidRDefault="009B72F0" w:rsidP="00EE4DC3">
            <w:pPr>
              <w:autoSpaceDE w:val="0"/>
              <w:autoSpaceDN w:val="0"/>
              <w:ind w:right="359"/>
              <w:jc w:val="right"/>
              <w:rPr>
                <w:rFonts w:cs="Tahoma"/>
                <w:color w:val="000000"/>
              </w:rPr>
            </w:pPr>
            <w:r w:rsidRPr="00043B8D">
              <w:rPr>
                <w:rFonts w:cs="Tahoma"/>
                <w:color w:val="000000"/>
              </w:rPr>
              <w:t>n.v.t.</w:t>
            </w:r>
          </w:p>
        </w:tc>
      </w:tr>
      <w:tr w:rsidR="009B72F0" w:rsidRPr="00043B8D" w14:paraId="1BCD5C30" w14:textId="77777777" w:rsidTr="00EE4DC3">
        <w:tc>
          <w:tcPr>
            <w:tcW w:w="27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2A3BF5" w14:textId="77777777" w:rsidR="009B72F0" w:rsidRPr="00043B8D" w:rsidRDefault="009B72F0" w:rsidP="00EE4DC3">
            <w:pPr>
              <w:rPr>
                <w:rFonts w:cs="Tahoma"/>
              </w:rPr>
            </w:pPr>
            <w:r w:rsidRPr="00043B8D">
              <w:rPr>
                <w:rFonts w:cs="Tahoma"/>
              </w:rPr>
              <w:t>Intermosane (Wallonië en Vlaanderen)</w:t>
            </w:r>
          </w:p>
        </w:tc>
        <w:tc>
          <w:tcPr>
            <w:tcW w:w="2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4AF881" w14:textId="77777777" w:rsidR="009B72F0" w:rsidRPr="00043B8D" w:rsidRDefault="009B72F0" w:rsidP="00EE4DC3">
            <w:pPr>
              <w:ind w:right="359"/>
              <w:jc w:val="right"/>
              <w:rPr>
                <w:rFonts w:cs="Tahoma"/>
              </w:rPr>
            </w:pPr>
            <w:r w:rsidRPr="00043B8D">
              <w:rPr>
                <w:rFonts w:cs="Tahoma"/>
              </w:rPr>
              <w:t>211.260.579,15</w:t>
            </w:r>
          </w:p>
        </w:tc>
        <w:tc>
          <w:tcPr>
            <w:tcW w:w="2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2C1FD1" w14:textId="77777777" w:rsidR="009B72F0" w:rsidRPr="00043B8D" w:rsidRDefault="009B72F0" w:rsidP="00EE4DC3">
            <w:pPr>
              <w:ind w:right="359"/>
              <w:jc w:val="right"/>
              <w:rPr>
                <w:rFonts w:cs="Tahoma"/>
              </w:rPr>
            </w:pPr>
            <w:r w:rsidRPr="00043B8D">
              <w:rPr>
                <w:rFonts w:cs="Tahoma"/>
              </w:rPr>
              <w:t>n.v.t.</w:t>
            </w:r>
          </w:p>
        </w:tc>
      </w:tr>
    </w:tbl>
    <w:p w14:paraId="30565273" w14:textId="77777777" w:rsidR="009B72F0" w:rsidRPr="00043B8D" w:rsidRDefault="009B72F0" w:rsidP="009B72F0"/>
    <w:p w14:paraId="53BBC27D" w14:textId="77777777" w:rsidR="002561D1" w:rsidRPr="00043B8D" w:rsidRDefault="002561D1" w:rsidP="0034482D"/>
    <w:p w14:paraId="5C18A6A6" w14:textId="50CB0FB0" w:rsidR="0034482D" w:rsidRPr="00043B8D" w:rsidRDefault="0034482D" w:rsidP="0034482D">
      <w:r w:rsidRPr="00043B8D">
        <w:t xml:space="preserve">Eind 2010 werd door de CREG een definitief akkoord bereikt met de distributienetbeheerders, die Infrax als exploitatiemaatschappij hebben, omtrent de waarde van de RAB. Ook met AGEM en GHA werd in 2011 een akkoord bereikt over de waarde van de RAB. De netten van AGEM en GHA werden overgenomen door IVEG, respectievelijk op 1 januari 2012 en 1 juli 2011, waardoor beide netbeheerders ophielden te bestaan.  In </w:t>
      </w:r>
      <w:r w:rsidR="00704FCC" w:rsidRPr="00043B8D">
        <w:fldChar w:fldCharType="begin"/>
      </w:r>
      <w:r w:rsidR="00704FCC" w:rsidRPr="00043B8D">
        <w:instrText xml:space="preserve"> REF _Ref399496774 \h </w:instrText>
      </w:r>
      <w:r w:rsidR="00043B8D">
        <w:instrText xml:space="preserve"> \* MERGEFORMAT </w:instrText>
      </w:r>
      <w:r w:rsidR="00704FCC" w:rsidRPr="00043B8D">
        <w:fldChar w:fldCharType="separate"/>
      </w:r>
      <w:r w:rsidR="00B30F9B" w:rsidRPr="00043B8D">
        <w:t xml:space="preserve">Tabel </w:t>
      </w:r>
      <w:r w:rsidR="00B30F9B">
        <w:rPr>
          <w:noProof/>
        </w:rPr>
        <w:t>11</w:t>
      </w:r>
      <w:r w:rsidR="00704FCC" w:rsidRPr="00043B8D">
        <w:fldChar w:fldCharType="end"/>
      </w:r>
      <w:r w:rsidR="00704FCC" w:rsidRPr="00043B8D">
        <w:t xml:space="preserve"> </w:t>
      </w:r>
      <w:r w:rsidRPr="00043B8D">
        <w:t>wordt een overzicht gegeven van deze bijkomende RAB-meerwaarden voor de distributienetbeheerders die Infrax als exploitatiemaatschappij hebben:</w:t>
      </w:r>
    </w:p>
    <w:p w14:paraId="38BE0E83" w14:textId="77777777" w:rsidR="0034482D" w:rsidRPr="00043B8D" w:rsidRDefault="0034482D" w:rsidP="0034482D"/>
    <w:p w14:paraId="6E3F9A1E" w14:textId="77777777" w:rsidR="0034482D" w:rsidRPr="000D284A" w:rsidRDefault="0034482D" w:rsidP="00654C50">
      <w:pPr>
        <w:pStyle w:val="Bijschrift"/>
        <w:keepNext/>
        <w:jc w:val="left"/>
        <w:rPr>
          <w:b w:val="0"/>
          <w:i/>
        </w:rPr>
      </w:pPr>
      <w:bookmarkStart w:id="575" w:name="_Ref399496774"/>
      <w:r w:rsidRPr="000D284A">
        <w:rPr>
          <w:b w:val="0"/>
          <w:i/>
        </w:rPr>
        <w:t xml:space="preserve">Tabel </w:t>
      </w:r>
      <w:r w:rsidRPr="000D284A">
        <w:rPr>
          <w:b w:val="0"/>
          <w:i/>
        </w:rPr>
        <w:fldChar w:fldCharType="begin"/>
      </w:r>
      <w:r w:rsidRPr="000D284A">
        <w:rPr>
          <w:b w:val="0"/>
          <w:i/>
        </w:rPr>
        <w:instrText xml:space="preserve"> SEQ Tabel \* ARABIC </w:instrText>
      </w:r>
      <w:r w:rsidRPr="000D284A">
        <w:rPr>
          <w:b w:val="0"/>
          <w:i/>
        </w:rPr>
        <w:fldChar w:fldCharType="separate"/>
      </w:r>
      <w:r w:rsidR="000D284A">
        <w:rPr>
          <w:b w:val="0"/>
          <w:i/>
          <w:noProof/>
        </w:rPr>
        <w:t>11</w:t>
      </w:r>
      <w:r w:rsidRPr="000D284A">
        <w:rPr>
          <w:b w:val="0"/>
          <w:i/>
        </w:rPr>
        <w:fldChar w:fldCharType="end"/>
      </w:r>
      <w:bookmarkEnd w:id="575"/>
      <w:r w:rsidRPr="000D284A">
        <w:rPr>
          <w:b w:val="0"/>
          <w:i/>
        </w:rPr>
        <w:t xml:space="preserve"> Bijkomende RAB waarden voor distributienetbeheerders die Infrax als exploitatiemaatschappij hebben</w:t>
      </w:r>
    </w:p>
    <w:tbl>
      <w:tblPr>
        <w:tblW w:w="0" w:type="auto"/>
        <w:tblInd w:w="108" w:type="dxa"/>
        <w:tblCellMar>
          <w:left w:w="0" w:type="dxa"/>
          <w:bottom w:w="28" w:type="dxa"/>
          <w:right w:w="0" w:type="dxa"/>
        </w:tblCellMar>
        <w:tblLook w:val="04A0" w:firstRow="1" w:lastRow="0" w:firstColumn="1" w:lastColumn="0" w:noHBand="0" w:noVBand="1"/>
      </w:tblPr>
      <w:tblGrid>
        <w:gridCol w:w="2742"/>
        <w:gridCol w:w="2574"/>
        <w:gridCol w:w="2575"/>
      </w:tblGrid>
      <w:tr w:rsidR="0034482D" w:rsidRPr="00043B8D" w14:paraId="2B4D1A03" w14:textId="77777777" w:rsidTr="00FE0367">
        <w:tc>
          <w:tcPr>
            <w:tcW w:w="27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086BA2" w14:textId="77777777" w:rsidR="0034482D" w:rsidRPr="00043B8D" w:rsidRDefault="0034482D" w:rsidP="00FE0367">
            <w:pPr>
              <w:rPr>
                <w:rFonts w:cs="Tahoma"/>
              </w:rPr>
            </w:pPr>
            <w:r w:rsidRPr="00043B8D">
              <w:rPr>
                <w:rFonts w:cs="Tahoma"/>
              </w:rPr>
              <w:t>Distributienetbeheerder</w:t>
            </w:r>
          </w:p>
        </w:tc>
        <w:tc>
          <w:tcPr>
            <w:tcW w:w="514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15EDB4" w14:textId="77777777" w:rsidR="0034482D" w:rsidRPr="00043B8D" w:rsidRDefault="0034482D" w:rsidP="00FE0367">
            <w:pPr>
              <w:jc w:val="center"/>
              <w:rPr>
                <w:rFonts w:cs="Tahoma"/>
              </w:rPr>
            </w:pPr>
            <w:r w:rsidRPr="00043B8D">
              <w:rPr>
                <w:rFonts w:cs="Tahoma"/>
              </w:rPr>
              <w:t>Activiteit</w:t>
            </w:r>
          </w:p>
        </w:tc>
      </w:tr>
      <w:tr w:rsidR="0034482D" w:rsidRPr="00043B8D" w14:paraId="78402E44" w14:textId="77777777" w:rsidTr="00FE0367">
        <w:trPr>
          <w:trHeight w:val="266"/>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7EBB63D" w14:textId="77777777" w:rsidR="0034482D" w:rsidRPr="00043B8D" w:rsidRDefault="0034482D" w:rsidP="00FE0367">
            <w:pPr>
              <w:rPr>
                <w:rFonts w:cs="Tahoma"/>
              </w:rPr>
            </w:pPr>
          </w:p>
        </w:tc>
        <w:tc>
          <w:tcPr>
            <w:tcW w:w="2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BB1123" w14:textId="77777777" w:rsidR="0034482D" w:rsidRPr="00043B8D" w:rsidRDefault="0034482D" w:rsidP="00FE0367">
            <w:pPr>
              <w:jc w:val="center"/>
              <w:rPr>
                <w:rFonts w:cs="Tahoma"/>
              </w:rPr>
            </w:pPr>
            <w:r w:rsidRPr="00043B8D">
              <w:rPr>
                <w:rFonts w:cs="Tahoma"/>
              </w:rPr>
              <w:t>Elektriciteit</w:t>
            </w:r>
          </w:p>
          <w:p w14:paraId="7B8D306C" w14:textId="77777777" w:rsidR="0034482D" w:rsidRPr="00043B8D" w:rsidRDefault="0034482D" w:rsidP="00FE0367">
            <w:pPr>
              <w:jc w:val="center"/>
              <w:rPr>
                <w:rFonts w:cs="Tahoma"/>
              </w:rPr>
            </w:pPr>
          </w:p>
        </w:tc>
        <w:tc>
          <w:tcPr>
            <w:tcW w:w="2575" w:type="dxa"/>
            <w:tcBorders>
              <w:top w:val="nil"/>
              <w:left w:val="nil"/>
              <w:bottom w:val="single" w:sz="8" w:space="0" w:color="auto"/>
              <w:right w:val="single" w:sz="8" w:space="0" w:color="auto"/>
            </w:tcBorders>
            <w:tcMar>
              <w:top w:w="0" w:type="dxa"/>
              <w:left w:w="108" w:type="dxa"/>
              <w:bottom w:w="0" w:type="dxa"/>
              <w:right w:w="108" w:type="dxa"/>
            </w:tcMar>
            <w:hideMark/>
          </w:tcPr>
          <w:p w14:paraId="72878EBA" w14:textId="77777777" w:rsidR="0034482D" w:rsidRPr="00043B8D" w:rsidRDefault="0034482D" w:rsidP="00FE0367">
            <w:pPr>
              <w:jc w:val="center"/>
              <w:rPr>
                <w:rFonts w:cs="Tahoma"/>
              </w:rPr>
            </w:pPr>
            <w:r w:rsidRPr="00043B8D">
              <w:rPr>
                <w:rFonts w:cs="Tahoma"/>
              </w:rPr>
              <w:t>Aardgas</w:t>
            </w:r>
          </w:p>
          <w:p w14:paraId="557B5A33" w14:textId="77777777" w:rsidR="0034482D" w:rsidRPr="00043B8D" w:rsidRDefault="0034482D" w:rsidP="00FE0367">
            <w:pPr>
              <w:jc w:val="center"/>
              <w:rPr>
                <w:rFonts w:cs="Tahoma"/>
              </w:rPr>
            </w:pPr>
          </w:p>
        </w:tc>
      </w:tr>
      <w:tr w:rsidR="0034482D" w:rsidRPr="00043B8D" w14:paraId="4DE6E2E4" w14:textId="77777777" w:rsidTr="00FE0367">
        <w:trPr>
          <w:trHeight w:val="166"/>
        </w:trPr>
        <w:tc>
          <w:tcPr>
            <w:tcW w:w="27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3BDB71" w14:textId="77777777" w:rsidR="0034482D" w:rsidRPr="00043B8D" w:rsidRDefault="0034482D" w:rsidP="00CC0266">
            <w:pPr>
              <w:autoSpaceDE w:val="0"/>
              <w:autoSpaceDN w:val="0"/>
              <w:rPr>
                <w:rFonts w:cs="Tahoma"/>
                <w:color w:val="000000"/>
                <w:lang w:val="fr-BE"/>
              </w:rPr>
            </w:pPr>
            <w:r w:rsidRPr="00043B8D">
              <w:rPr>
                <w:rFonts w:cs="Tahoma"/>
                <w:color w:val="000000"/>
                <w:lang w:val="fr-BE"/>
              </w:rPr>
              <w:t>InterEnerga</w:t>
            </w:r>
          </w:p>
        </w:tc>
        <w:tc>
          <w:tcPr>
            <w:tcW w:w="2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5E57E5" w14:textId="77777777" w:rsidR="0034482D" w:rsidRPr="00043B8D" w:rsidRDefault="0034482D" w:rsidP="00FE0367">
            <w:pPr>
              <w:ind w:right="359"/>
              <w:jc w:val="right"/>
              <w:rPr>
                <w:rFonts w:cs="Tahoma"/>
              </w:rPr>
            </w:pPr>
            <w:r w:rsidRPr="00043B8D">
              <w:rPr>
                <w:rFonts w:cs="Tahoma"/>
              </w:rPr>
              <w:t>-15.262.280</w:t>
            </w:r>
          </w:p>
        </w:tc>
        <w:tc>
          <w:tcPr>
            <w:tcW w:w="2575" w:type="dxa"/>
            <w:tcBorders>
              <w:top w:val="nil"/>
              <w:left w:val="nil"/>
              <w:bottom w:val="single" w:sz="8" w:space="0" w:color="auto"/>
              <w:right w:val="single" w:sz="8" w:space="0" w:color="auto"/>
            </w:tcBorders>
            <w:tcMar>
              <w:top w:w="0" w:type="dxa"/>
              <w:left w:w="108" w:type="dxa"/>
              <w:bottom w:w="0" w:type="dxa"/>
              <w:right w:w="108" w:type="dxa"/>
            </w:tcMar>
            <w:vAlign w:val="center"/>
          </w:tcPr>
          <w:p w14:paraId="3E5E9780" w14:textId="77777777" w:rsidR="0034482D" w:rsidRPr="00043B8D" w:rsidRDefault="0034482D" w:rsidP="00FE0367">
            <w:pPr>
              <w:ind w:right="359"/>
              <w:jc w:val="right"/>
              <w:rPr>
                <w:rFonts w:cs="Tahoma"/>
              </w:rPr>
            </w:pPr>
            <w:r w:rsidRPr="00043B8D">
              <w:rPr>
                <w:rFonts w:cs="Tahoma"/>
              </w:rPr>
              <w:t>47.003.980</w:t>
            </w:r>
          </w:p>
        </w:tc>
      </w:tr>
      <w:tr w:rsidR="0034482D" w:rsidRPr="00043B8D" w14:paraId="2F230472" w14:textId="77777777" w:rsidTr="00FE0367">
        <w:trPr>
          <w:trHeight w:val="103"/>
        </w:trPr>
        <w:tc>
          <w:tcPr>
            <w:tcW w:w="27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9B2171" w14:textId="77777777" w:rsidR="0034482D" w:rsidRPr="00043B8D" w:rsidRDefault="0034482D" w:rsidP="00FE0367">
            <w:pPr>
              <w:autoSpaceDE w:val="0"/>
              <w:autoSpaceDN w:val="0"/>
              <w:rPr>
                <w:rFonts w:cs="Tahoma"/>
                <w:color w:val="000000"/>
              </w:rPr>
            </w:pPr>
            <w:r w:rsidRPr="00043B8D">
              <w:rPr>
                <w:rFonts w:cs="Tahoma"/>
                <w:color w:val="000000"/>
                <w:lang w:val="fr-BE"/>
              </w:rPr>
              <w:t xml:space="preserve">IVEG </w:t>
            </w:r>
          </w:p>
        </w:tc>
        <w:tc>
          <w:tcPr>
            <w:tcW w:w="2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5EB302" w14:textId="77777777" w:rsidR="0034482D" w:rsidRPr="00043B8D" w:rsidRDefault="0034482D" w:rsidP="00FE0367">
            <w:pPr>
              <w:autoSpaceDE w:val="0"/>
              <w:autoSpaceDN w:val="0"/>
              <w:ind w:right="359"/>
              <w:jc w:val="right"/>
              <w:rPr>
                <w:rFonts w:cs="Tahoma"/>
                <w:color w:val="000000"/>
              </w:rPr>
            </w:pPr>
            <w:r w:rsidRPr="00043B8D">
              <w:rPr>
                <w:rFonts w:cs="Tahoma"/>
                <w:color w:val="000000"/>
              </w:rPr>
              <w:t xml:space="preserve">4.907.597 </w:t>
            </w:r>
          </w:p>
        </w:tc>
        <w:tc>
          <w:tcPr>
            <w:tcW w:w="2575" w:type="dxa"/>
            <w:tcBorders>
              <w:top w:val="nil"/>
              <w:left w:val="nil"/>
              <w:bottom w:val="single" w:sz="8" w:space="0" w:color="auto"/>
              <w:right w:val="single" w:sz="8" w:space="0" w:color="auto"/>
            </w:tcBorders>
            <w:tcMar>
              <w:top w:w="0" w:type="dxa"/>
              <w:left w:w="108" w:type="dxa"/>
              <w:bottom w:w="0" w:type="dxa"/>
              <w:right w:w="108" w:type="dxa"/>
            </w:tcMar>
            <w:vAlign w:val="center"/>
          </w:tcPr>
          <w:p w14:paraId="53062E17" w14:textId="77777777" w:rsidR="0034482D" w:rsidRPr="00043B8D" w:rsidRDefault="0034482D" w:rsidP="00FE0367">
            <w:pPr>
              <w:autoSpaceDE w:val="0"/>
              <w:autoSpaceDN w:val="0"/>
              <w:ind w:right="359"/>
              <w:jc w:val="right"/>
              <w:rPr>
                <w:rFonts w:cs="Tahoma"/>
                <w:color w:val="000000"/>
              </w:rPr>
            </w:pPr>
            <w:r w:rsidRPr="00043B8D">
              <w:rPr>
                <w:rFonts w:cs="Tahoma"/>
                <w:color w:val="000000"/>
              </w:rPr>
              <w:t>9.038.565</w:t>
            </w:r>
          </w:p>
        </w:tc>
      </w:tr>
      <w:tr w:rsidR="0034482D" w:rsidRPr="00043B8D" w14:paraId="07E75476" w14:textId="77777777" w:rsidTr="00FE0367">
        <w:trPr>
          <w:trHeight w:val="103"/>
        </w:trPr>
        <w:tc>
          <w:tcPr>
            <w:tcW w:w="27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6E45F4" w14:textId="77777777" w:rsidR="0034482D" w:rsidRPr="00043B8D" w:rsidRDefault="0034482D" w:rsidP="00FE0367">
            <w:pPr>
              <w:autoSpaceDE w:val="0"/>
              <w:autoSpaceDN w:val="0"/>
              <w:rPr>
                <w:rFonts w:cs="Tahoma"/>
                <w:color w:val="000000"/>
              </w:rPr>
            </w:pPr>
            <w:r w:rsidRPr="00043B8D">
              <w:rPr>
                <w:rFonts w:cs="Tahoma"/>
                <w:color w:val="000000"/>
              </w:rPr>
              <w:t>GHA</w:t>
            </w:r>
          </w:p>
        </w:tc>
        <w:tc>
          <w:tcPr>
            <w:tcW w:w="2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7E98DA" w14:textId="77777777" w:rsidR="0034482D" w:rsidRPr="00043B8D" w:rsidRDefault="0034482D" w:rsidP="00FE0367">
            <w:pPr>
              <w:autoSpaceDE w:val="0"/>
              <w:autoSpaceDN w:val="0"/>
              <w:ind w:right="359"/>
              <w:jc w:val="right"/>
              <w:rPr>
                <w:rFonts w:cs="Tahoma"/>
                <w:color w:val="000000"/>
              </w:rPr>
            </w:pPr>
            <w:r w:rsidRPr="00043B8D">
              <w:rPr>
                <w:rFonts w:cs="Tahoma"/>
                <w:color w:val="000000"/>
              </w:rPr>
              <w:t xml:space="preserve">15.214.904 </w:t>
            </w:r>
          </w:p>
        </w:tc>
        <w:tc>
          <w:tcPr>
            <w:tcW w:w="2575" w:type="dxa"/>
            <w:tcBorders>
              <w:top w:val="nil"/>
              <w:left w:val="nil"/>
              <w:bottom w:val="single" w:sz="8" w:space="0" w:color="auto"/>
              <w:right w:val="single" w:sz="8" w:space="0" w:color="auto"/>
            </w:tcBorders>
            <w:tcMar>
              <w:top w:w="0" w:type="dxa"/>
              <w:left w:w="108" w:type="dxa"/>
              <w:bottom w:w="0" w:type="dxa"/>
              <w:right w:w="108" w:type="dxa"/>
            </w:tcMar>
            <w:vAlign w:val="center"/>
          </w:tcPr>
          <w:p w14:paraId="25BABCBD" w14:textId="77777777" w:rsidR="0034482D" w:rsidRPr="00043B8D" w:rsidRDefault="0034482D" w:rsidP="00FE0367">
            <w:pPr>
              <w:autoSpaceDE w:val="0"/>
              <w:autoSpaceDN w:val="0"/>
              <w:ind w:right="359"/>
              <w:jc w:val="right"/>
              <w:rPr>
                <w:rFonts w:cs="Tahoma"/>
                <w:color w:val="000000"/>
              </w:rPr>
            </w:pPr>
            <w:r w:rsidRPr="00043B8D">
              <w:rPr>
                <w:rFonts w:cs="Tahoma"/>
                <w:color w:val="000000"/>
              </w:rPr>
              <w:t>n.v.t.</w:t>
            </w:r>
          </w:p>
        </w:tc>
      </w:tr>
      <w:tr w:rsidR="0034482D" w:rsidRPr="00043B8D" w14:paraId="119486B7" w14:textId="77777777" w:rsidTr="00FE0367">
        <w:trPr>
          <w:trHeight w:val="103"/>
        </w:trPr>
        <w:tc>
          <w:tcPr>
            <w:tcW w:w="27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9FF660" w14:textId="77777777" w:rsidR="0034482D" w:rsidRPr="00043B8D" w:rsidRDefault="0034482D" w:rsidP="00FE0367">
            <w:pPr>
              <w:autoSpaceDE w:val="0"/>
              <w:autoSpaceDN w:val="0"/>
              <w:rPr>
                <w:rFonts w:cs="Tahoma"/>
                <w:color w:val="000000"/>
              </w:rPr>
            </w:pPr>
            <w:r w:rsidRPr="00043B8D">
              <w:rPr>
                <w:rFonts w:cs="Tahoma"/>
                <w:color w:val="000000"/>
              </w:rPr>
              <w:t>AGEM</w:t>
            </w:r>
          </w:p>
        </w:tc>
        <w:tc>
          <w:tcPr>
            <w:tcW w:w="2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BBB3F8" w14:textId="77777777" w:rsidR="0034482D" w:rsidRPr="00043B8D" w:rsidRDefault="0034482D" w:rsidP="00FE0367">
            <w:pPr>
              <w:autoSpaceDE w:val="0"/>
              <w:autoSpaceDN w:val="0"/>
              <w:ind w:right="359"/>
              <w:jc w:val="right"/>
              <w:rPr>
                <w:rFonts w:cs="Tahoma"/>
                <w:color w:val="000000"/>
              </w:rPr>
            </w:pPr>
            <w:r w:rsidRPr="00043B8D">
              <w:rPr>
                <w:rFonts w:cs="Tahoma"/>
                <w:color w:val="000000"/>
              </w:rPr>
              <w:t xml:space="preserve">7.089.343 </w:t>
            </w:r>
          </w:p>
        </w:tc>
        <w:tc>
          <w:tcPr>
            <w:tcW w:w="2575" w:type="dxa"/>
            <w:tcBorders>
              <w:top w:val="nil"/>
              <w:left w:val="nil"/>
              <w:bottom w:val="single" w:sz="8" w:space="0" w:color="auto"/>
              <w:right w:val="single" w:sz="8" w:space="0" w:color="auto"/>
            </w:tcBorders>
            <w:tcMar>
              <w:top w:w="0" w:type="dxa"/>
              <w:left w:w="108" w:type="dxa"/>
              <w:bottom w:w="0" w:type="dxa"/>
              <w:right w:w="108" w:type="dxa"/>
            </w:tcMar>
            <w:vAlign w:val="center"/>
          </w:tcPr>
          <w:p w14:paraId="72F3E491" w14:textId="77777777" w:rsidR="0034482D" w:rsidRPr="00043B8D" w:rsidRDefault="0034482D" w:rsidP="00FE0367">
            <w:pPr>
              <w:autoSpaceDE w:val="0"/>
              <w:autoSpaceDN w:val="0"/>
              <w:ind w:right="359"/>
              <w:jc w:val="right"/>
              <w:rPr>
                <w:rFonts w:cs="Tahoma"/>
                <w:color w:val="000000"/>
              </w:rPr>
            </w:pPr>
            <w:r w:rsidRPr="00043B8D">
              <w:rPr>
                <w:rFonts w:cs="Tahoma"/>
                <w:color w:val="000000"/>
              </w:rPr>
              <w:t>n.v.t.</w:t>
            </w:r>
          </w:p>
        </w:tc>
      </w:tr>
      <w:tr w:rsidR="0034482D" w:rsidRPr="00043B8D" w14:paraId="58D66893" w14:textId="77777777" w:rsidTr="00FE0367">
        <w:trPr>
          <w:trHeight w:val="103"/>
        </w:trPr>
        <w:tc>
          <w:tcPr>
            <w:tcW w:w="27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00CDA9" w14:textId="77777777" w:rsidR="0034482D" w:rsidRPr="00043B8D" w:rsidRDefault="0034482D" w:rsidP="00FE0367">
            <w:pPr>
              <w:autoSpaceDE w:val="0"/>
              <w:autoSpaceDN w:val="0"/>
              <w:rPr>
                <w:rFonts w:cs="Tahoma"/>
                <w:color w:val="000000"/>
              </w:rPr>
            </w:pPr>
            <w:r w:rsidRPr="00043B8D">
              <w:rPr>
                <w:rFonts w:cs="Tahoma"/>
                <w:color w:val="000000"/>
              </w:rPr>
              <w:t xml:space="preserve">Infrax West </w:t>
            </w:r>
          </w:p>
        </w:tc>
        <w:tc>
          <w:tcPr>
            <w:tcW w:w="2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DE8231" w14:textId="77777777" w:rsidR="0034482D" w:rsidRPr="00043B8D" w:rsidRDefault="0034482D" w:rsidP="00FE0367">
            <w:pPr>
              <w:autoSpaceDE w:val="0"/>
              <w:autoSpaceDN w:val="0"/>
              <w:ind w:right="359"/>
              <w:jc w:val="right"/>
              <w:rPr>
                <w:rFonts w:cs="Tahoma"/>
                <w:color w:val="000000"/>
              </w:rPr>
            </w:pPr>
            <w:r w:rsidRPr="00043B8D">
              <w:rPr>
                <w:rFonts w:cs="Tahoma"/>
                <w:color w:val="000000"/>
              </w:rPr>
              <w:t xml:space="preserve">7.997.418 </w:t>
            </w:r>
          </w:p>
        </w:tc>
        <w:tc>
          <w:tcPr>
            <w:tcW w:w="2575" w:type="dxa"/>
            <w:tcBorders>
              <w:top w:val="nil"/>
              <w:left w:val="nil"/>
              <w:bottom w:val="single" w:sz="8" w:space="0" w:color="auto"/>
              <w:right w:val="single" w:sz="8" w:space="0" w:color="auto"/>
            </w:tcBorders>
            <w:tcMar>
              <w:top w:w="0" w:type="dxa"/>
              <w:left w:w="108" w:type="dxa"/>
              <w:bottom w:w="0" w:type="dxa"/>
              <w:right w:w="108" w:type="dxa"/>
            </w:tcMar>
            <w:vAlign w:val="center"/>
          </w:tcPr>
          <w:p w14:paraId="02357BAE" w14:textId="77777777" w:rsidR="0034482D" w:rsidRPr="00043B8D" w:rsidRDefault="0034482D" w:rsidP="00FE0367">
            <w:pPr>
              <w:autoSpaceDE w:val="0"/>
              <w:autoSpaceDN w:val="0"/>
              <w:ind w:right="359"/>
              <w:jc w:val="right"/>
              <w:rPr>
                <w:rFonts w:cs="Tahoma"/>
                <w:color w:val="000000"/>
              </w:rPr>
            </w:pPr>
            <w:r w:rsidRPr="00043B8D">
              <w:rPr>
                <w:rFonts w:cs="Tahoma"/>
                <w:color w:val="000000"/>
              </w:rPr>
              <w:t>19.290.197</w:t>
            </w:r>
          </w:p>
        </w:tc>
      </w:tr>
      <w:tr w:rsidR="0034482D" w:rsidRPr="00043B8D" w14:paraId="3541F63F" w14:textId="77777777" w:rsidTr="00FE0367">
        <w:trPr>
          <w:trHeight w:val="103"/>
        </w:trPr>
        <w:tc>
          <w:tcPr>
            <w:tcW w:w="27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76A93F" w14:textId="77777777" w:rsidR="0034482D" w:rsidRPr="00043B8D" w:rsidRDefault="0034482D" w:rsidP="00FE0367">
            <w:pPr>
              <w:autoSpaceDE w:val="0"/>
              <w:autoSpaceDN w:val="0"/>
              <w:rPr>
                <w:rFonts w:cs="Tahoma"/>
                <w:color w:val="000000"/>
              </w:rPr>
            </w:pPr>
            <w:r w:rsidRPr="00043B8D">
              <w:rPr>
                <w:rFonts w:cs="Tahoma"/>
                <w:color w:val="000000"/>
              </w:rPr>
              <w:t xml:space="preserve">PBE </w:t>
            </w:r>
            <w:r w:rsidRPr="00043B8D">
              <w:rPr>
                <w:rFonts w:cs="Tahoma"/>
              </w:rPr>
              <w:t>(Wallonië en Vlaanderen)</w:t>
            </w:r>
          </w:p>
        </w:tc>
        <w:tc>
          <w:tcPr>
            <w:tcW w:w="2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479833" w14:textId="77777777" w:rsidR="0034482D" w:rsidRPr="00043B8D" w:rsidRDefault="0034482D" w:rsidP="00FE0367">
            <w:pPr>
              <w:autoSpaceDE w:val="0"/>
              <w:autoSpaceDN w:val="0"/>
              <w:ind w:right="359"/>
              <w:jc w:val="right"/>
              <w:rPr>
                <w:rFonts w:cs="Tahoma"/>
                <w:color w:val="000000"/>
              </w:rPr>
            </w:pPr>
            <w:r w:rsidRPr="00043B8D">
              <w:rPr>
                <w:rFonts w:cs="Tahoma"/>
                <w:color w:val="000000"/>
              </w:rPr>
              <w:t xml:space="preserve">17.672.477 </w:t>
            </w:r>
          </w:p>
        </w:tc>
        <w:tc>
          <w:tcPr>
            <w:tcW w:w="2575" w:type="dxa"/>
            <w:tcBorders>
              <w:top w:val="nil"/>
              <w:left w:val="nil"/>
              <w:bottom w:val="single" w:sz="8" w:space="0" w:color="auto"/>
              <w:right w:val="single" w:sz="8" w:space="0" w:color="auto"/>
            </w:tcBorders>
            <w:tcMar>
              <w:top w:w="0" w:type="dxa"/>
              <w:left w:w="108" w:type="dxa"/>
              <w:bottom w:w="0" w:type="dxa"/>
              <w:right w:w="108" w:type="dxa"/>
            </w:tcMar>
            <w:vAlign w:val="center"/>
          </w:tcPr>
          <w:p w14:paraId="20A6ACDA" w14:textId="77777777" w:rsidR="0034482D" w:rsidRPr="00043B8D" w:rsidRDefault="0034482D" w:rsidP="00FE0367">
            <w:pPr>
              <w:autoSpaceDE w:val="0"/>
              <w:autoSpaceDN w:val="0"/>
              <w:ind w:right="359"/>
              <w:jc w:val="right"/>
              <w:rPr>
                <w:rFonts w:cs="Tahoma"/>
                <w:color w:val="000000"/>
              </w:rPr>
            </w:pPr>
            <w:r w:rsidRPr="00043B8D">
              <w:rPr>
                <w:rFonts w:cs="Tahoma"/>
                <w:color w:val="000000"/>
              </w:rPr>
              <w:t>n.v.t.</w:t>
            </w:r>
          </w:p>
        </w:tc>
      </w:tr>
    </w:tbl>
    <w:p w14:paraId="37969FE6" w14:textId="77777777" w:rsidR="009B72F0" w:rsidRPr="00043B8D" w:rsidRDefault="009B72F0" w:rsidP="009B72F0"/>
    <w:p w14:paraId="0DF2A477" w14:textId="18E5B3A6" w:rsidR="00147C94" w:rsidRPr="00043B8D" w:rsidRDefault="00147C94" w:rsidP="00147C94">
      <w:r w:rsidRPr="00043B8D">
        <w:t>De</w:t>
      </w:r>
      <w:r w:rsidR="009B72F0" w:rsidRPr="00043B8D">
        <w:t xml:space="preserve"> vernoemde</w:t>
      </w:r>
      <w:r w:rsidRPr="00043B8D">
        <w:t xml:space="preserve"> meerwaarden </w:t>
      </w:r>
      <w:r w:rsidR="00CC66CA" w:rsidRPr="00043B8D">
        <w:t xml:space="preserve">werden </w:t>
      </w:r>
      <w:r w:rsidRPr="00043B8D">
        <w:t xml:space="preserve">jaarlijks afgeschreven volgens een ritme dat verondersteld </w:t>
      </w:r>
      <w:r w:rsidR="00CC66CA" w:rsidRPr="00043B8D">
        <w:t xml:space="preserve">werd </w:t>
      </w:r>
      <w:r w:rsidRPr="00043B8D">
        <w:t xml:space="preserve">een weergave te zijn van de gemiddelde jaarlijkse desinvesteringen. Hierbij werd in de tarieven-KB’s 2008 bepaald dat de meerwaarde werd afgeboekt en in de kosten werd opgenomen à rato van 2% per jaar in de eerste </w:t>
      </w:r>
      <w:r w:rsidR="00A00ABE" w:rsidRPr="00043B8D">
        <w:t>reguleringsperiode</w:t>
      </w:r>
      <w:r w:rsidRPr="00043B8D">
        <w:t xml:space="preserve"> (2009-2012). Na afloop van het derde jaar van elke </w:t>
      </w:r>
      <w:r w:rsidR="00A00ABE" w:rsidRPr="00043B8D">
        <w:t>reguleringsperiode</w:t>
      </w:r>
      <w:r w:rsidRPr="00043B8D">
        <w:t xml:space="preserve"> werd het voortschrijdend gemiddelde van de buitendienststellingen over de voorbije 4 jaren bepaald en dit voortschrijdend gemiddelde werd vervolgens toegepast in de eerstvolgende </w:t>
      </w:r>
      <w:r w:rsidR="00A00ABE" w:rsidRPr="00043B8D">
        <w:t>reguleringsperiode</w:t>
      </w:r>
      <w:r w:rsidRPr="00043B8D">
        <w:t xml:space="preserve">. Het was dus de bedoeling om het percentage van 2% steeds te verfijnen op basis van de werkelijk vastgestelde buitendienststellingen bij de distributienetbeheerders. Om die reden was er een uitdrukkelijke attestering van de commissaris met betrekking tot de gebruikte methodiek en daadwerkelijke naleving ervan inzake buitendienstgestelde materiële vaste activa noodzakelijk. </w:t>
      </w:r>
      <w:r w:rsidR="009B72F0" w:rsidRPr="00043B8D">
        <w:t>D</w:t>
      </w:r>
      <w:r w:rsidRPr="00043B8D">
        <w:t xml:space="preserve">e VREG </w:t>
      </w:r>
      <w:r w:rsidR="009B72F0" w:rsidRPr="00043B8D">
        <w:t xml:space="preserve">zal </w:t>
      </w:r>
      <w:r w:rsidRPr="00043B8D">
        <w:t xml:space="preserve">deze attestering </w:t>
      </w:r>
      <w:r w:rsidR="009B72F0" w:rsidRPr="00043B8D">
        <w:t xml:space="preserve">blijven vragen </w:t>
      </w:r>
      <w:r w:rsidRPr="00043B8D">
        <w:t>teneinde toe te laten om het toegepaste afschrijvingspercentage te verifiëren en de kwaliteit van de methodiek inzake buitendienststellingen te blijven garanderen.</w:t>
      </w:r>
    </w:p>
    <w:p w14:paraId="309C20E7" w14:textId="77777777" w:rsidR="00147C94" w:rsidRPr="00043B8D" w:rsidRDefault="00147C94" w:rsidP="00147C94"/>
    <w:p w14:paraId="5BB83F30" w14:textId="77777777" w:rsidR="00C8374A" w:rsidRPr="00043B8D" w:rsidRDefault="00C8374A" w:rsidP="00C8374A">
      <w:pPr>
        <w:rPr>
          <w:rFonts w:cs="Tahoma"/>
          <w:lang w:val="nl-BE"/>
        </w:rPr>
      </w:pPr>
      <w:r w:rsidRPr="00043B8D">
        <w:rPr>
          <w:rFonts w:cs="Tahoma"/>
          <w:lang w:val="nl-BE"/>
        </w:rPr>
        <w:t>Bij een door de regulator toegelaten opwaartse herziening van de RAB meerwaarden in een bepaald boekjaar zal, indien dit boekjaar deel uitmaakt van de beschouwde referentieperiode ter bepaling van de trend van de sectorkosten, deze door de regulator toegelaten opwaartse herziening en de hiermee gepaard gaande afschrijvingen ook worden overgenomen in de jaren die aan dit boekjaar voorafgaan en eveneens deel uitmaken van deze beschouwde referentieperiode. Deze methodiek wordt toegepast teneinde te vermijden dat louter een door de regulator toegelaten opwaartse herziening van de RAB meerwaarden in de loop van een referentieperiode ervoor zou zorgen dat de sectorkosten in deze periode een stijgende trend ondergaan.</w:t>
      </w:r>
    </w:p>
    <w:p w14:paraId="2D8829CC" w14:textId="77777777" w:rsidR="00C8374A" w:rsidRPr="00043B8D" w:rsidRDefault="00C8374A" w:rsidP="00147C94">
      <w:pPr>
        <w:rPr>
          <w:lang w:val="nl-BE"/>
        </w:rPr>
      </w:pPr>
    </w:p>
    <w:p w14:paraId="0BB1C723" w14:textId="77777777" w:rsidR="00957239" w:rsidRDefault="001E700E" w:rsidP="00262CB1">
      <w:r w:rsidRPr="00043B8D">
        <w:t>Activering en afschrijving van</w:t>
      </w:r>
      <w:r w:rsidR="003261D0" w:rsidRPr="00043B8D">
        <w:t xml:space="preserve"> oprichtingskosten en</w:t>
      </w:r>
      <w:r w:rsidRPr="00043B8D">
        <w:t xml:space="preserve"> goodwill</w:t>
      </w:r>
      <w:r w:rsidR="003261D0" w:rsidRPr="00043B8D">
        <w:t xml:space="preserve"> </w:t>
      </w:r>
      <w:r w:rsidRPr="00043B8D">
        <w:t>wordt door de VREG uitgesloten</w:t>
      </w:r>
      <w:r w:rsidR="00313F9E" w:rsidRPr="00043B8D">
        <w:t xml:space="preserve"> (par. </w:t>
      </w:r>
      <w:r w:rsidR="00313F9E" w:rsidRPr="00043B8D">
        <w:fldChar w:fldCharType="begin"/>
      </w:r>
      <w:r w:rsidR="00313F9E" w:rsidRPr="00043B8D">
        <w:instrText xml:space="preserve"> REF _Ref363650267 \r \h </w:instrText>
      </w:r>
      <w:r w:rsidR="00043B8D">
        <w:instrText xml:space="preserve"> \* MERGEFORMAT </w:instrText>
      </w:r>
      <w:r w:rsidR="00313F9E" w:rsidRPr="00043B8D">
        <w:fldChar w:fldCharType="separate"/>
      </w:r>
      <w:r w:rsidR="00B30F9B">
        <w:t>5.3.1</w:t>
      </w:r>
      <w:r w:rsidR="00313F9E" w:rsidRPr="00043B8D">
        <w:fldChar w:fldCharType="end"/>
      </w:r>
      <w:r w:rsidR="00313F9E" w:rsidRPr="00043B8D">
        <w:t>)</w:t>
      </w:r>
      <w:r w:rsidRPr="00043B8D">
        <w:t>.</w:t>
      </w:r>
      <w:r w:rsidR="007E395A">
        <w:t xml:space="preserve"> </w:t>
      </w:r>
    </w:p>
    <w:p w14:paraId="7FE60AE9" w14:textId="77777777" w:rsidR="00957239" w:rsidRDefault="00957239" w:rsidP="00262CB1"/>
    <w:p w14:paraId="1D87BE91" w14:textId="57408A27" w:rsidR="006E7305" w:rsidRPr="00043B8D" w:rsidRDefault="006E7305" w:rsidP="00147C94">
      <w:r w:rsidRPr="00043B8D">
        <w:t xml:space="preserve">Na overleg </w:t>
      </w:r>
      <w:r w:rsidR="00034BE5" w:rsidRPr="00043B8D">
        <w:t xml:space="preserve">van de distributienetbeheerders </w:t>
      </w:r>
      <w:r w:rsidRPr="00043B8D">
        <w:t>met de VREG en rekening houdend met specifieke projecten kunnen andere activaklassen en afschrijvingspercentages worden goedgekeurd.</w:t>
      </w:r>
    </w:p>
    <w:p w14:paraId="7BA68E00" w14:textId="77777777" w:rsidR="008F0634" w:rsidRPr="00043B8D" w:rsidRDefault="008F0634" w:rsidP="00147C94"/>
    <w:p w14:paraId="3FA28139" w14:textId="77777777" w:rsidR="007D30DD" w:rsidRPr="00043B8D" w:rsidRDefault="007D30DD" w:rsidP="007D30DD">
      <w:pPr>
        <w:pStyle w:val="Kop2"/>
      </w:pPr>
      <w:bookmarkStart w:id="576" w:name="_Toc454186716"/>
      <w:r w:rsidRPr="00043B8D">
        <w:t>Kosten en opbrengsten</w:t>
      </w:r>
      <w:bookmarkEnd w:id="576"/>
    </w:p>
    <w:p w14:paraId="58443ED9" w14:textId="77777777" w:rsidR="00CC6878" w:rsidRPr="00043B8D" w:rsidRDefault="00CC6878" w:rsidP="00147C94"/>
    <w:p w14:paraId="4D2BEE30" w14:textId="715813FC" w:rsidR="007D30DD" w:rsidRDefault="007D30DD" w:rsidP="00147C94">
      <w:r w:rsidRPr="00043B8D">
        <w:t>De distributienetbeheerder rapporteert de kosten en opbrengsten</w:t>
      </w:r>
      <w:r w:rsidR="00343FCD" w:rsidRPr="00043B8D">
        <w:t xml:space="preserve"> </w:t>
      </w:r>
      <w:r w:rsidRPr="00043B8D">
        <w:t>elk afzonderlijk en bruto, zonder compensatie. Dit laat de VREG toe per rubriek de operationele nettokosten te berekenen.</w:t>
      </w:r>
    </w:p>
    <w:p w14:paraId="23DDC414" w14:textId="77777777" w:rsidR="00F96083" w:rsidRDefault="00F96083" w:rsidP="00147C94"/>
    <w:p w14:paraId="64B9CF02" w14:textId="4FBC8C40" w:rsidR="007E395A" w:rsidRPr="004900BF" w:rsidRDefault="007E395A" w:rsidP="00147C94">
      <w:r w:rsidRPr="004900BF">
        <w:t xml:space="preserve">[Inzake de federale bijdrage elektriciteit </w:t>
      </w:r>
      <w:r w:rsidR="00FE1FFC" w:rsidRPr="004900BF">
        <w:t>dient het jaarlijks saldo, voortvloeiende uit het verschil tussen de betreffende kosten en opbrengsten,</w:t>
      </w:r>
      <w:r w:rsidRPr="004900BF">
        <w:t xml:space="preserve"> integraal op een balansrekening worden geboekt en aldus niet in de resultatenrekening. Afhankelijk van het saldo wordt de federale bijdrage elektriciteit op de actiefzijde of de passiefzijde van de balans geboekt</w:t>
      </w:r>
      <w:r w:rsidR="009B3F51" w:rsidRPr="004900BF">
        <w:t xml:space="preserve"> in afwachting van een beslissing inzake de saldi m.b.t. federale bijdrage elektriciteit door de bevoegde reguleringsinstantie</w:t>
      </w:r>
      <w:r w:rsidRPr="004900BF">
        <w:t>.</w:t>
      </w:r>
    </w:p>
    <w:p w14:paraId="14BD920E" w14:textId="77777777" w:rsidR="00E57CF0" w:rsidRPr="004900BF" w:rsidRDefault="00E57CF0" w:rsidP="008852A8"/>
    <w:p w14:paraId="2AEB0241" w14:textId="40B93B53" w:rsidR="0081130A" w:rsidRPr="004900BF" w:rsidRDefault="00E87969" w:rsidP="0081130A">
      <w:pPr>
        <w:tabs>
          <w:tab w:val="left" w:pos="709"/>
        </w:tabs>
      </w:pPr>
      <w:r w:rsidRPr="004900BF">
        <w:t>Het saldo</w:t>
      </w:r>
      <w:r w:rsidR="007E395A" w:rsidRPr="004900BF">
        <w:t xml:space="preserve"> m.b.t. de in opdracht van de distributienetbeheerder geïnstalleerde oplaadpunten </w:t>
      </w:r>
      <w:r w:rsidR="00D32C78" w:rsidRPr="004900BF">
        <w:t xml:space="preserve">voor elektrische voertuigen, zoals gespecifieerd in par. </w:t>
      </w:r>
      <w:r w:rsidR="00D32C78" w:rsidRPr="004900BF">
        <w:fldChar w:fldCharType="begin"/>
      </w:r>
      <w:r w:rsidR="00D32C78" w:rsidRPr="004900BF">
        <w:instrText xml:space="preserve"> REF _Ref447806671 \r \h </w:instrText>
      </w:r>
      <w:r w:rsidR="004900BF">
        <w:instrText xml:space="preserve"> \* MERGEFORMAT </w:instrText>
      </w:r>
      <w:r w:rsidR="00D32C78" w:rsidRPr="004900BF">
        <w:fldChar w:fldCharType="separate"/>
      </w:r>
      <w:r w:rsidR="00D32C78" w:rsidRPr="004900BF">
        <w:t>5.6.2.8</w:t>
      </w:r>
      <w:r w:rsidR="00D32C78" w:rsidRPr="004900BF">
        <w:fldChar w:fldCharType="end"/>
      </w:r>
      <w:r w:rsidR="00D32C78" w:rsidRPr="004900BF">
        <w:t xml:space="preserve">, </w:t>
      </w:r>
      <w:r w:rsidRPr="004900BF">
        <w:t xml:space="preserve">dient </w:t>
      </w:r>
      <w:r w:rsidR="007E395A" w:rsidRPr="004900BF">
        <w:t xml:space="preserve">eveneens worden </w:t>
      </w:r>
      <w:r w:rsidR="00F96083" w:rsidRPr="004900BF">
        <w:rPr>
          <w:lang w:val="nl-BE"/>
        </w:rPr>
        <w:t xml:space="preserve">afgezonderd buiten de resultatenrekening in een ‘saldo m.b.t. </w:t>
      </w:r>
      <w:r w:rsidR="006B4DA1" w:rsidRPr="004900BF">
        <w:rPr>
          <w:lang w:val="nl-BE"/>
        </w:rPr>
        <w:t>oplaadpunten voor elektrische voertuigen</w:t>
      </w:r>
      <w:r w:rsidR="00F96083" w:rsidRPr="004900BF">
        <w:rPr>
          <w:lang w:val="nl-BE"/>
        </w:rPr>
        <w:t xml:space="preserve">’ en overgezet naar de overlopende rekeningen op de balans. Dit gebeurt per </w:t>
      </w:r>
      <w:r w:rsidR="00B35584" w:rsidRPr="004900BF">
        <w:rPr>
          <w:lang w:val="nl-BE"/>
        </w:rPr>
        <w:t xml:space="preserve">initieel </w:t>
      </w:r>
      <w:r w:rsidR="00F96083" w:rsidRPr="004900BF">
        <w:rPr>
          <w:lang w:val="nl-BE"/>
        </w:rPr>
        <w:t xml:space="preserve">installatiejaar gedurende </w:t>
      </w:r>
      <w:r w:rsidR="00AA40D3" w:rsidRPr="004900BF">
        <w:rPr>
          <w:lang w:val="nl-BE"/>
        </w:rPr>
        <w:t xml:space="preserve">elf </w:t>
      </w:r>
      <w:r w:rsidR="00F96083" w:rsidRPr="004900BF">
        <w:rPr>
          <w:lang w:val="nl-BE"/>
        </w:rPr>
        <w:t>opeenvolgende jaren</w:t>
      </w:r>
      <w:r w:rsidR="00AA20B9" w:rsidRPr="004900BF">
        <w:rPr>
          <w:lang w:val="nl-BE"/>
        </w:rPr>
        <w:t>, het initieel installatiejaar mee in beschouwing nemende</w:t>
      </w:r>
      <w:r w:rsidR="00F96083" w:rsidRPr="004900BF">
        <w:rPr>
          <w:lang w:val="nl-BE"/>
        </w:rPr>
        <w:t xml:space="preserve">. Voor de oplaadpunten </w:t>
      </w:r>
      <w:r w:rsidR="00B35584" w:rsidRPr="004900BF">
        <w:rPr>
          <w:lang w:val="nl-BE"/>
        </w:rPr>
        <w:t xml:space="preserve">initieel </w:t>
      </w:r>
      <w:r w:rsidR="00F96083" w:rsidRPr="004900BF">
        <w:rPr>
          <w:lang w:val="nl-BE"/>
        </w:rPr>
        <w:t xml:space="preserve">geplaatst in 2016 gebeurt dit aldus voor de jaren 2016 t.e.m. </w:t>
      </w:r>
      <w:r w:rsidR="00AA40D3" w:rsidRPr="004900BF">
        <w:rPr>
          <w:lang w:val="nl-BE"/>
        </w:rPr>
        <w:t>2026</w:t>
      </w:r>
      <w:r w:rsidR="00F96083" w:rsidRPr="004900BF">
        <w:rPr>
          <w:lang w:val="nl-BE"/>
        </w:rPr>
        <w:t xml:space="preserve">. Voor het laatste installatiejaar 2020 gebeurt dit t.e.m. </w:t>
      </w:r>
      <w:r w:rsidR="00AA40D3" w:rsidRPr="004900BF">
        <w:rPr>
          <w:lang w:val="nl-BE"/>
        </w:rPr>
        <w:t>2030</w:t>
      </w:r>
      <w:r w:rsidR="00F96083" w:rsidRPr="004900BF">
        <w:rPr>
          <w:lang w:val="nl-BE"/>
        </w:rPr>
        <w:t>.</w:t>
      </w:r>
      <w:r w:rsidR="0081130A" w:rsidRPr="004900BF">
        <w:t xml:space="preserve"> </w:t>
      </w:r>
    </w:p>
    <w:p w14:paraId="1E62F7FF" w14:textId="1D25AF7A" w:rsidR="007E395A" w:rsidRPr="00CD6A7F" w:rsidRDefault="0081130A" w:rsidP="0081130A">
      <w:pPr>
        <w:tabs>
          <w:tab w:val="left" w:pos="709"/>
        </w:tabs>
      </w:pPr>
      <w:r w:rsidRPr="004900BF">
        <w:t>In de eerste 10 jaar (</w:t>
      </w:r>
      <w:r w:rsidRPr="004900BF">
        <w:rPr>
          <w:i/>
        </w:rPr>
        <w:t>j+10</w:t>
      </w:r>
      <w:r w:rsidRPr="004900BF">
        <w:t xml:space="preserve">) na de initiële installatie van de elektrische oplaadpunten in opdracht van de distributienetbeheerder in het jaar </w:t>
      </w:r>
      <w:r w:rsidRPr="004900BF">
        <w:rPr>
          <w:i/>
        </w:rPr>
        <w:t>j</w:t>
      </w:r>
      <w:r w:rsidRPr="004900BF">
        <w:t xml:space="preserve">, dient de distributienetbeheerder jaarlijks de betreffende kosten en opbrengsten te compenseren aan de hand van het jaarlijks saldo inzake oplaadpunten voor elektrische voertuigen en dit per jaar van initiële installatie. Deze correctie wordt voorzien in het jaarlijkse ex-post rapporteringsmodel niet-exogene kosten (par. </w:t>
      </w:r>
      <w:r w:rsidRPr="004900BF">
        <w:fldChar w:fldCharType="begin"/>
      </w:r>
      <w:r w:rsidRPr="004900BF">
        <w:instrText xml:space="preserve"> REF _Ref450031291 \r \h </w:instrText>
      </w:r>
      <w:r w:rsidR="004900BF">
        <w:instrText xml:space="preserve"> \* MERGEFORMAT </w:instrText>
      </w:r>
      <w:r w:rsidRPr="004900BF">
        <w:fldChar w:fldCharType="separate"/>
      </w:r>
      <w:r w:rsidRPr="004900BF">
        <w:t>10.9</w:t>
      </w:r>
      <w:r w:rsidRPr="004900BF">
        <w:fldChar w:fldCharType="end"/>
      </w:r>
      <w:r w:rsidRPr="004900BF">
        <w:t xml:space="preserve">).  De kosten en opbrengsten ontstaan vanaf 1 januari van het jaar </w:t>
      </w:r>
      <w:r w:rsidRPr="004900BF">
        <w:rPr>
          <w:i/>
        </w:rPr>
        <w:t>j+11</w:t>
      </w:r>
      <w:r w:rsidRPr="004900BF">
        <w:t xml:space="preserve"> en verbonden aan de oplaadpunten, in opdracht van een distributienetbeheerder initieel geïnstalleerd in het jaar </w:t>
      </w:r>
      <w:r w:rsidRPr="004900BF">
        <w:rPr>
          <w:i/>
        </w:rPr>
        <w:t>j</w:t>
      </w:r>
      <w:r w:rsidRPr="004900BF">
        <w:t>, worden zonder compensatie van hun jaarlijks saldo opgenomen in de rapportering van de niet-exogene kosten.</w:t>
      </w:r>
      <w:r w:rsidR="007E395A" w:rsidRPr="004900BF">
        <w:rPr>
          <w:lang w:val="nl-BE"/>
        </w:rPr>
        <w:t>]</w:t>
      </w:r>
      <w:r w:rsidR="007E395A" w:rsidRPr="004900BF">
        <w:rPr>
          <w:rStyle w:val="Voetnootmarkering"/>
          <w:lang w:val="nl-BE"/>
        </w:rPr>
        <w:footnoteReference w:id="95"/>
      </w:r>
    </w:p>
    <w:p w14:paraId="02609C0A" w14:textId="77777777" w:rsidR="00CE54CC" w:rsidRPr="00043B8D" w:rsidRDefault="00CE54CC" w:rsidP="00CE54CC">
      <w:pPr>
        <w:pStyle w:val="Kop2"/>
      </w:pPr>
      <w:bookmarkStart w:id="577" w:name="_Toc454186717"/>
      <w:r w:rsidRPr="00043B8D">
        <w:t>Waarderingsregels</w:t>
      </w:r>
      <w:bookmarkEnd w:id="577"/>
    </w:p>
    <w:p w14:paraId="4F4EDCB6" w14:textId="77777777" w:rsidR="00CE54CC" w:rsidRPr="00043B8D" w:rsidRDefault="00CE54CC" w:rsidP="00CE54CC"/>
    <w:p w14:paraId="232C87F7" w14:textId="5FBF54FE" w:rsidR="00FD6061" w:rsidRPr="00043B8D" w:rsidRDefault="00CE54CC" w:rsidP="00CE54CC">
      <w:r w:rsidRPr="00043B8D">
        <w:t xml:space="preserve">In het geval een distributienetbeheerder wijzigingen in zijn waarderingsregels </w:t>
      </w:r>
      <w:r w:rsidR="00A3775D" w:rsidRPr="00043B8D">
        <w:t>wenst aan te brengen</w:t>
      </w:r>
      <w:r w:rsidRPr="00043B8D">
        <w:t>, dien</w:t>
      </w:r>
      <w:r w:rsidR="00FD6061" w:rsidRPr="00043B8D">
        <w:t>t</w:t>
      </w:r>
      <w:r w:rsidRPr="00043B8D">
        <w:t xml:space="preserve"> </w:t>
      </w:r>
      <w:r w:rsidR="00FD6061" w:rsidRPr="00043B8D">
        <w:t xml:space="preserve">hij </w:t>
      </w:r>
      <w:r w:rsidR="00343FCD" w:rsidRPr="00043B8D">
        <w:t xml:space="preserve">deze </w:t>
      </w:r>
      <w:r w:rsidR="00FD6061" w:rsidRPr="00043B8D">
        <w:t xml:space="preserve">eerst aan </w:t>
      </w:r>
      <w:r w:rsidR="00A3775D" w:rsidRPr="00043B8D">
        <w:t xml:space="preserve">de VREG </w:t>
      </w:r>
      <w:r w:rsidR="00FD6061" w:rsidRPr="00043B8D">
        <w:t>voor te leggen</w:t>
      </w:r>
      <w:r w:rsidR="00A3775D" w:rsidRPr="00043B8D">
        <w:t xml:space="preserve"> vooraleer ze effectief kunnen worden doorgevoerd.</w:t>
      </w:r>
      <w:r w:rsidRPr="00043B8D">
        <w:t xml:space="preserve"> </w:t>
      </w:r>
    </w:p>
    <w:p w14:paraId="14F7B108" w14:textId="77777777" w:rsidR="00FD6061" w:rsidRPr="00043B8D" w:rsidRDefault="00FD6061" w:rsidP="00CE54CC"/>
    <w:p w14:paraId="1F760AFD" w14:textId="541D4E94" w:rsidR="00CE54CC" w:rsidRPr="00043B8D" w:rsidRDefault="00FD6061" w:rsidP="00CE54CC">
      <w:r w:rsidRPr="00043B8D">
        <w:t>Een w</w:t>
      </w:r>
      <w:r w:rsidR="00A3775D" w:rsidRPr="00043B8D">
        <w:t xml:space="preserve">ijziging in de waarderingsregels </w:t>
      </w:r>
      <w:r w:rsidRPr="00043B8D">
        <w:t xml:space="preserve">kan </w:t>
      </w:r>
      <w:r w:rsidR="00A3775D" w:rsidRPr="00043B8D">
        <w:t xml:space="preserve">een impact hebben bij de bepaling van </w:t>
      </w:r>
      <w:r w:rsidRPr="00043B8D">
        <w:t xml:space="preserve">de </w:t>
      </w:r>
      <w:r w:rsidR="00A3775D" w:rsidRPr="00043B8D">
        <w:t>toegestan</w:t>
      </w:r>
      <w:r w:rsidRPr="00043B8D">
        <w:t>e</w:t>
      </w:r>
      <w:r w:rsidR="00A3775D" w:rsidRPr="00043B8D">
        <w:t xml:space="preserve"> inkomen</w:t>
      </w:r>
      <w:r w:rsidRPr="00043B8D">
        <w:t>s</w:t>
      </w:r>
      <w:r w:rsidR="00FF2F04" w:rsidRPr="00043B8D">
        <w:t xml:space="preserve"> en de VREG dient hiervan op de hoogte te zijn</w:t>
      </w:r>
      <w:r w:rsidR="00ED4D82" w:rsidRPr="00043B8D">
        <w:t xml:space="preserve"> (par. </w:t>
      </w:r>
      <w:r w:rsidR="00ED4D82" w:rsidRPr="00043B8D">
        <w:fldChar w:fldCharType="begin"/>
      </w:r>
      <w:r w:rsidR="00ED4D82" w:rsidRPr="00043B8D">
        <w:instrText xml:space="preserve"> REF _Ref392585902 \r \h </w:instrText>
      </w:r>
      <w:r w:rsidR="00043B8D">
        <w:instrText xml:space="preserve"> \* MERGEFORMAT </w:instrText>
      </w:r>
      <w:r w:rsidR="00ED4D82" w:rsidRPr="00043B8D">
        <w:fldChar w:fldCharType="separate"/>
      </w:r>
      <w:r w:rsidR="00B30F9B">
        <w:t>10.6</w:t>
      </w:r>
      <w:r w:rsidR="00ED4D82" w:rsidRPr="00043B8D">
        <w:fldChar w:fldCharType="end"/>
      </w:r>
      <w:r w:rsidR="00ED4D82" w:rsidRPr="00043B8D">
        <w:t>)</w:t>
      </w:r>
      <w:r w:rsidR="00A3775D" w:rsidRPr="00043B8D">
        <w:t>.</w:t>
      </w:r>
    </w:p>
    <w:p w14:paraId="4A267929" w14:textId="77777777" w:rsidR="000A6A58" w:rsidRPr="00043B8D" w:rsidRDefault="000A6A58" w:rsidP="00CE54CC"/>
    <w:p w14:paraId="0E90405D" w14:textId="77777777" w:rsidR="007D30DD" w:rsidRPr="00043B8D" w:rsidRDefault="007D30DD" w:rsidP="00147C94"/>
    <w:p w14:paraId="1752C930" w14:textId="3430B6BA" w:rsidR="00343FCD" w:rsidRPr="00043B8D" w:rsidRDefault="00343FCD">
      <w:pPr>
        <w:jc w:val="left"/>
      </w:pPr>
      <w:r w:rsidRPr="00043B8D">
        <w:br w:type="page"/>
      </w:r>
    </w:p>
    <w:p w14:paraId="49A3D352" w14:textId="77777777" w:rsidR="00270EAE" w:rsidRPr="00043B8D" w:rsidRDefault="00270EAE" w:rsidP="00372253">
      <w:pPr>
        <w:pStyle w:val="Kop1"/>
      </w:pPr>
      <w:bookmarkStart w:id="578" w:name="_Ref390328906"/>
      <w:bookmarkStart w:id="579" w:name="_Ref390427963"/>
      <w:bookmarkStart w:id="580" w:name="_Toc454186718"/>
      <w:r w:rsidRPr="00043B8D">
        <w:t>Rapportering</w:t>
      </w:r>
      <w:r w:rsidR="00372253" w:rsidRPr="00043B8D">
        <w:t xml:space="preserve"> door distributienetbeheerders</w:t>
      </w:r>
      <w:r w:rsidR="00F068B7" w:rsidRPr="00043B8D">
        <w:t xml:space="preserve"> en </w:t>
      </w:r>
      <w:bookmarkEnd w:id="578"/>
      <w:r w:rsidR="00397BB2" w:rsidRPr="00043B8D">
        <w:t>commissaris</w:t>
      </w:r>
      <w:bookmarkEnd w:id="579"/>
      <w:bookmarkEnd w:id="580"/>
    </w:p>
    <w:p w14:paraId="2CEEBD71" w14:textId="77777777" w:rsidR="00085EE9" w:rsidRPr="00043B8D" w:rsidRDefault="00085EE9" w:rsidP="006428AE"/>
    <w:p w14:paraId="5DE66AEC" w14:textId="63B56705" w:rsidR="00085EE9" w:rsidRPr="00043B8D" w:rsidRDefault="003C4F43" w:rsidP="007A1C1B">
      <w:pPr>
        <w:pStyle w:val="Kop2"/>
      </w:pPr>
      <w:bookmarkStart w:id="581" w:name="_Toc454186719"/>
      <w:r w:rsidRPr="00043B8D">
        <w:t xml:space="preserve">Procedure </w:t>
      </w:r>
      <w:r w:rsidR="007A1C1B" w:rsidRPr="00043B8D">
        <w:t>reguleringsperiode</w:t>
      </w:r>
      <w:r w:rsidR="005E329E" w:rsidRPr="00043B8D">
        <w:t xml:space="preserve"> 2015-2016</w:t>
      </w:r>
      <w:bookmarkEnd w:id="581"/>
    </w:p>
    <w:p w14:paraId="6BA0B586" w14:textId="77777777" w:rsidR="007A1C1B" w:rsidRPr="00043B8D" w:rsidRDefault="007A1C1B" w:rsidP="00085EE9"/>
    <w:p w14:paraId="0F60D510" w14:textId="0A3AAC94" w:rsidR="00D04C3B" w:rsidRPr="00043B8D" w:rsidRDefault="00BF5C1E" w:rsidP="00085EE9">
      <w:r w:rsidRPr="00043B8D">
        <w:t>De</w:t>
      </w:r>
      <w:r w:rsidR="00D04C3B" w:rsidRPr="00043B8D">
        <w:t xml:space="preserve"> </w:t>
      </w:r>
      <w:r w:rsidR="00426103" w:rsidRPr="00043B8D">
        <w:t>hier</w:t>
      </w:r>
      <w:r w:rsidRPr="00043B8D">
        <w:t>onder</w:t>
      </w:r>
      <w:r w:rsidR="00426103" w:rsidRPr="00043B8D">
        <w:t xml:space="preserve"> </w:t>
      </w:r>
      <w:r w:rsidR="006C5AB6" w:rsidRPr="00043B8D">
        <w:t xml:space="preserve">in </w:t>
      </w:r>
      <w:r w:rsidR="006C5AB6" w:rsidRPr="00043B8D">
        <w:fldChar w:fldCharType="begin"/>
      </w:r>
      <w:r w:rsidR="006C5AB6" w:rsidRPr="00043B8D">
        <w:instrText xml:space="preserve"> REF _Ref391998681 \h </w:instrText>
      </w:r>
      <w:r w:rsidR="00043B8D">
        <w:instrText xml:space="preserve"> \* MERGEFORMAT </w:instrText>
      </w:r>
      <w:r w:rsidR="006C5AB6" w:rsidRPr="00043B8D">
        <w:fldChar w:fldCharType="separate"/>
      </w:r>
      <w:r w:rsidR="00B30F9B" w:rsidRPr="00043B8D">
        <w:t xml:space="preserve">Tabel </w:t>
      </w:r>
      <w:r w:rsidR="00B30F9B">
        <w:rPr>
          <w:noProof/>
        </w:rPr>
        <w:t>12</w:t>
      </w:r>
      <w:r w:rsidR="006C5AB6" w:rsidRPr="00043B8D">
        <w:fldChar w:fldCharType="end"/>
      </w:r>
      <w:r w:rsidR="006C5AB6" w:rsidRPr="00043B8D">
        <w:t xml:space="preserve"> </w:t>
      </w:r>
      <w:r w:rsidR="00426103" w:rsidRPr="00043B8D">
        <w:t xml:space="preserve">vermelde </w:t>
      </w:r>
      <w:r w:rsidR="00D04C3B" w:rsidRPr="00043B8D">
        <w:t>rapporteringsmodel</w:t>
      </w:r>
      <w:r w:rsidR="00426103" w:rsidRPr="00043B8D">
        <w:t>len</w:t>
      </w:r>
      <w:r w:rsidR="00D04C3B" w:rsidRPr="00043B8D">
        <w:t xml:space="preserve"> </w:t>
      </w:r>
      <w:r w:rsidR="00F068B7" w:rsidRPr="00043B8D">
        <w:t>met bijhorende invul- en auditinstructie</w:t>
      </w:r>
      <w:r w:rsidR="00AE42EE" w:rsidRPr="00043B8D">
        <w:t xml:space="preserve"> (</w:t>
      </w:r>
      <w:r w:rsidR="00FF2F04" w:rsidRPr="00043B8D">
        <w:t>par.</w:t>
      </w:r>
      <w:r w:rsidR="00955790" w:rsidRPr="00043B8D">
        <w:t xml:space="preserve"> </w:t>
      </w:r>
      <w:r w:rsidR="00955790" w:rsidRPr="00043B8D">
        <w:fldChar w:fldCharType="begin"/>
      </w:r>
      <w:r w:rsidR="00955790" w:rsidRPr="00043B8D">
        <w:instrText xml:space="preserve"> REF _Ref392233276 \r \h </w:instrText>
      </w:r>
      <w:r w:rsidR="00043B8D">
        <w:instrText xml:space="preserve"> \* MERGEFORMAT </w:instrText>
      </w:r>
      <w:r w:rsidR="00955790" w:rsidRPr="00043B8D">
        <w:fldChar w:fldCharType="separate"/>
      </w:r>
      <w:r w:rsidR="00B30F9B">
        <w:t>10.1</w:t>
      </w:r>
      <w:r w:rsidR="00955790" w:rsidRPr="00043B8D">
        <w:fldChar w:fldCharType="end"/>
      </w:r>
      <w:r w:rsidR="00AE42EE" w:rsidRPr="00043B8D">
        <w:t>)</w:t>
      </w:r>
      <w:r w:rsidR="00F068B7" w:rsidRPr="00043B8D">
        <w:t xml:space="preserve"> </w:t>
      </w:r>
      <w:r w:rsidR="00D04C3B" w:rsidRPr="00043B8D">
        <w:t>mak</w:t>
      </w:r>
      <w:r w:rsidR="00426103" w:rsidRPr="00043B8D">
        <w:t>en</w:t>
      </w:r>
      <w:r w:rsidR="00D04C3B" w:rsidRPr="00043B8D">
        <w:t xml:space="preserve"> integraal deel uit van deze tariefmethodologie</w:t>
      </w:r>
      <w:r w:rsidR="00426103" w:rsidRPr="00043B8D">
        <w:t>.</w:t>
      </w:r>
      <w:r w:rsidR="00F87A4D" w:rsidRPr="00043B8D">
        <w:t xml:space="preserve"> Hieronder wordt </w:t>
      </w:r>
      <w:r w:rsidR="00B63E49" w:rsidRPr="00043B8D">
        <w:t>tevens</w:t>
      </w:r>
      <w:r w:rsidR="00F87A4D" w:rsidRPr="00043B8D">
        <w:t xml:space="preserve"> de timing m.b.t. de indiening van de verschillende rapporteringsmodellen opgegeven teneinde op 01/01/2015 nieuwe </w:t>
      </w:r>
      <w:r w:rsidR="00B63E49" w:rsidRPr="00043B8D">
        <w:t xml:space="preserve">Vlaamse </w:t>
      </w:r>
      <w:r w:rsidR="00F87A4D" w:rsidRPr="00043B8D">
        <w:t xml:space="preserve">distributienettarieven </w:t>
      </w:r>
      <w:r w:rsidR="00B63E49" w:rsidRPr="00043B8D">
        <w:t>voor elektriciteit en aardgas in voege te laten treden</w:t>
      </w:r>
      <w:r w:rsidR="00F87A4D" w:rsidRPr="00043B8D">
        <w:t>:</w:t>
      </w:r>
    </w:p>
    <w:p w14:paraId="275BC886" w14:textId="77777777" w:rsidR="00732A8F" w:rsidRPr="00043B8D" w:rsidRDefault="00732A8F" w:rsidP="00B07D43"/>
    <w:p w14:paraId="79E820C0" w14:textId="4BCBD640" w:rsidR="006C5AB6" w:rsidRPr="000D284A" w:rsidRDefault="006C5AB6" w:rsidP="00654C50">
      <w:pPr>
        <w:pStyle w:val="Bijschrift"/>
        <w:keepNext/>
        <w:jc w:val="left"/>
        <w:rPr>
          <w:b w:val="0"/>
          <w:i/>
        </w:rPr>
      </w:pPr>
      <w:bookmarkStart w:id="582" w:name="_Ref391998681"/>
      <w:r w:rsidRPr="000D284A">
        <w:rPr>
          <w:b w:val="0"/>
          <w:i/>
        </w:rPr>
        <w:t xml:space="preserve">Tabel </w:t>
      </w:r>
      <w:r w:rsidRPr="000D284A">
        <w:rPr>
          <w:b w:val="0"/>
          <w:i/>
        </w:rPr>
        <w:fldChar w:fldCharType="begin"/>
      </w:r>
      <w:r w:rsidRPr="000D284A">
        <w:rPr>
          <w:b w:val="0"/>
          <w:i/>
        </w:rPr>
        <w:instrText xml:space="preserve"> SEQ Tabel \* ARABIC </w:instrText>
      </w:r>
      <w:r w:rsidRPr="000D284A">
        <w:rPr>
          <w:b w:val="0"/>
          <w:i/>
        </w:rPr>
        <w:fldChar w:fldCharType="separate"/>
      </w:r>
      <w:r w:rsidR="000D284A">
        <w:rPr>
          <w:b w:val="0"/>
          <w:i/>
          <w:noProof/>
        </w:rPr>
        <w:t>12</w:t>
      </w:r>
      <w:r w:rsidRPr="000D284A">
        <w:rPr>
          <w:b w:val="0"/>
          <w:i/>
        </w:rPr>
        <w:fldChar w:fldCharType="end"/>
      </w:r>
      <w:bookmarkEnd w:id="582"/>
      <w:r w:rsidRPr="000D284A">
        <w:rPr>
          <w:b w:val="0"/>
          <w:i/>
        </w:rPr>
        <w:t xml:space="preserve"> Rapportering en timing</w:t>
      </w:r>
    </w:p>
    <w:tbl>
      <w:tblPr>
        <w:tblStyle w:val="Tabelraster"/>
        <w:tblW w:w="9072" w:type="dxa"/>
        <w:tblCellMar>
          <w:top w:w="28" w:type="dxa"/>
          <w:bottom w:w="28" w:type="dxa"/>
        </w:tblCellMar>
        <w:tblLook w:val="01E0" w:firstRow="1" w:lastRow="1" w:firstColumn="1" w:lastColumn="1" w:noHBand="0" w:noVBand="0"/>
      </w:tblPr>
      <w:tblGrid>
        <w:gridCol w:w="4605"/>
        <w:gridCol w:w="4467"/>
      </w:tblGrid>
      <w:tr w:rsidR="00B07D43" w:rsidRPr="00043B8D" w14:paraId="4695499E" w14:textId="77777777" w:rsidTr="008C4AB2">
        <w:tc>
          <w:tcPr>
            <w:tcW w:w="4605" w:type="dxa"/>
          </w:tcPr>
          <w:p w14:paraId="072886CA" w14:textId="77777777" w:rsidR="00B07D43" w:rsidRPr="00043B8D" w:rsidRDefault="00B07D43" w:rsidP="005D3483">
            <w:pPr>
              <w:jc w:val="left"/>
              <w:rPr>
                <w:b/>
              </w:rPr>
            </w:pPr>
            <w:r w:rsidRPr="00043B8D">
              <w:rPr>
                <w:b/>
              </w:rPr>
              <w:t xml:space="preserve">Bij de VREG in te dienen rapporteringen door de distributienetbeheerder </w:t>
            </w:r>
          </w:p>
        </w:tc>
        <w:tc>
          <w:tcPr>
            <w:tcW w:w="4467" w:type="dxa"/>
          </w:tcPr>
          <w:p w14:paraId="38C79926" w14:textId="77777777" w:rsidR="00B07D43" w:rsidRPr="00043B8D" w:rsidRDefault="00B07D43" w:rsidP="005D3483">
            <w:pPr>
              <w:jc w:val="left"/>
              <w:rPr>
                <w:b/>
              </w:rPr>
            </w:pPr>
            <w:r w:rsidRPr="00043B8D">
              <w:rPr>
                <w:b/>
              </w:rPr>
              <w:t>Timing indiening door de distributienetbeheerder bij de VREG</w:t>
            </w:r>
          </w:p>
          <w:p w14:paraId="5C4B0F42" w14:textId="77777777" w:rsidR="00B07D43" w:rsidRPr="00043B8D" w:rsidRDefault="00B07D43" w:rsidP="005D3483">
            <w:pPr>
              <w:jc w:val="left"/>
              <w:rPr>
                <w:b/>
              </w:rPr>
            </w:pPr>
          </w:p>
        </w:tc>
      </w:tr>
      <w:tr w:rsidR="00B07D43" w:rsidRPr="00043B8D" w14:paraId="11292ACD" w14:textId="77777777" w:rsidTr="008C4AB2">
        <w:tc>
          <w:tcPr>
            <w:tcW w:w="4605" w:type="dxa"/>
          </w:tcPr>
          <w:p w14:paraId="683608CA" w14:textId="720A8BAE" w:rsidR="00B07D43" w:rsidRPr="00043B8D" w:rsidRDefault="00504223" w:rsidP="00504223">
            <w:r w:rsidRPr="00043B8D">
              <w:t xml:space="preserve">Bijlage 4: </w:t>
            </w:r>
            <w:r w:rsidR="00B07D43" w:rsidRPr="00043B8D">
              <w:t>Rapporteringsmodel exogene kosten</w:t>
            </w:r>
            <w:r w:rsidR="00134E11" w:rsidRPr="00043B8D">
              <w:t xml:space="preserve"> (</w:t>
            </w:r>
            <w:r w:rsidR="00FA6F85" w:rsidRPr="00043B8D">
              <w:t xml:space="preserve">ex-ante, </w:t>
            </w:r>
            <w:r w:rsidR="00134E11" w:rsidRPr="00043B8D">
              <w:t>budget</w:t>
            </w:r>
            <w:r w:rsidR="00B22D56" w:rsidRPr="00043B8D">
              <w:t>voorstel</w:t>
            </w:r>
            <w:r w:rsidR="00FF2F04" w:rsidRPr="00043B8D">
              <w:t xml:space="preserve"> 2015</w:t>
            </w:r>
            <w:r w:rsidR="00067595" w:rsidRPr="00043B8D">
              <w:t>)</w:t>
            </w:r>
          </w:p>
        </w:tc>
        <w:tc>
          <w:tcPr>
            <w:tcW w:w="4467" w:type="dxa"/>
          </w:tcPr>
          <w:p w14:paraId="7BFC17C7" w14:textId="652114B8" w:rsidR="00B07D43" w:rsidRPr="00043B8D" w:rsidRDefault="00392ACE" w:rsidP="008C4AB2">
            <w:r w:rsidRPr="00043B8D">
              <w:t>Maximaal 8 kalenderdagen na publicatie van de definitieve tariefmethodologie op de website van de VREG</w:t>
            </w:r>
            <w:r w:rsidR="002561D1" w:rsidRPr="00043B8D">
              <w:rPr>
                <w:rStyle w:val="Voetnootmarkering"/>
              </w:rPr>
              <w:footnoteReference w:id="96"/>
            </w:r>
            <w:r w:rsidRPr="00043B8D">
              <w:t>.</w:t>
            </w:r>
          </w:p>
        </w:tc>
      </w:tr>
      <w:tr w:rsidR="00B07D43" w:rsidRPr="00043B8D" w14:paraId="42BE79D2" w14:textId="77777777" w:rsidTr="008C4AB2">
        <w:tc>
          <w:tcPr>
            <w:tcW w:w="4605" w:type="dxa"/>
          </w:tcPr>
          <w:p w14:paraId="735BB789" w14:textId="199D818F" w:rsidR="00B07D43" w:rsidRPr="00043B8D" w:rsidRDefault="00504223" w:rsidP="00504223">
            <w:r w:rsidRPr="00043B8D">
              <w:t xml:space="preserve">Bijlage 5: </w:t>
            </w:r>
            <w:r w:rsidR="00B07D43" w:rsidRPr="00043B8D">
              <w:t>Rapporteringsmodel niet-exogene kosten</w:t>
            </w:r>
            <w:r w:rsidR="002B5D92" w:rsidRPr="00043B8D">
              <w:t xml:space="preserve"> plus toelichting volgens bijlage 6</w:t>
            </w:r>
            <w:r w:rsidR="00134E11" w:rsidRPr="00043B8D">
              <w:t xml:space="preserve"> (ex-post)</w:t>
            </w:r>
          </w:p>
        </w:tc>
        <w:tc>
          <w:tcPr>
            <w:tcW w:w="4467" w:type="dxa"/>
          </w:tcPr>
          <w:p w14:paraId="209D0466" w14:textId="69AFF6C4" w:rsidR="00B07D43" w:rsidRPr="00043B8D" w:rsidRDefault="00392ACE" w:rsidP="008C4AB2">
            <w:r w:rsidRPr="00043B8D">
              <w:t>Maximaal 8 kalenderdagen na publicatie van de definitieve tariefmethodo</w:t>
            </w:r>
            <w:r w:rsidR="00015C0A" w:rsidRPr="00043B8D">
              <w:t>logie op de website van de VREG</w:t>
            </w:r>
            <w:r w:rsidR="002561D1" w:rsidRPr="00043B8D">
              <w:rPr>
                <w:vertAlign w:val="superscript"/>
              </w:rPr>
              <w:t>43</w:t>
            </w:r>
            <w:r w:rsidR="00015C0A" w:rsidRPr="00043B8D">
              <w:t>.</w:t>
            </w:r>
          </w:p>
        </w:tc>
      </w:tr>
      <w:tr w:rsidR="004E5E73" w:rsidRPr="00043B8D" w14:paraId="12966D58" w14:textId="77777777" w:rsidTr="009F52FE">
        <w:trPr>
          <w:trHeight w:val="765"/>
        </w:trPr>
        <w:tc>
          <w:tcPr>
            <w:tcW w:w="4605" w:type="dxa"/>
          </w:tcPr>
          <w:p w14:paraId="0AD0B506" w14:textId="07FB5D78" w:rsidR="004E5E73" w:rsidRPr="00043B8D" w:rsidRDefault="004E5E73" w:rsidP="004E5E73">
            <w:r w:rsidRPr="00043B8D">
              <w:t xml:space="preserve">Tariefvoorstel voor de niet-periodieke distributienettarieven voor 2015 (cfr. par. </w:t>
            </w:r>
            <w:r w:rsidRPr="00043B8D">
              <w:fldChar w:fldCharType="begin"/>
            </w:r>
            <w:r w:rsidRPr="00043B8D">
              <w:instrText xml:space="preserve"> REF _Ref392956380 \r \h </w:instrText>
            </w:r>
            <w:r w:rsidR="00043B8D">
              <w:instrText xml:space="preserve"> \* MERGEFORMAT </w:instrText>
            </w:r>
            <w:r w:rsidRPr="00043B8D">
              <w:fldChar w:fldCharType="separate"/>
            </w:r>
            <w:r w:rsidR="00B30F9B">
              <w:t>5.12</w:t>
            </w:r>
            <w:r w:rsidRPr="00043B8D">
              <w:fldChar w:fldCharType="end"/>
            </w:r>
            <w:r w:rsidRPr="00043B8D">
              <w:t>)</w:t>
            </w:r>
            <w:r w:rsidR="00D15914" w:rsidRPr="00043B8D">
              <w:t xml:space="preserve"> met motivering keuze beginjaar voor indexatie.</w:t>
            </w:r>
          </w:p>
        </w:tc>
        <w:tc>
          <w:tcPr>
            <w:tcW w:w="4467" w:type="dxa"/>
          </w:tcPr>
          <w:p w14:paraId="03BD5C9C" w14:textId="780950B8" w:rsidR="004E5E73" w:rsidRPr="00043B8D" w:rsidRDefault="004E5E73" w:rsidP="00015C0A">
            <w:r w:rsidRPr="00043B8D">
              <w:t>Maximaal 16 kalenderdagen na publicatie van de definitieve tariefmethodologie op de website van de VREG</w:t>
            </w:r>
            <w:r w:rsidR="00015C0A" w:rsidRPr="00043B8D">
              <w:rPr>
                <w:vertAlign w:val="superscript"/>
              </w:rPr>
              <w:t>43</w:t>
            </w:r>
            <w:r w:rsidR="00015C0A" w:rsidRPr="00043B8D">
              <w:t>.</w:t>
            </w:r>
          </w:p>
        </w:tc>
      </w:tr>
      <w:tr w:rsidR="00B07D43" w:rsidRPr="00043B8D" w14:paraId="07328754" w14:textId="77777777" w:rsidTr="008C4AB2">
        <w:tc>
          <w:tcPr>
            <w:tcW w:w="4605" w:type="dxa"/>
          </w:tcPr>
          <w:p w14:paraId="7B0998E2" w14:textId="73495058" w:rsidR="004B2DA8" w:rsidRPr="00043B8D" w:rsidRDefault="00504223" w:rsidP="004E5E73">
            <w:r w:rsidRPr="00043B8D">
              <w:t xml:space="preserve">Bijlage 7: </w:t>
            </w:r>
            <w:r w:rsidR="00A606FD" w:rsidRPr="00043B8D">
              <w:t>Rapporteringsmodel vertaling toegesta</w:t>
            </w:r>
            <w:r w:rsidR="00BF5C1E" w:rsidRPr="00043B8D">
              <w:t>an</w:t>
            </w:r>
            <w:r w:rsidR="00A606FD" w:rsidRPr="00043B8D">
              <w:t xml:space="preserve"> inkomen naar tariefvoorstel</w:t>
            </w:r>
            <w:r w:rsidR="00246E51" w:rsidRPr="00043B8D">
              <w:t>,</w:t>
            </w:r>
            <w:r w:rsidR="002B5D92" w:rsidRPr="00043B8D">
              <w:t xml:space="preserve"> plus </w:t>
            </w:r>
            <w:r w:rsidR="00AB197C" w:rsidRPr="00043B8D">
              <w:t>documentatie</w:t>
            </w:r>
            <w:r w:rsidR="004B2DA8" w:rsidRPr="00043B8D">
              <w:t xml:space="preserve"> </w:t>
            </w:r>
            <w:r w:rsidR="004B2DA8" w:rsidRPr="00043B8D">
              <w:rPr>
                <w:color w:val="000000" w:themeColor="text1"/>
              </w:rPr>
              <w:t xml:space="preserve">volgens </w:t>
            </w:r>
            <w:r w:rsidR="004B2DA8" w:rsidRPr="00043B8D">
              <w:t xml:space="preserve">bijlage </w:t>
            </w:r>
            <w:r w:rsidR="002B5D92" w:rsidRPr="00043B8D">
              <w:t>8</w:t>
            </w:r>
            <w:r w:rsidR="004B2DA8" w:rsidRPr="00043B8D">
              <w:t>.</w:t>
            </w:r>
          </w:p>
        </w:tc>
        <w:tc>
          <w:tcPr>
            <w:tcW w:w="4467" w:type="dxa"/>
          </w:tcPr>
          <w:p w14:paraId="3A3B121C" w14:textId="48079AAE" w:rsidR="00B07D43" w:rsidRPr="00043B8D" w:rsidRDefault="00246E51" w:rsidP="00246E51">
            <w:r w:rsidRPr="00043B8D">
              <w:t>Maximaal 30 kalenderdagen n</w:t>
            </w:r>
            <w:r w:rsidR="00B07D43" w:rsidRPr="00043B8D">
              <w:t xml:space="preserve">a bekendmaking van </w:t>
            </w:r>
            <w:r w:rsidR="00E80C01" w:rsidRPr="00043B8D">
              <w:t xml:space="preserve">het </w:t>
            </w:r>
            <w:r w:rsidR="00B07D43" w:rsidRPr="00043B8D">
              <w:t>toege</w:t>
            </w:r>
            <w:r w:rsidR="00BF5C1E" w:rsidRPr="00043B8D">
              <w:t>staan</w:t>
            </w:r>
            <w:r w:rsidR="00B07D43" w:rsidRPr="00043B8D">
              <w:t xml:space="preserve"> inkomen door de VREG</w:t>
            </w:r>
            <w:r w:rsidR="00280C4A" w:rsidRPr="00043B8D">
              <w:t xml:space="preserve"> (voorzien </w:t>
            </w:r>
            <w:r w:rsidR="00625ECF" w:rsidRPr="00043B8D">
              <w:t xml:space="preserve">ten laatste </w:t>
            </w:r>
            <w:r w:rsidRPr="00043B8D">
              <w:t>16 kalenderdagen na publicatie van de definitieve tariefmethodologie op de website van de VREG,</w:t>
            </w:r>
            <w:r w:rsidR="00504223" w:rsidRPr="00043B8D">
              <w:t xml:space="preserve"> </w:t>
            </w:r>
            <w:r w:rsidR="00625ECF" w:rsidRPr="00043B8D">
              <w:t>mits</w:t>
            </w:r>
            <w:r w:rsidRPr="00043B8D">
              <w:t xml:space="preserve"> tijdige</w:t>
            </w:r>
            <w:r w:rsidR="00625ECF" w:rsidRPr="00043B8D">
              <w:t xml:space="preserve"> ontvangst van de volledig en juist ingevulde rapporteringen</w:t>
            </w:r>
            <w:r w:rsidRPr="00043B8D">
              <w:t xml:space="preserve"> volgens bijlage 4 en bijlage 5</w:t>
            </w:r>
            <w:r w:rsidR="00280C4A" w:rsidRPr="00043B8D">
              <w:t>)</w:t>
            </w:r>
            <w:r w:rsidR="00053CE6" w:rsidRPr="00043B8D">
              <w:t>.</w:t>
            </w:r>
            <w:r w:rsidR="00B07D43" w:rsidRPr="00043B8D">
              <w:t xml:space="preserve"> </w:t>
            </w:r>
          </w:p>
        </w:tc>
      </w:tr>
      <w:tr w:rsidR="004E5E73" w:rsidRPr="00043B8D" w14:paraId="7820BBD7" w14:textId="77777777" w:rsidTr="008C4AB2">
        <w:tc>
          <w:tcPr>
            <w:tcW w:w="4605" w:type="dxa"/>
          </w:tcPr>
          <w:p w14:paraId="1E1AD844" w14:textId="578CEDE4" w:rsidR="004E5E73" w:rsidRPr="00043B8D" w:rsidRDefault="009327F0" w:rsidP="009327F0">
            <w:r w:rsidRPr="00043B8D">
              <w:t>[…]</w:t>
            </w:r>
            <w:r w:rsidRPr="00043B8D">
              <w:rPr>
                <w:rStyle w:val="Voetnootmarkering"/>
              </w:rPr>
              <w:footnoteReference w:id="97"/>
            </w:r>
            <w:r w:rsidR="004E5E73" w:rsidRPr="00043B8D">
              <w:t xml:space="preserve"> </w:t>
            </w:r>
            <w:r w:rsidR="00916C57" w:rsidRPr="00043B8D">
              <w:t xml:space="preserve"> </w:t>
            </w:r>
            <w:r w:rsidRPr="00043B8D">
              <w:t>[</w:t>
            </w:r>
            <w:r w:rsidR="00942226" w:rsidRPr="00043B8D">
              <w:t>Rapport van feitelijke bevindingen</w:t>
            </w:r>
            <w:r w:rsidRPr="00043B8D">
              <w:t>]</w:t>
            </w:r>
            <w:r w:rsidRPr="00043B8D">
              <w:rPr>
                <w:rStyle w:val="Voetnootmarkering"/>
              </w:rPr>
              <w:footnoteReference w:id="98"/>
            </w:r>
            <w:r w:rsidR="00942226" w:rsidRPr="00043B8D">
              <w:t xml:space="preserve"> </w:t>
            </w:r>
            <w:r w:rsidR="004E5E73" w:rsidRPr="00043B8D">
              <w:t>door de commissaris m.b.t. het door de distributienetbeheerder ingediende rapporteringsmodel niet-exogene kosten. Dit attest bevat een afdruk van de door de commissaris nagekeken rapporteringstabellen, gewaarmerkt door de commissaris.</w:t>
            </w:r>
          </w:p>
        </w:tc>
        <w:tc>
          <w:tcPr>
            <w:tcW w:w="4467" w:type="dxa"/>
          </w:tcPr>
          <w:p w14:paraId="06E77283" w14:textId="2C3FF181" w:rsidR="004E5E73" w:rsidRPr="00043B8D" w:rsidRDefault="004E5E73" w:rsidP="008C4AB2">
            <w:r w:rsidRPr="00043B8D">
              <w:t>Ten laatste op 1 juli 2015.</w:t>
            </w:r>
          </w:p>
        </w:tc>
      </w:tr>
      <w:tr w:rsidR="004E5E73" w:rsidRPr="00043B8D" w14:paraId="1A334524" w14:textId="77777777" w:rsidTr="008C4AB2">
        <w:tc>
          <w:tcPr>
            <w:tcW w:w="4605" w:type="dxa"/>
          </w:tcPr>
          <w:p w14:paraId="729B3775" w14:textId="1703BD01" w:rsidR="004E5E73" w:rsidRPr="00043B8D" w:rsidRDefault="004E5E73" w:rsidP="009327F0">
            <w:r w:rsidRPr="00043B8D">
              <w:t xml:space="preserve">Voor gewestgrensoverschrijdende distributienetbeheerders: </w:t>
            </w:r>
            <w:r w:rsidR="009327F0" w:rsidRPr="00043B8D">
              <w:t>[…]</w:t>
            </w:r>
            <w:r w:rsidR="009327F0" w:rsidRPr="00043B8D">
              <w:rPr>
                <w:rStyle w:val="Voetnootmarkering"/>
              </w:rPr>
              <w:footnoteReference w:id="99"/>
            </w:r>
            <w:r w:rsidR="009327F0" w:rsidRPr="00043B8D">
              <w:t xml:space="preserve"> [Rapport van feitelijke bevindingen]</w:t>
            </w:r>
            <w:r w:rsidR="009327F0" w:rsidRPr="00043B8D">
              <w:rPr>
                <w:rStyle w:val="Voetnootmarkering"/>
              </w:rPr>
              <w:footnoteReference w:id="100"/>
            </w:r>
            <w:r w:rsidR="009327F0" w:rsidRPr="00043B8D">
              <w:t xml:space="preserve"> </w:t>
            </w:r>
            <w:r w:rsidRPr="00043B8D">
              <w:t>door de commissaris m.b.t. de verdeling van de activa, passiva, kosten en opbrengsten van de distributienetbeheerder per gewest</w:t>
            </w:r>
            <w:r w:rsidR="003F31E2" w:rsidRPr="00043B8D">
              <w:t xml:space="preserve"> voor de periode 2010-2013</w:t>
            </w:r>
            <w:r w:rsidR="003743F5" w:rsidRPr="00043B8D">
              <w:t>[…]</w:t>
            </w:r>
            <w:r w:rsidRPr="00043B8D">
              <w:rPr>
                <w:rStyle w:val="Voetnootmarkering"/>
              </w:rPr>
              <w:footnoteReference w:id="101"/>
            </w:r>
            <w:r w:rsidRPr="00043B8D">
              <w:t>. Dit attest bevat een afdruk van de door de commissaris nagekeken opdeling en gehanteerde principes, gewaarmerkt door de commissaris.</w:t>
            </w:r>
          </w:p>
        </w:tc>
        <w:tc>
          <w:tcPr>
            <w:tcW w:w="4467" w:type="dxa"/>
          </w:tcPr>
          <w:p w14:paraId="47AB85A7" w14:textId="5D18A3F0" w:rsidR="004E5E73" w:rsidRPr="00043B8D" w:rsidRDefault="004E5E73" w:rsidP="008C4AB2">
            <w:r w:rsidRPr="00043B8D">
              <w:t>Ten laatste op 1 juli 2015.</w:t>
            </w:r>
          </w:p>
        </w:tc>
      </w:tr>
      <w:tr w:rsidR="007A4C89" w:rsidRPr="00043B8D" w14:paraId="416819EB" w14:textId="77777777" w:rsidTr="008C4AB2">
        <w:tc>
          <w:tcPr>
            <w:tcW w:w="4605" w:type="dxa"/>
          </w:tcPr>
          <w:p w14:paraId="387E5C1C" w14:textId="513D84CE" w:rsidR="007A4C89" w:rsidRPr="00043B8D" w:rsidRDefault="007A4C89" w:rsidP="00E70C43">
            <w:r w:rsidRPr="00043B8D">
              <w:t xml:space="preserve">Niet-periodieke distributienettarieven </w:t>
            </w:r>
            <w:r w:rsidR="008C4AB2" w:rsidRPr="00043B8D">
              <w:t xml:space="preserve">voor </w:t>
            </w:r>
            <w:r w:rsidRPr="00043B8D">
              <w:t>201</w:t>
            </w:r>
            <w:r w:rsidR="00FF328A" w:rsidRPr="00043B8D">
              <w:t>6</w:t>
            </w:r>
            <w:r w:rsidRPr="00043B8D">
              <w:t xml:space="preserve"> met </w:t>
            </w:r>
            <w:r w:rsidR="006A3BDE" w:rsidRPr="00043B8D">
              <w:t xml:space="preserve">de door de VREG gevraagde </w:t>
            </w:r>
            <w:r w:rsidRPr="00043B8D">
              <w:t>verantwoording</w:t>
            </w:r>
            <w:r w:rsidR="008C4AB2" w:rsidRPr="00043B8D">
              <w:t xml:space="preserve">, indien de distributienetbeheerder </w:t>
            </w:r>
            <w:r w:rsidR="006A3BDE" w:rsidRPr="00043B8D">
              <w:t xml:space="preserve">de </w:t>
            </w:r>
            <w:r w:rsidR="00E70C43" w:rsidRPr="00043B8D">
              <w:t xml:space="preserve">indexatie volgens de </w:t>
            </w:r>
            <w:r w:rsidR="004E5E73" w:rsidRPr="00043B8D">
              <w:t xml:space="preserve">evolutie van de consumptieprijsindex van augustus 2014 naar augustus 2015 </w:t>
            </w:r>
            <w:r w:rsidR="006A3BDE" w:rsidRPr="00043B8D">
              <w:t xml:space="preserve">niet </w:t>
            </w:r>
            <w:r w:rsidR="008C4AB2" w:rsidRPr="00043B8D">
              <w:t xml:space="preserve">wil toepassen </w:t>
            </w:r>
            <w:r w:rsidR="00062921" w:rsidRPr="00043B8D">
              <w:t>(</w:t>
            </w:r>
            <w:r w:rsidR="00860A25" w:rsidRPr="00043B8D">
              <w:t>par.</w:t>
            </w:r>
            <w:r w:rsidR="00CD3E44" w:rsidRPr="00043B8D">
              <w:t xml:space="preserve"> </w:t>
            </w:r>
            <w:r w:rsidR="00CD3E44" w:rsidRPr="00043B8D">
              <w:fldChar w:fldCharType="begin"/>
            </w:r>
            <w:r w:rsidR="00CD3E44" w:rsidRPr="00043B8D">
              <w:instrText xml:space="preserve"> REF _Ref392956380 \r \h </w:instrText>
            </w:r>
            <w:r w:rsidR="00043B8D">
              <w:instrText xml:space="preserve"> \* MERGEFORMAT </w:instrText>
            </w:r>
            <w:r w:rsidR="00CD3E44" w:rsidRPr="00043B8D">
              <w:fldChar w:fldCharType="separate"/>
            </w:r>
            <w:r w:rsidR="00B30F9B">
              <w:t>5.12</w:t>
            </w:r>
            <w:r w:rsidR="00CD3E44" w:rsidRPr="00043B8D">
              <w:fldChar w:fldCharType="end"/>
            </w:r>
            <w:r w:rsidR="00062921" w:rsidRPr="00043B8D">
              <w:t>).</w:t>
            </w:r>
          </w:p>
        </w:tc>
        <w:tc>
          <w:tcPr>
            <w:tcW w:w="4467" w:type="dxa"/>
          </w:tcPr>
          <w:p w14:paraId="62A079A8" w14:textId="6770A612" w:rsidR="007A4C89" w:rsidRPr="00043B8D" w:rsidRDefault="007A4C89" w:rsidP="008C4AB2">
            <w:r w:rsidRPr="00043B8D">
              <w:t xml:space="preserve">Ten laatste 1 </w:t>
            </w:r>
            <w:r w:rsidR="00FF328A" w:rsidRPr="00043B8D">
              <w:t>juli</w:t>
            </w:r>
            <w:r w:rsidRPr="00043B8D">
              <w:t xml:space="preserve"> 201</w:t>
            </w:r>
            <w:r w:rsidR="00FF328A" w:rsidRPr="00043B8D">
              <w:t>5</w:t>
            </w:r>
            <w:r w:rsidR="00DD6D56" w:rsidRPr="00043B8D">
              <w:t>.</w:t>
            </w:r>
          </w:p>
        </w:tc>
      </w:tr>
    </w:tbl>
    <w:p w14:paraId="7819D01E" w14:textId="77777777" w:rsidR="00B07D43" w:rsidRPr="00043B8D" w:rsidRDefault="00B07D43" w:rsidP="00B07D43">
      <w:pPr>
        <w:jc w:val="left"/>
      </w:pPr>
    </w:p>
    <w:p w14:paraId="1CC852C2" w14:textId="05D869BA" w:rsidR="00FC4EAA" w:rsidRPr="00043B8D" w:rsidRDefault="00FC4EAA" w:rsidP="00B07D43">
      <w:pPr>
        <w:jc w:val="left"/>
        <w:rPr>
          <w:i/>
        </w:rPr>
      </w:pPr>
      <w:r w:rsidRPr="00043B8D">
        <w:rPr>
          <w:i/>
        </w:rPr>
        <w:t>Correcties o.b.v.</w:t>
      </w:r>
      <w:r w:rsidR="009B4861" w:rsidRPr="00043B8D">
        <w:rPr>
          <w:i/>
        </w:rPr>
        <w:t xml:space="preserve"> […]</w:t>
      </w:r>
      <w:r w:rsidR="009B4861" w:rsidRPr="00043B8D">
        <w:rPr>
          <w:rStyle w:val="Voetnootmarkering"/>
          <w:i/>
        </w:rPr>
        <w:footnoteReference w:id="102"/>
      </w:r>
      <w:r w:rsidR="009B4861" w:rsidRPr="00043B8D">
        <w:rPr>
          <w:i/>
        </w:rPr>
        <w:t xml:space="preserve"> [rapport van feitelijke bevindingen]</w:t>
      </w:r>
      <w:r w:rsidR="009B4861" w:rsidRPr="00043B8D">
        <w:rPr>
          <w:rStyle w:val="Voetnootmarkering"/>
          <w:i/>
        </w:rPr>
        <w:footnoteReference w:id="103"/>
      </w:r>
      <w:r w:rsidR="009B4861" w:rsidRPr="00043B8D">
        <w:rPr>
          <w:i/>
        </w:rPr>
        <w:t xml:space="preserve"> </w:t>
      </w:r>
      <w:r w:rsidR="00942226" w:rsidRPr="00043B8D">
        <w:rPr>
          <w:i/>
        </w:rPr>
        <w:t xml:space="preserve">door </w:t>
      </w:r>
      <w:r w:rsidRPr="00043B8D">
        <w:rPr>
          <w:i/>
        </w:rPr>
        <w:t>commissaris</w:t>
      </w:r>
    </w:p>
    <w:p w14:paraId="4C1BA59B" w14:textId="77777777" w:rsidR="00FC4EAA" w:rsidRPr="00043B8D" w:rsidRDefault="00FC4EAA" w:rsidP="00B07D43">
      <w:pPr>
        <w:jc w:val="left"/>
      </w:pPr>
    </w:p>
    <w:p w14:paraId="11520045" w14:textId="37B79BAF" w:rsidR="00B07D43" w:rsidRPr="00043B8D" w:rsidRDefault="00B07D43" w:rsidP="00CF230B">
      <w:r w:rsidRPr="00043B8D">
        <w:t xml:space="preserve">Indien uit </w:t>
      </w:r>
      <w:r w:rsidR="00CF230B" w:rsidRPr="00043B8D">
        <w:t>een</w:t>
      </w:r>
      <w:r w:rsidR="009B4861" w:rsidRPr="00043B8D">
        <w:t xml:space="preserve"> […]</w:t>
      </w:r>
      <w:r w:rsidR="009B4861" w:rsidRPr="00043B8D">
        <w:rPr>
          <w:rStyle w:val="Voetnootmarkering"/>
        </w:rPr>
        <w:footnoteReference w:id="104"/>
      </w:r>
      <w:r w:rsidR="009B4861" w:rsidRPr="00043B8D">
        <w:t xml:space="preserve">  [rapport van feitelijke bevindingen]</w:t>
      </w:r>
      <w:r w:rsidR="009B4861" w:rsidRPr="00043B8D">
        <w:rPr>
          <w:rStyle w:val="Voetnootmarkering"/>
        </w:rPr>
        <w:footnoteReference w:id="105"/>
      </w:r>
      <w:r w:rsidR="009B4861" w:rsidRPr="00043B8D">
        <w:t xml:space="preserve"> </w:t>
      </w:r>
      <w:r w:rsidRPr="00043B8D">
        <w:t xml:space="preserve">van de </w:t>
      </w:r>
      <w:r w:rsidR="00397BB2" w:rsidRPr="00043B8D">
        <w:t>commissaris</w:t>
      </w:r>
      <w:r w:rsidR="00155A09" w:rsidRPr="00043B8D">
        <w:t xml:space="preserve"> </w:t>
      </w:r>
      <w:r w:rsidRPr="00043B8D">
        <w:t>blijkt dat de door de distributienetbeheerder gerapporteerde waarden niet geheel co</w:t>
      </w:r>
      <w:r w:rsidR="00D81429" w:rsidRPr="00043B8D">
        <w:t>r</w:t>
      </w:r>
      <w:r w:rsidRPr="00043B8D">
        <w:t>rect waren, zal de VREG volgende procedure hanteren:</w:t>
      </w:r>
      <w:r w:rsidR="00ED7B1B" w:rsidRPr="00043B8D">
        <w:t>[</w:t>
      </w:r>
    </w:p>
    <w:p w14:paraId="30C2FC97" w14:textId="374DC775" w:rsidR="002D248C" w:rsidRPr="00043B8D" w:rsidRDefault="002D248C" w:rsidP="002229DA">
      <w:pPr>
        <w:numPr>
          <w:ilvl w:val="0"/>
          <w:numId w:val="18"/>
        </w:numPr>
      </w:pPr>
      <w:r w:rsidRPr="00043B8D">
        <w:t xml:space="preserve">De VREG zal </w:t>
      </w:r>
      <w:r w:rsidR="004C2AEC" w:rsidRPr="00043B8D">
        <w:t>n</w:t>
      </w:r>
      <w:r w:rsidR="008020C2" w:rsidRPr="00043B8D">
        <w:t>a</w:t>
      </w:r>
      <w:r w:rsidRPr="00043B8D">
        <w:t xml:space="preserve"> overleg met de commissaris en de distributienetbeheerder de hoogte van de correcties aan de oorspronkelijk door de distributienetbeheerder gerapporteerde data m.b.t. de niet-exogene kosten 2010-2013 vaststellen.</w:t>
      </w:r>
      <w:r w:rsidR="00ED7B1B" w:rsidRPr="00043B8D">
        <w:t>]</w:t>
      </w:r>
      <w:r w:rsidR="00ED7B1B" w:rsidRPr="00043B8D">
        <w:rPr>
          <w:rStyle w:val="Voetnootmarkering"/>
        </w:rPr>
        <w:footnoteReference w:id="106"/>
      </w:r>
    </w:p>
    <w:p w14:paraId="11E103CD" w14:textId="77777777" w:rsidR="00B07D43" w:rsidRPr="00043B8D" w:rsidRDefault="00B07D43" w:rsidP="002229DA">
      <w:pPr>
        <w:numPr>
          <w:ilvl w:val="0"/>
          <w:numId w:val="18"/>
        </w:numPr>
      </w:pPr>
      <w:r w:rsidRPr="00043B8D">
        <w:t>De berekening van het in 2015 toegelaten inkomen uit periodieke distributienettarieven voor niet-exogene kosten per distributienetbeheerder</w:t>
      </w:r>
      <w:r w:rsidR="00155A09" w:rsidRPr="00043B8D">
        <w:t>,</w:t>
      </w:r>
      <w:r w:rsidRPr="00043B8D">
        <w:t xml:space="preserve"> wordt opnieuw uitgevoerd</w:t>
      </w:r>
      <w:r w:rsidR="00155A09" w:rsidRPr="00043B8D">
        <w:t xml:space="preserve"> maar dit keer</w:t>
      </w:r>
      <w:r w:rsidRPr="00043B8D">
        <w:t xml:space="preserve"> met de correcte waarden. Uit deze berekening volgt het toegelaten inkomen per distributienetbeheerder uit de periodieke distributienettarieven voor niet-exogene kosten voor het jaar 2016, door indexatie van het </w:t>
      </w:r>
      <w:r w:rsidR="00BF5C1E" w:rsidRPr="00043B8D">
        <w:t>correcte</w:t>
      </w:r>
      <w:r w:rsidRPr="00043B8D">
        <w:t xml:space="preserve"> inkomen voor 2015 naar het jaar 2016 volgens de formules in de tariefmethodologie.</w:t>
      </w:r>
    </w:p>
    <w:p w14:paraId="005B93D0" w14:textId="77777777" w:rsidR="00B07D43" w:rsidRPr="00043B8D" w:rsidRDefault="00B07D43" w:rsidP="002229DA">
      <w:pPr>
        <w:numPr>
          <w:ilvl w:val="0"/>
          <w:numId w:val="18"/>
        </w:numPr>
        <w:jc w:val="left"/>
      </w:pPr>
      <w:r w:rsidRPr="00043B8D">
        <w:t>Bij dit toegelaten inkomen voor 2016 wordt de correctie voor 2015 opgenomen:</w:t>
      </w:r>
    </w:p>
    <w:p w14:paraId="544238DA" w14:textId="77777777" w:rsidR="00B07D43" w:rsidRPr="00043B8D" w:rsidRDefault="00B07D43" w:rsidP="0020633D">
      <w:pPr>
        <w:numPr>
          <w:ilvl w:val="1"/>
          <w:numId w:val="18"/>
        </w:numPr>
      </w:pPr>
      <w:r w:rsidRPr="00043B8D">
        <w:t xml:space="preserve">Per distributienetbeheerder wordt het </w:t>
      </w:r>
      <w:r w:rsidRPr="00043B8D">
        <w:rPr>
          <w:u w:val="single"/>
        </w:rPr>
        <w:t>verschil</w:t>
      </w:r>
      <w:r w:rsidRPr="00043B8D">
        <w:t xml:space="preserve"> vastgesteld tussen het toegelaten inkomen uit periodieke distributienettarieven voor niet-exogene kosten voor 2015</w:t>
      </w:r>
      <w:r w:rsidR="00BF5C1E" w:rsidRPr="00043B8D">
        <w:t>,</w:t>
      </w:r>
      <w:r w:rsidRPr="00043B8D">
        <w:t xml:space="preserve"> dat werd bepaald op basis van de incorrecte cijfers en het toegelaten inkomen dat zou bepaald geweest zijn op basis van de correcte cijfers.</w:t>
      </w:r>
    </w:p>
    <w:p w14:paraId="0B8BD612" w14:textId="77777777" w:rsidR="00B07D43" w:rsidRPr="00043B8D" w:rsidRDefault="00B07D43" w:rsidP="0020633D">
      <w:pPr>
        <w:numPr>
          <w:ilvl w:val="1"/>
          <w:numId w:val="18"/>
        </w:numPr>
      </w:pPr>
      <w:r w:rsidRPr="00043B8D">
        <w:t>Dit vastgestelde verschil zal aan geactualiseerde waarde een correctie vormen op het toegelaten inkomen uit periodieke distributienettarieven voor niet-exogene kosten voor 2016.</w:t>
      </w:r>
    </w:p>
    <w:p w14:paraId="3D0E7415" w14:textId="0EC7C9B8" w:rsidR="002D248C" w:rsidRPr="00043B8D" w:rsidRDefault="00B07D43" w:rsidP="0020633D">
      <w:pPr>
        <w:numPr>
          <w:ilvl w:val="0"/>
          <w:numId w:val="18"/>
        </w:numPr>
      </w:pPr>
      <w:r w:rsidRPr="00043B8D">
        <w:t>Deze correctie heeft geen invloed op de regulatoire saldi. De regulatoire saldi voor 2015 zijn deze op basis van het toegelaten inkomen en rekenvolumes voor 2015 op basis van de</w:t>
      </w:r>
      <w:r w:rsidR="00BF5C1E" w:rsidRPr="00043B8D">
        <w:t>, indien het geval,</w:t>
      </w:r>
      <w:r w:rsidRPr="00043B8D">
        <w:t xml:space="preserve"> foute cijfers.</w:t>
      </w:r>
    </w:p>
    <w:p w14:paraId="7118DCEC" w14:textId="77777777" w:rsidR="00B07D43" w:rsidRPr="00043B8D" w:rsidRDefault="00B07D43" w:rsidP="00B07D43">
      <w:pPr>
        <w:jc w:val="left"/>
      </w:pPr>
      <w:r w:rsidRPr="00043B8D">
        <w:t xml:space="preserve">Schematisch wordt dit proces voorgesteld in </w:t>
      </w:r>
      <w:r w:rsidR="00D81429" w:rsidRPr="00043B8D">
        <w:fldChar w:fldCharType="begin"/>
      </w:r>
      <w:r w:rsidR="00D81429" w:rsidRPr="00043B8D">
        <w:instrText xml:space="preserve"> REF _Ref390160489 \h  \* MERGEFORMAT </w:instrText>
      </w:r>
      <w:r w:rsidR="00D81429" w:rsidRPr="00043B8D">
        <w:fldChar w:fldCharType="separate"/>
      </w:r>
      <w:r w:rsidR="00B30F9B" w:rsidRPr="00043B8D">
        <w:t xml:space="preserve">Figuur </w:t>
      </w:r>
      <w:r w:rsidR="00B30F9B">
        <w:rPr>
          <w:noProof/>
        </w:rPr>
        <w:t>5</w:t>
      </w:r>
      <w:r w:rsidR="00D81429" w:rsidRPr="00043B8D">
        <w:fldChar w:fldCharType="end"/>
      </w:r>
      <w:r w:rsidR="00D81429" w:rsidRPr="00043B8D">
        <w:t>.</w:t>
      </w:r>
    </w:p>
    <w:p w14:paraId="61E04BA9" w14:textId="77777777" w:rsidR="00B07D43" w:rsidRPr="00043B8D" w:rsidRDefault="00B07D43" w:rsidP="00B07D43">
      <w:pPr>
        <w:jc w:val="left"/>
      </w:pPr>
    </w:p>
    <w:p w14:paraId="74C36B08" w14:textId="77777777" w:rsidR="00B07D43" w:rsidRPr="00043B8D" w:rsidRDefault="00B07D43" w:rsidP="00B07D43">
      <w:pPr>
        <w:keepNext/>
        <w:jc w:val="left"/>
      </w:pPr>
      <w:r w:rsidRPr="00043B8D">
        <w:rPr>
          <w:noProof/>
          <w:lang w:val="nl-BE" w:eastAsia="nl-BE"/>
        </w:rPr>
        <mc:AlternateContent>
          <mc:Choice Requires="wpc">
            <w:drawing>
              <wp:inline distT="0" distB="0" distL="0" distR="0" wp14:anchorId="511C2266" wp14:editId="3F607806">
                <wp:extent cx="5332730" cy="1724660"/>
                <wp:effectExtent l="0" t="0" r="1270" b="8890"/>
                <wp:docPr id="13" name="Papier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6"/>
                        <wps:cNvSpPr txBox="1">
                          <a:spLocks noChangeArrowheads="1"/>
                        </wps:cNvSpPr>
                        <wps:spPr bwMode="auto">
                          <a:xfrm>
                            <a:off x="5080" y="5080"/>
                            <a:ext cx="1028700" cy="457200"/>
                          </a:xfrm>
                          <a:prstGeom prst="rect">
                            <a:avLst/>
                          </a:prstGeom>
                          <a:solidFill>
                            <a:srgbClr val="FFFFFF"/>
                          </a:solidFill>
                          <a:ln w="9525">
                            <a:solidFill>
                              <a:srgbClr val="000000"/>
                            </a:solidFill>
                            <a:miter lim="800000"/>
                            <a:headEnd/>
                            <a:tailEnd/>
                          </a:ln>
                        </wps:spPr>
                        <wps:txbx>
                          <w:txbxContent>
                            <w:p w14:paraId="23A5D97B" w14:textId="77777777" w:rsidR="008F1DB1" w:rsidRPr="00711551" w:rsidRDefault="008F1DB1" w:rsidP="00B07D43">
                              <w:pPr>
                                <w:rPr>
                                  <w:lang w:val="nl-BE"/>
                                </w:rPr>
                              </w:pPr>
                              <w:r>
                                <w:rPr>
                                  <w:lang w:val="nl-BE"/>
                                </w:rPr>
                                <w:t>Foute waarden 2010-2013</w:t>
                              </w:r>
                            </w:p>
                          </w:txbxContent>
                        </wps:txbx>
                        <wps:bodyPr rot="0" vert="horz" wrap="square" lIns="91440" tIns="45720" rIns="91440" bIns="45720" anchor="t" anchorCtr="0" upright="1">
                          <a:noAutofit/>
                        </wps:bodyPr>
                      </wps:wsp>
                      <wps:wsp>
                        <wps:cNvPr id="3" name="Line 7"/>
                        <wps:cNvCnPr/>
                        <wps:spPr bwMode="auto">
                          <a:xfrm>
                            <a:off x="1033780" y="233680"/>
                            <a:ext cx="1600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Text Box 8"/>
                        <wps:cNvSpPr txBox="1">
                          <a:spLocks noChangeArrowheads="1"/>
                        </wps:cNvSpPr>
                        <wps:spPr bwMode="auto">
                          <a:xfrm>
                            <a:off x="2633980" y="5080"/>
                            <a:ext cx="1028700" cy="457200"/>
                          </a:xfrm>
                          <a:prstGeom prst="rect">
                            <a:avLst/>
                          </a:prstGeom>
                          <a:solidFill>
                            <a:srgbClr val="FFFFFF"/>
                          </a:solidFill>
                          <a:ln w="9525">
                            <a:solidFill>
                              <a:srgbClr val="000000"/>
                            </a:solidFill>
                            <a:miter lim="800000"/>
                            <a:headEnd/>
                            <a:tailEnd/>
                          </a:ln>
                        </wps:spPr>
                        <wps:txbx>
                          <w:txbxContent>
                            <w:p w14:paraId="6AC666F6" w14:textId="77777777" w:rsidR="008F1DB1" w:rsidRPr="003124B8" w:rsidRDefault="008F1DB1" w:rsidP="00B07D43">
                              <w:pPr>
                                <w:rPr>
                                  <w:b/>
                                  <w:lang w:val="nl-BE"/>
                                </w:rPr>
                              </w:pPr>
                              <w:r w:rsidRPr="003124B8">
                                <w:rPr>
                                  <w:b/>
                                  <w:lang w:val="nl-BE"/>
                                </w:rPr>
                                <w:t>TI 2015</w:t>
                              </w:r>
                            </w:p>
                            <w:p w14:paraId="5868CC19" w14:textId="77777777" w:rsidR="008F1DB1" w:rsidRPr="003124B8" w:rsidRDefault="008F1DB1" w:rsidP="00B07D43">
                              <w:pPr>
                                <w:rPr>
                                  <w:b/>
                                  <w:lang w:val="nl-BE"/>
                                </w:rPr>
                              </w:pPr>
                              <w:r w:rsidRPr="003124B8">
                                <w:rPr>
                                  <w:b/>
                                  <w:lang w:val="nl-BE"/>
                                </w:rPr>
                                <w:t>werkelijk</w:t>
                              </w:r>
                            </w:p>
                          </w:txbxContent>
                        </wps:txbx>
                        <wps:bodyPr rot="0" vert="horz" wrap="square" lIns="91440" tIns="45720" rIns="91440" bIns="45720" anchor="t" anchorCtr="0" upright="1">
                          <a:noAutofit/>
                        </wps:bodyPr>
                      </wps:wsp>
                      <wps:wsp>
                        <wps:cNvPr id="5" name="Text Box 9"/>
                        <wps:cNvSpPr txBox="1">
                          <a:spLocks noChangeArrowheads="1"/>
                        </wps:cNvSpPr>
                        <wps:spPr bwMode="auto">
                          <a:xfrm>
                            <a:off x="5080" y="1148080"/>
                            <a:ext cx="1028700" cy="571500"/>
                          </a:xfrm>
                          <a:prstGeom prst="rect">
                            <a:avLst/>
                          </a:prstGeom>
                          <a:solidFill>
                            <a:srgbClr val="FFFFFF"/>
                          </a:solidFill>
                          <a:ln w="9525">
                            <a:solidFill>
                              <a:srgbClr val="000000"/>
                            </a:solidFill>
                            <a:miter lim="800000"/>
                            <a:headEnd/>
                            <a:tailEnd/>
                          </a:ln>
                        </wps:spPr>
                        <wps:txbx>
                          <w:txbxContent>
                            <w:p w14:paraId="668B724C" w14:textId="77777777" w:rsidR="008F1DB1" w:rsidRPr="00711551" w:rsidRDefault="008F1DB1" w:rsidP="00B07D43">
                              <w:pPr>
                                <w:rPr>
                                  <w:lang w:val="nl-BE"/>
                                </w:rPr>
                              </w:pPr>
                              <w:r>
                                <w:rPr>
                                  <w:lang w:val="nl-BE"/>
                                </w:rPr>
                                <w:t>Juiste waarden 2010-2013</w:t>
                              </w:r>
                            </w:p>
                          </w:txbxContent>
                        </wps:txbx>
                        <wps:bodyPr rot="0" vert="horz" wrap="square" lIns="91440" tIns="45720" rIns="91440" bIns="45720" anchor="t" anchorCtr="0" upright="1">
                          <a:noAutofit/>
                        </wps:bodyPr>
                      </wps:wsp>
                      <wps:wsp>
                        <wps:cNvPr id="6" name="Line 10"/>
                        <wps:cNvCnPr/>
                        <wps:spPr bwMode="auto">
                          <a:xfrm>
                            <a:off x="1033780" y="1376680"/>
                            <a:ext cx="16002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Text Box 11"/>
                        <wps:cNvSpPr txBox="1">
                          <a:spLocks noChangeArrowheads="1"/>
                        </wps:cNvSpPr>
                        <wps:spPr bwMode="auto">
                          <a:xfrm>
                            <a:off x="2633980" y="1148080"/>
                            <a:ext cx="1028700" cy="457200"/>
                          </a:xfrm>
                          <a:prstGeom prst="rect">
                            <a:avLst/>
                          </a:prstGeom>
                          <a:solidFill>
                            <a:srgbClr val="FFFFFF"/>
                          </a:solidFill>
                          <a:ln w="9525">
                            <a:solidFill>
                              <a:srgbClr val="000000"/>
                            </a:solidFill>
                            <a:miter lim="800000"/>
                            <a:headEnd/>
                            <a:tailEnd/>
                          </a:ln>
                        </wps:spPr>
                        <wps:txbx>
                          <w:txbxContent>
                            <w:p w14:paraId="136F581F" w14:textId="5BA954D5" w:rsidR="008F1DB1" w:rsidRPr="00711551" w:rsidRDefault="008F1DB1" w:rsidP="00D8240E">
                              <w:pPr>
                                <w:jc w:val="left"/>
                                <w:rPr>
                                  <w:lang w:val="nl-BE"/>
                                </w:rPr>
                              </w:pPr>
                              <w:r>
                                <w:rPr>
                                  <w:lang w:val="nl-BE"/>
                                </w:rPr>
                                <w:t>TI 2015 simulatie</w:t>
                              </w:r>
                            </w:p>
                          </w:txbxContent>
                        </wps:txbx>
                        <wps:bodyPr rot="0" vert="horz" wrap="square" lIns="91440" tIns="45720" rIns="91440" bIns="45720" anchor="t" anchorCtr="0" upright="1">
                          <a:noAutofit/>
                        </wps:bodyPr>
                      </wps:wsp>
                      <wps:wsp>
                        <wps:cNvPr id="8" name="Text Box 12"/>
                        <wps:cNvSpPr txBox="1">
                          <a:spLocks noChangeArrowheads="1"/>
                        </wps:cNvSpPr>
                        <wps:spPr bwMode="auto">
                          <a:xfrm>
                            <a:off x="4234180" y="1148080"/>
                            <a:ext cx="1028700" cy="457200"/>
                          </a:xfrm>
                          <a:prstGeom prst="rect">
                            <a:avLst/>
                          </a:prstGeom>
                          <a:solidFill>
                            <a:srgbClr val="FFFFFF"/>
                          </a:solidFill>
                          <a:ln w="9525">
                            <a:solidFill>
                              <a:srgbClr val="000000"/>
                            </a:solidFill>
                            <a:miter lim="800000"/>
                            <a:headEnd/>
                            <a:tailEnd/>
                          </a:ln>
                        </wps:spPr>
                        <wps:txbx>
                          <w:txbxContent>
                            <w:p w14:paraId="22ADAB8A" w14:textId="77777777" w:rsidR="008F1DB1" w:rsidRPr="003124B8" w:rsidRDefault="008F1DB1" w:rsidP="00B07D43">
                              <w:pPr>
                                <w:rPr>
                                  <w:b/>
                                  <w:lang w:val="nl-BE"/>
                                </w:rPr>
                              </w:pPr>
                              <w:r w:rsidRPr="003124B8">
                                <w:rPr>
                                  <w:b/>
                                  <w:lang w:val="nl-BE"/>
                                </w:rPr>
                                <w:t>TI 2016</w:t>
                              </w:r>
                            </w:p>
                            <w:p w14:paraId="7B9A9AD5" w14:textId="77777777" w:rsidR="008F1DB1" w:rsidRPr="003124B8" w:rsidRDefault="008F1DB1" w:rsidP="00B07D43">
                              <w:pPr>
                                <w:rPr>
                                  <w:b/>
                                  <w:lang w:val="nl-BE"/>
                                </w:rPr>
                              </w:pPr>
                              <w:r w:rsidRPr="003124B8">
                                <w:rPr>
                                  <w:b/>
                                  <w:lang w:val="nl-BE"/>
                                </w:rPr>
                                <w:t>werkelijk</w:t>
                              </w:r>
                            </w:p>
                          </w:txbxContent>
                        </wps:txbx>
                        <wps:bodyPr rot="0" vert="horz" wrap="square" lIns="91440" tIns="45720" rIns="91440" bIns="45720" anchor="t" anchorCtr="0" upright="1">
                          <a:noAutofit/>
                        </wps:bodyPr>
                      </wps:wsp>
                      <wps:wsp>
                        <wps:cNvPr id="9" name="Line 13"/>
                        <wps:cNvCnPr/>
                        <wps:spPr bwMode="auto">
                          <a:xfrm>
                            <a:off x="3662680" y="1376680"/>
                            <a:ext cx="5715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14"/>
                        <wps:cNvCnPr/>
                        <wps:spPr bwMode="auto">
                          <a:xfrm>
                            <a:off x="3091180" y="462280"/>
                            <a:ext cx="0" cy="6858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1" name="AutoShape 15"/>
                        <wps:cNvSpPr>
                          <a:spLocks noChangeArrowheads="1"/>
                        </wps:cNvSpPr>
                        <wps:spPr bwMode="auto">
                          <a:xfrm rot="5400000">
                            <a:off x="3917315" y="-87630"/>
                            <a:ext cx="342900" cy="1995170"/>
                          </a:xfrm>
                          <a:custGeom>
                            <a:avLst/>
                            <a:gdLst>
                              <a:gd name="G0" fmla="+- 15920 0 0"/>
                              <a:gd name="G1" fmla="+- 5248 0 0"/>
                              <a:gd name="G2" fmla="+- 12158 0 5248"/>
                              <a:gd name="G3" fmla="+- G2 0 5248"/>
                              <a:gd name="G4" fmla="*/ G3 32768 32059"/>
                              <a:gd name="G5" fmla="*/ G4 1 2"/>
                              <a:gd name="G6" fmla="+- 21600 0 15920"/>
                              <a:gd name="G7" fmla="*/ G6 5248 6079"/>
                              <a:gd name="G8" fmla="+- G7 15920 0"/>
                              <a:gd name="T0" fmla="*/ 15920 w 21600"/>
                              <a:gd name="T1" fmla="*/ 0 h 21600"/>
                              <a:gd name="T2" fmla="*/ 15920 w 21600"/>
                              <a:gd name="T3" fmla="*/ 12158 h 21600"/>
                              <a:gd name="T4" fmla="*/ 850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920" y="0"/>
                                </a:lnTo>
                                <a:lnTo>
                                  <a:pt x="15920" y="5248"/>
                                </a:lnTo>
                                <a:lnTo>
                                  <a:pt x="12427" y="5248"/>
                                </a:lnTo>
                                <a:cubicBezTo>
                                  <a:pt x="5564" y="5248"/>
                                  <a:pt x="0" y="8342"/>
                                  <a:pt x="0" y="12158"/>
                                </a:cubicBezTo>
                                <a:lnTo>
                                  <a:pt x="0" y="21600"/>
                                </a:lnTo>
                                <a:lnTo>
                                  <a:pt x="1699" y="21600"/>
                                </a:lnTo>
                                <a:lnTo>
                                  <a:pt x="1699" y="12158"/>
                                </a:lnTo>
                                <a:cubicBezTo>
                                  <a:pt x="1699" y="9260"/>
                                  <a:pt x="6502" y="6910"/>
                                  <a:pt x="12427" y="6910"/>
                                </a:cubicBezTo>
                                <a:lnTo>
                                  <a:pt x="15920" y="6910"/>
                                </a:lnTo>
                                <a:lnTo>
                                  <a:pt x="15920" y="12158"/>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 name="Text Box 16"/>
                        <wps:cNvSpPr txBox="1">
                          <a:spLocks noChangeArrowheads="1"/>
                        </wps:cNvSpPr>
                        <wps:spPr bwMode="auto">
                          <a:xfrm>
                            <a:off x="4234180" y="139065"/>
                            <a:ext cx="1028700" cy="599440"/>
                          </a:xfrm>
                          <a:prstGeom prst="rect">
                            <a:avLst/>
                          </a:prstGeom>
                          <a:solidFill>
                            <a:srgbClr val="FFFFFF"/>
                          </a:solidFill>
                          <a:ln w="9525">
                            <a:solidFill>
                              <a:srgbClr val="000000"/>
                            </a:solidFill>
                            <a:miter lim="800000"/>
                            <a:headEnd/>
                            <a:tailEnd/>
                          </a:ln>
                        </wps:spPr>
                        <wps:txbx>
                          <w:txbxContent>
                            <w:p w14:paraId="37BF7917" w14:textId="77777777" w:rsidR="008F1DB1" w:rsidRPr="00711551" w:rsidRDefault="008F1DB1" w:rsidP="00B07D43">
                              <w:pPr>
                                <w:rPr>
                                  <w:lang w:val="nl-BE"/>
                                </w:rPr>
                              </w:pPr>
                              <w:r>
                                <w:rPr>
                                  <w:lang w:val="nl-BE"/>
                                </w:rPr>
                                <w:t xml:space="preserve">+ Verschil als </w:t>
                              </w:r>
                              <w:r w:rsidRPr="003124B8">
                                <w:rPr>
                                  <w:b/>
                                  <w:lang w:val="nl-BE"/>
                                </w:rPr>
                                <w:t>correctie</w:t>
                              </w:r>
                              <w:r>
                                <w:rPr>
                                  <w:b/>
                                  <w:lang w:val="nl-BE"/>
                                </w:rPr>
                                <w:t xml:space="preserve"> op TI 2016</w:t>
                              </w:r>
                            </w:p>
                          </w:txbxContent>
                        </wps:txbx>
                        <wps:bodyPr rot="0" vert="horz" wrap="square" lIns="91440" tIns="45720" rIns="91440" bIns="45720" anchor="t" anchorCtr="0" upright="1">
                          <a:noAutofit/>
                        </wps:bodyPr>
                      </wps:wsp>
                    </wpc:wpc>
                  </a:graphicData>
                </a:graphic>
              </wp:inline>
            </w:drawing>
          </mc:Choice>
          <mc:Fallback>
            <w:pict>
              <v:group id="Papier 13" o:spid="_x0000_s1066" editas="canvas" style="width:419.9pt;height:135.8pt;mso-position-horizontal-relative:char;mso-position-vertical-relative:line" coordsize="53327,17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">
                <v:shape id="_x0000_s1067" type="#_x0000_t75" style="position:absolute;width:53327;height:17246;visibility:visible;mso-wrap-style:square">
                  <v:fill o:detectmouseclick="t"/>
                  <v:path o:connecttype="none"/>
                </v:shape>
                <v:shape id="Text Box 6" o:spid="_x0000_s1068" type="#_x0000_t202" style="position:absolute;left:50;top:50;width:10287;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4acEA&#10;AADaAAAADwAAAGRycy9kb3ducmV2LnhtbERPS2sCMRC+C/0PYQpexM22FWu3RpGCojdrpb0Om9kH&#10;3UzWJK7bf28Eoafh43vOfNmbRnTkfG1ZwVOSgiDOra65VHD8Wo9nIHxA1thYJgV/5GG5eBjMMdP2&#10;wp/UHUIpYgj7DBVUIbSZlD6vyKBPbEscucI6gyFCV0rt8BLDTSOf03QqDdYcGyps6aOi/PdwNgpm&#10;k23343cv++98WjRvYfTabU5OqeFjv3oHEagP/+K7e6vjfLi9crty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8uGnBAAAA2gAAAA8AAAAAAAAAAAAAAAAAmAIAAGRycy9kb3du&#10;cmV2LnhtbFBLBQYAAAAABAAEAPUAAACGAwAAAAA=&#10;">
                  <v:textbox>
                    <w:txbxContent>
                      <w:p w14:paraId="23A5D97B" w14:textId="77777777" w:rsidR="008F1DB1" w:rsidRPr="00711551" w:rsidRDefault="008F1DB1" w:rsidP="00B07D43">
                        <w:pPr>
                          <w:rPr>
                            <w:lang w:val="nl-BE"/>
                          </w:rPr>
                        </w:pPr>
                        <w:r>
                          <w:rPr>
                            <w:lang w:val="nl-BE"/>
                          </w:rPr>
                          <w:t>Foute waarden 2010-2013</w:t>
                        </w:r>
                      </w:p>
                    </w:txbxContent>
                  </v:textbox>
                </v:shape>
                <v:line id="Line 7" o:spid="_x0000_s1069" style="position:absolute;visibility:visible;mso-wrap-style:square" from="10337,2336" to="26339,2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shape id="Text Box 8" o:spid="_x0000_s1070" type="#_x0000_t202" style="position:absolute;left:26339;top:50;width:10287;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14:paraId="6AC666F6" w14:textId="77777777" w:rsidR="008F1DB1" w:rsidRPr="003124B8" w:rsidRDefault="008F1DB1" w:rsidP="00B07D43">
                        <w:pPr>
                          <w:rPr>
                            <w:b/>
                            <w:lang w:val="nl-BE"/>
                          </w:rPr>
                        </w:pPr>
                        <w:r w:rsidRPr="003124B8">
                          <w:rPr>
                            <w:b/>
                            <w:lang w:val="nl-BE"/>
                          </w:rPr>
                          <w:t>TI 2015</w:t>
                        </w:r>
                      </w:p>
                      <w:p w14:paraId="5868CC19" w14:textId="77777777" w:rsidR="008F1DB1" w:rsidRPr="003124B8" w:rsidRDefault="008F1DB1" w:rsidP="00B07D43">
                        <w:pPr>
                          <w:rPr>
                            <w:b/>
                            <w:lang w:val="nl-BE"/>
                          </w:rPr>
                        </w:pPr>
                        <w:r w:rsidRPr="003124B8">
                          <w:rPr>
                            <w:b/>
                            <w:lang w:val="nl-BE"/>
                          </w:rPr>
                          <w:t>werkelijk</w:t>
                        </w:r>
                      </w:p>
                    </w:txbxContent>
                  </v:textbox>
                </v:shape>
                <v:shape id="Text Box 9" o:spid="_x0000_s1071" type="#_x0000_t202" style="position:absolute;left:50;top:11480;width:10287;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14:paraId="668B724C" w14:textId="77777777" w:rsidR="008F1DB1" w:rsidRPr="00711551" w:rsidRDefault="008F1DB1" w:rsidP="00B07D43">
                        <w:pPr>
                          <w:rPr>
                            <w:lang w:val="nl-BE"/>
                          </w:rPr>
                        </w:pPr>
                        <w:r>
                          <w:rPr>
                            <w:lang w:val="nl-BE"/>
                          </w:rPr>
                          <w:t>Juiste waarden 2010-2013</w:t>
                        </w:r>
                      </w:p>
                    </w:txbxContent>
                  </v:textbox>
                </v:shape>
                <v:line id="Line 10" o:spid="_x0000_s1072" style="position:absolute;visibility:visible;mso-wrap-style:square" from="10337,13766" to="26339,137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pTMIAAADaAAAADwAAAGRycy9kb3ducmV2LnhtbESPQWsCMRSE7wX/Q3hCbzWrB62rUcRF&#10;8FALaun5uXluFjcvyyau6b9vhEKPw8x8wyzX0Taip87XjhWMRxkI4tLpmisFX+fd2zsIH5A1No5J&#10;wQ95WK8GL0vMtXvwkfpTqESCsM9RgQmhzaX0pSGLfuRa4uRdXWcxJNlVUnf4SHDbyEmWTaXFmtOC&#10;wZa2hsrb6W4VzExxlDNZfJw/i74ez+Mhfl/mSr0O42YBIlAM/+G/9l4rmMLzSro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pTMIAAADaAAAADwAAAAAAAAAAAAAA&#10;AAChAgAAZHJzL2Rvd25yZXYueG1sUEsFBgAAAAAEAAQA+QAAAJADAAAAAA==&#10;">
                  <v:stroke endarrow="block"/>
                </v:line>
                <v:shape id="Text Box 11" o:spid="_x0000_s1073" type="#_x0000_t202" style="position:absolute;left:26339;top:11480;width:10287;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14:paraId="136F581F" w14:textId="5BA954D5" w:rsidR="008F1DB1" w:rsidRPr="00711551" w:rsidRDefault="008F1DB1" w:rsidP="00D8240E">
                        <w:pPr>
                          <w:jc w:val="left"/>
                          <w:rPr>
                            <w:lang w:val="nl-BE"/>
                          </w:rPr>
                        </w:pPr>
                        <w:r>
                          <w:rPr>
                            <w:lang w:val="nl-BE"/>
                          </w:rPr>
                          <w:t>TI 2015 simulatie</w:t>
                        </w:r>
                      </w:p>
                    </w:txbxContent>
                  </v:textbox>
                </v:shape>
                <v:shape id="Text Box 12" o:spid="_x0000_s1074" type="#_x0000_t202" style="position:absolute;left:42341;top:11480;width:10287;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14:paraId="22ADAB8A" w14:textId="77777777" w:rsidR="008F1DB1" w:rsidRPr="003124B8" w:rsidRDefault="008F1DB1" w:rsidP="00B07D43">
                        <w:pPr>
                          <w:rPr>
                            <w:b/>
                            <w:lang w:val="nl-BE"/>
                          </w:rPr>
                        </w:pPr>
                        <w:r w:rsidRPr="003124B8">
                          <w:rPr>
                            <w:b/>
                            <w:lang w:val="nl-BE"/>
                          </w:rPr>
                          <w:t>TI 2016</w:t>
                        </w:r>
                      </w:p>
                      <w:p w14:paraId="7B9A9AD5" w14:textId="77777777" w:rsidR="008F1DB1" w:rsidRPr="003124B8" w:rsidRDefault="008F1DB1" w:rsidP="00B07D43">
                        <w:pPr>
                          <w:rPr>
                            <w:b/>
                            <w:lang w:val="nl-BE"/>
                          </w:rPr>
                        </w:pPr>
                        <w:r w:rsidRPr="003124B8">
                          <w:rPr>
                            <w:b/>
                            <w:lang w:val="nl-BE"/>
                          </w:rPr>
                          <w:t>werkelijk</w:t>
                        </w:r>
                      </w:p>
                    </w:txbxContent>
                  </v:textbox>
                </v:shape>
                <v:line id="Line 13" o:spid="_x0000_s1075" style="position:absolute;visibility:visible;mso-wrap-style:square" from="36626,13766" to="42341,137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line id="Line 14" o:spid="_x0000_s1076" style="position:absolute;visibility:visible;mso-wrap-style:square" from="30911,4622" to="30911,11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ChmsQAAADbAAAADwAAAGRycy9kb3ducmV2LnhtbESPQW/CMAyF75P4D5GRuI0UDmgqBDQh&#10;gXqZ0NjE2TRe261xSpM1Zb9+PkzazdZ7fu/zZje6Vg3Uh8azgcU8A0VcettwZeD97fD4BCpEZIut&#10;ZzJwpwC77eRhg7n1iV9pOMdKSQiHHA3UMXa51qGsyWGY+45YtA/fO4yy9pW2PSYJd61eZtlKO2xY&#10;GmrsaF9T+XX+dgay9HPUn7pohlPxckvdNV2Wt2TMbDo+r0FFGuO/+e+6sIIv9PKLDK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8KGaxAAAANsAAAAPAAAAAAAAAAAA&#10;AAAAAKECAABkcnMvZG93bnJldi54bWxQSwUGAAAAAAQABAD5AAAAkgMAAAAA&#10;">
                  <v:stroke startarrow="block" endarrow="block"/>
                </v:line>
                <v:shape id="AutoShape 15" o:spid="_x0000_s1077" style="position:absolute;left:39172;top:-876;width:3429;height:19952;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kdNsMA&#10;AADbAAAADwAAAGRycy9kb3ducmV2LnhtbERPTWvCQBC9F/oflil4azYRkTR1DaW0UA8K2lI9Dtlp&#10;EpqdjdlNjP/eFQRv83ifs8hH04iBOldbVpBEMQjiwuqaSwU/35/PKQjnkTU2lknBmRzky8eHBWba&#10;nnhLw86XIoSwy1BB5X2bSemKigy6yLbEgfuznUEfYFdK3eEphJtGTuN4Lg3WHBoqbOm9ouJ/1xsF&#10;Q7pPfhs9Px5eNqt0tjXrfv2hlZo8jW+vIDyN/i6+ub90mJ/A9ZdwgFx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gkdNsMAAADbAAAADwAAAAAAAAAAAAAAAACYAgAAZHJzL2Rv&#10;d25yZXYueG1sUEsFBgAAAAAEAAQA9QAAAIgDAAAAAA==&#10;" path="m21600,6079l15920,r,5248l12427,5248c5564,5248,,8342,,12158r,9442l1699,21600r,-9442c1699,9260,6502,6910,12427,6910r3493,l15920,12158,21600,6079xe">
                  <v:stroke joinstyle="miter"/>
                  <v:path o:connecttype="custom" o:connectlocs="252730,0;252730,1123022;13494,1995170;342900,561511" o:connectangles="270,90,90,0" textboxrect="12427,5248,20824,6910"/>
                </v:shape>
                <v:shape id="Text Box 16" o:spid="_x0000_s1078" type="#_x0000_t202" style="position:absolute;left:42341;top:1390;width:10287;height:59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14:paraId="37BF7917" w14:textId="77777777" w:rsidR="008F1DB1" w:rsidRPr="00711551" w:rsidRDefault="008F1DB1" w:rsidP="00B07D43">
                        <w:pPr>
                          <w:rPr>
                            <w:lang w:val="nl-BE"/>
                          </w:rPr>
                        </w:pPr>
                        <w:r>
                          <w:rPr>
                            <w:lang w:val="nl-BE"/>
                          </w:rPr>
                          <w:t xml:space="preserve">+ Verschil als </w:t>
                        </w:r>
                        <w:r w:rsidRPr="003124B8">
                          <w:rPr>
                            <w:b/>
                            <w:lang w:val="nl-BE"/>
                          </w:rPr>
                          <w:t>correctie</w:t>
                        </w:r>
                        <w:r>
                          <w:rPr>
                            <w:b/>
                            <w:lang w:val="nl-BE"/>
                          </w:rPr>
                          <w:t xml:space="preserve"> op TI 2016</w:t>
                        </w:r>
                      </w:p>
                    </w:txbxContent>
                  </v:textbox>
                </v:shape>
                <w10:anchorlock/>
              </v:group>
            </w:pict>
          </mc:Fallback>
        </mc:AlternateContent>
      </w:r>
    </w:p>
    <w:p w14:paraId="07EE0D8B" w14:textId="1D2CB11F" w:rsidR="00B07D43" w:rsidRPr="000D284A" w:rsidRDefault="00B07D43" w:rsidP="00654C50">
      <w:pPr>
        <w:pStyle w:val="Bijschrift"/>
        <w:jc w:val="left"/>
        <w:rPr>
          <w:b w:val="0"/>
          <w:i/>
        </w:rPr>
      </w:pPr>
      <w:bookmarkStart w:id="583" w:name="_Ref390160489"/>
      <w:r w:rsidRPr="000D284A">
        <w:rPr>
          <w:b w:val="0"/>
          <w:i/>
        </w:rPr>
        <w:t xml:space="preserve">Figuur </w:t>
      </w:r>
      <w:r w:rsidRPr="000D284A">
        <w:rPr>
          <w:b w:val="0"/>
          <w:i/>
        </w:rPr>
        <w:fldChar w:fldCharType="begin"/>
      </w:r>
      <w:r w:rsidRPr="000D284A">
        <w:rPr>
          <w:b w:val="0"/>
          <w:i/>
        </w:rPr>
        <w:instrText xml:space="preserve"> SEQ Figuur \* ARABIC </w:instrText>
      </w:r>
      <w:r w:rsidRPr="000D284A">
        <w:rPr>
          <w:b w:val="0"/>
          <w:i/>
        </w:rPr>
        <w:fldChar w:fldCharType="separate"/>
      </w:r>
      <w:r w:rsidR="000D284A">
        <w:rPr>
          <w:b w:val="0"/>
          <w:i/>
          <w:noProof/>
        </w:rPr>
        <w:t>5</w:t>
      </w:r>
      <w:r w:rsidRPr="000D284A">
        <w:rPr>
          <w:b w:val="0"/>
          <w:i/>
        </w:rPr>
        <w:fldChar w:fldCharType="end"/>
      </w:r>
      <w:bookmarkEnd w:id="583"/>
      <w:r w:rsidRPr="000D284A">
        <w:rPr>
          <w:b w:val="0"/>
          <w:i/>
        </w:rPr>
        <w:t xml:space="preserve"> Schema </w:t>
      </w:r>
      <w:r w:rsidR="00ED4754" w:rsidRPr="000D284A">
        <w:rPr>
          <w:b w:val="0"/>
          <w:i/>
        </w:rPr>
        <w:t xml:space="preserve">mogelijke </w:t>
      </w:r>
      <w:r w:rsidRPr="000D284A">
        <w:rPr>
          <w:b w:val="0"/>
          <w:i/>
        </w:rPr>
        <w:t>invloed</w:t>
      </w:r>
      <w:r w:rsidR="0020633D" w:rsidRPr="000D284A">
        <w:rPr>
          <w:b w:val="0"/>
          <w:i/>
        </w:rPr>
        <w:t xml:space="preserve"> </w:t>
      </w:r>
      <w:r w:rsidR="00856C79" w:rsidRPr="000D284A">
        <w:rPr>
          <w:b w:val="0"/>
          <w:i/>
        </w:rPr>
        <w:t>[…]</w:t>
      </w:r>
      <w:r w:rsidR="00856C79" w:rsidRPr="000D284A">
        <w:rPr>
          <w:rStyle w:val="Voetnootmarkering"/>
          <w:b w:val="0"/>
          <w:i/>
        </w:rPr>
        <w:footnoteReference w:id="107"/>
      </w:r>
      <w:r w:rsidR="00856C79" w:rsidRPr="000D284A">
        <w:rPr>
          <w:b w:val="0"/>
          <w:i/>
        </w:rPr>
        <w:t xml:space="preserve"> [rapport van feitelijke bevindingen]</w:t>
      </w:r>
      <w:r w:rsidR="00856C79" w:rsidRPr="000D284A">
        <w:rPr>
          <w:rStyle w:val="Voetnootmarkering"/>
          <w:b w:val="0"/>
          <w:i/>
        </w:rPr>
        <w:footnoteReference w:id="108"/>
      </w:r>
      <w:r w:rsidR="00856C79" w:rsidRPr="000D284A">
        <w:rPr>
          <w:b w:val="0"/>
          <w:i/>
        </w:rPr>
        <w:t xml:space="preserve"> </w:t>
      </w:r>
      <w:r w:rsidR="00397BB2" w:rsidRPr="000D284A">
        <w:rPr>
          <w:b w:val="0"/>
          <w:i/>
        </w:rPr>
        <w:t>commissaris</w:t>
      </w:r>
      <w:r w:rsidR="00BF5C1E" w:rsidRPr="000D284A">
        <w:rPr>
          <w:b w:val="0"/>
          <w:i/>
        </w:rPr>
        <w:t xml:space="preserve"> m.b.t. rapporteringsmodel voor niet-exogene kosten</w:t>
      </w:r>
    </w:p>
    <w:p w14:paraId="528A35E2" w14:textId="77777777" w:rsidR="00B07D43" w:rsidRPr="00043B8D" w:rsidRDefault="00B07D43" w:rsidP="00B07D43">
      <w:pPr>
        <w:jc w:val="left"/>
      </w:pPr>
    </w:p>
    <w:p w14:paraId="2192579C" w14:textId="0722831F" w:rsidR="004C2AEC" w:rsidRPr="00043B8D" w:rsidRDefault="0015537A" w:rsidP="004C2AEC">
      <w:r w:rsidRPr="00043B8D">
        <w:t>[</w:t>
      </w:r>
      <w:r w:rsidR="004C2AEC" w:rsidRPr="00043B8D">
        <w:t xml:space="preserve">Indien het door omstandigheden </w:t>
      </w:r>
      <w:r w:rsidR="008020C2" w:rsidRPr="00043B8D">
        <w:t xml:space="preserve">niet </w:t>
      </w:r>
      <w:r w:rsidR="004C2AEC" w:rsidRPr="00043B8D">
        <w:t xml:space="preserve">mogelijk </w:t>
      </w:r>
      <w:r w:rsidR="009D0E4A" w:rsidRPr="00043B8D">
        <w:t xml:space="preserve">was </w:t>
      </w:r>
      <w:r w:rsidR="004C2AEC" w:rsidRPr="00043B8D">
        <w:t xml:space="preserve">om rekening te houden met </w:t>
      </w:r>
      <w:r w:rsidR="009D0E4A" w:rsidRPr="00043B8D">
        <w:t xml:space="preserve">vastgestelde </w:t>
      </w:r>
      <w:r w:rsidR="004C2AEC" w:rsidRPr="00043B8D">
        <w:t xml:space="preserve">correcties </w:t>
      </w:r>
      <w:r w:rsidR="008020C2" w:rsidRPr="00043B8D">
        <w:t xml:space="preserve">op het moment van </w:t>
      </w:r>
      <w:r w:rsidR="001359CA" w:rsidRPr="00043B8D">
        <w:t xml:space="preserve">de vaststelling van </w:t>
      </w:r>
      <w:r w:rsidR="004C2AEC" w:rsidRPr="00043B8D">
        <w:t xml:space="preserve">het toegelaten inkomen voor 2016, dat dus gebaseerd </w:t>
      </w:r>
      <w:r w:rsidR="002F7123" w:rsidRPr="00043B8D">
        <w:t>werd</w:t>
      </w:r>
      <w:r w:rsidR="004C2AEC" w:rsidRPr="00043B8D">
        <w:t xml:space="preserve"> op foute waarden, </w:t>
      </w:r>
      <w:r w:rsidR="002F7123" w:rsidRPr="00043B8D">
        <w:t>zal</w:t>
      </w:r>
      <w:r w:rsidR="008020C2" w:rsidRPr="00043B8D">
        <w:t xml:space="preserve"> </w:t>
      </w:r>
      <w:r w:rsidR="004C2AEC" w:rsidRPr="00043B8D">
        <w:t xml:space="preserve">er ook een </w:t>
      </w:r>
      <w:r w:rsidR="001359CA" w:rsidRPr="00043B8D">
        <w:t>verschil</w:t>
      </w:r>
      <w:r w:rsidR="004C2AEC" w:rsidRPr="00043B8D">
        <w:t xml:space="preserve"> ontstaan </w:t>
      </w:r>
      <w:r w:rsidR="001359CA" w:rsidRPr="00043B8D">
        <w:t xml:space="preserve">voor dit </w:t>
      </w:r>
      <w:r w:rsidR="004C2AEC" w:rsidRPr="00043B8D">
        <w:t xml:space="preserve">toegelaten inkomen voor 2016. De beide </w:t>
      </w:r>
      <w:r w:rsidR="001359CA" w:rsidRPr="00043B8D">
        <w:t>verschillen (2015 en 2016) worden</w:t>
      </w:r>
      <w:r w:rsidR="003E241D" w:rsidRPr="00043B8D">
        <w:t xml:space="preserve"> dan, zodra gekend,</w:t>
      </w:r>
      <w:r w:rsidR="001359CA" w:rsidRPr="00043B8D">
        <w:t xml:space="preserve"> </w:t>
      </w:r>
      <w:r w:rsidR="004C2AEC" w:rsidRPr="00043B8D">
        <w:t xml:space="preserve">aan geactualiseerde </w:t>
      </w:r>
      <w:r w:rsidR="0027425D" w:rsidRPr="00043B8D">
        <w:t xml:space="preserve">waarde </w:t>
      </w:r>
      <w:r w:rsidR="004C2AEC" w:rsidRPr="00043B8D">
        <w:t xml:space="preserve">meegenomen </w:t>
      </w:r>
      <w:r w:rsidR="0027425D" w:rsidRPr="00043B8D">
        <w:t xml:space="preserve">en verwerkt in het toegelaten inkomen </w:t>
      </w:r>
      <w:r w:rsidR="001359CA" w:rsidRPr="00043B8D">
        <w:t xml:space="preserve">uit periodieke distributienettarieven </w:t>
      </w:r>
      <w:r w:rsidR="0027425D" w:rsidRPr="00043B8D">
        <w:t>voor niet-exogene kosten</w:t>
      </w:r>
      <w:r w:rsidR="001359CA" w:rsidRPr="00043B8D">
        <w:t xml:space="preserve"> van een volgend jaar</w:t>
      </w:r>
      <w:r w:rsidR="0027425D" w:rsidRPr="00043B8D">
        <w:t>.</w:t>
      </w:r>
      <w:r w:rsidRPr="00043B8D">
        <w:t>]</w:t>
      </w:r>
      <w:r w:rsidRPr="00043B8D">
        <w:rPr>
          <w:rStyle w:val="Voetnootmarkering"/>
        </w:rPr>
        <w:footnoteReference w:id="109"/>
      </w:r>
    </w:p>
    <w:p w14:paraId="0637C541" w14:textId="77777777" w:rsidR="004C2AEC" w:rsidRPr="00043B8D" w:rsidRDefault="004C2AEC" w:rsidP="00B07D43">
      <w:pPr>
        <w:jc w:val="left"/>
      </w:pPr>
    </w:p>
    <w:p w14:paraId="0EC42B7E" w14:textId="12966553" w:rsidR="00711783" w:rsidRPr="00043B8D" w:rsidRDefault="003C4F43" w:rsidP="001D0AAE">
      <w:pPr>
        <w:pStyle w:val="Kop2"/>
      </w:pPr>
      <w:bookmarkStart w:id="584" w:name="_Toc454186720"/>
      <w:r w:rsidRPr="00043B8D">
        <w:t>Opleggen en v</w:t>
      </w:r>
      <w:r w:rsidR="00711783" w:rsidRPr="00043B8D">
        <w:t>erwerk</w:t>
      </w:r>
      <w:r w:rsidRPr="00043B8D">
        <w:t>en</w:t>
      </w:r>
      <w:r w:rsidR="00711783" w:rsidRPr="00043B8D">
        <w:t xml:space="preserve"> van voorlopige </w:t>
      </w:r>
      <w:r w:rsidR="00867610" w:rsidRPr="00043B8D">
        <w:t xml:space="preserve">periodieke </w:t>
      </w:r>
      <w:r w:rsidR="00711783" w:rsidRPr="00043B8D">
        <w:t>distributienettarieven</w:t>
      </w:r>
      <w:bookmarkEnd w:id="584"/>
      <w:r w:rsidR="00711783" w:rsidRPr="00043B8D">
        <w:t xml:space="preserve"> </w:t>
      </w:r>
    </w:p>
    <w:p w14:paraId="74C099E7" w14:textId="77777777" w:rsidR="00E954FB" w:rsidRPr="00043B8D" w:rsidRDefault="00E954FB" w:rsidP="00E954FB"/>
    <w:p w14:paraId="33CFED3A" w14:textId="77777777" w:rsidR="00867610" w:rsidRPr="00043B8D" w:rsidRDefault="00867610" w:rsidP="00867610">
      <w:r w:rsidRPr="00043B8D">
        <w:t>De verwerking van inkomsten uit voorlopige periodieke distributienettarieven dient op een transparante en niet-discriminatoire wijze te gebeuren en coherent met de bepaling van de toegelaten inkomsten in de tariefmethodologie.</w:t>
      </w:r>
    </w:p>
    <w:p w14:paraId="4ACCA093" w14:textId="77777777" w:rsidR="00867610" w:rsidRPr="00043B8D" w:rsidRDefault="00867610" w:rsidP="00867610"/>
    <w:p w14:paraId="27390913" w14:textId="57253E8A" w:rsidR="00867610" w:rsidRPr="00043B8D" w:rsidRDefault="00867610" w:rsidP="00867610">
      <w:r w:rsidRPr="00043B8D">
        <w:t xml:space="preserve">De VREG laat </w:t>
      </w:r>
      <w:r w:rsidR="00951050" w:rsidRPr="00043B8D">
        <w:t xml:space="preserve">nieuwe (definitieve of voorlopige) </w:t>
      </w:r>
      <w:r w:rsidRPr="00043B8D">
        <w:t>distributienettarieven halfjaarlijks toe, op 1 juli of 1 januari naargelang het moment waarop de nieuwe distributienettarieven tijdig kunnen gecommuniceerd worden aan de marktspelers. Dit garandeert o.a. een minimale prijsstabiliteit voor de distributienetgebruikers</w:t>
      </w:r>
      <w:r w:rsidR="003C4F43" w:rsidRPr="00043B8D">
        <w:t xml:space="preserve"> en</w:t>
      </w:r>
      <w:r w:rsidRPr="00043B8D">
        <w:t xml:space="preserve"> is beter voorspelbaar voor de markt. </w:t>
      </w:r>
      <w:r w:rsidR="00DD63B9" w:rsidRPr="00043B8D">
        <w:t xml:space="preserve">Evenwel behoudt de VREG zich het recht </w:t>
      </w:r>
      <w:r w:rsidR="00DA4BD5" w:rsidRPr="00043B8D">
        <w:t xml:space="preserve">voor </w:t>
      </w:r>
      <w:r w:rsidR="00DD63B9" w:rsidRPr="00043B8D">
        <w:t xml:space="preserve">om </w:t>
      </w:r>
      <w:r w:rsidR="00D52C5B" w:rsidRPr="00043B8D">
        <w:t xml:space="preserve">hierop een </w:t>
      </w:r>
      <w:r w:rsidR="003C4F43" w:rsidRPr="00043B8D">
        <w:t xml:space="preserve">afwijking toe te staan mits </w:t>
      </w:r>
      <w:r w:rsidR="00DD63B9" w:rsidRPr="00043B8D">
        <w:t xml:space="preserve">gemotiveerd verzoek van een distributienetbeheerder. </w:t>
      </w:r>
    </w:p>
    <w:p w14:paraId="521DDBA4" w14:textId="77777777" w:rsidR="00867610" w:rsidRPr="00043B8D" w:rsidRDefault="00867610" w:rsidP="00867610"/>
    <w:p w14:paraId="51D4B573" w14:textId="1E50633A" w:rsidR="00047C87" w:rsidRPr="00043B8D" w:rsidRDefault="00047C87" w:rsidP="00047C87">
      <w:r w:rsidRPr="00043B8D">
        <w:t xml:space="preserve">De VREG bepaalt een toegelaten inkomen altijd op jaarbasis. Indien nieuwe distributienettarieven ingaan op 1 juli, </w:t>
      </w:r>
      <w:r w:rsidR="004F1D26" w:rsidRPr="00043B8D">
        <w:t xml:space="preserve">wordt </w:t>
      </w:r>
      <w:r w:rsidR="00951050" w:rsidRPr="00043B8D">
        <w:t>het</w:t>
      </w:r>
      <w:r w:rsidRPr="00043B8D">
        <w:t xml:space="preserve"> toegelaten inkomen vertaald naar distributienettarieven via de rekenvolumes, die eveneens betrekking hebben op een volledig jaar.</w:t>
      </w:r>
    </w:p>
    <w:p w14:paraId="389760BD" w14:textId="77777777" w:rsidR="00785CD5" w:rsidRPr="00043B8D" w:rsidRDefault="00785CD5" w:rsidP="00867610"/>
    <w:p w14:paraId="5E801631" w14:textId="77777777" w:rsidR="00867610" w:rsidRPr="00043B8D" w:rsidRDefault="00867610" w:rsidP="00867610">
      <w:r w:rsidRPr="00043B8D">
        <w:t>Een distributienetbeheerder kan zijn inkomsten uit de inning van voorlopige distributienettarieven a priori niet beschouwen als integraal verworven omdat ze zullen worden vergeleken met de voor hem definitief toegelaten inkomsten overeenkomstig de tariefmethodologie, waaruit een regulatoir saldo volgt. De VREG hanteert voor de bepaling van de regulatoire saldi na afloop van een kalenderjaar waarin een distributienetbeheerder werkte met voorlopige distributienettarieven, de volgende werkwijze. Het werkelijke inkomen uit distributienettarieven van het kalenderjaar wordt opgedeeld in een werkelijk inkomen voor exogene en een werkelijk inkomen voor niet-exogene kosten volgens dezelfde verdeling tussen exogeen en niet-exogeen in het tariefvoorstel van de distributienetbeheerder voor de eerste definitieve distributienettarieven die van kracht worden na afloop van de voorlopige distributienettarieven. In deze eerste definitieve distributienettarieven wordt dan nog geen rekening gehouden met de mogelijk regulatoire saldi ontstaan ten gevolge van de voorlopige distributienettarieven (ook om een kringverwijzing in de berekening te vermijden). Het regulatoir saldo voor de exogene kosten volgt dan uit het verschil van het werkelijke inkomen voor exogene kosten met de werkelijke exogene kosten van het jaar. Voor de bepaling van het regulatoir saldo voor niet-exogene kosten wordt het door de VREG definitief toegelaten inkomen voor de periode met voorlopige distributienettarieven opgedeeld in een toegelaten inkomen uit verbruiksgerelateerde tariefdragers en een toegelaten inkomen uit EAN’s (EUR/jaar) (“ex ante”) volgens dezelfde verdeling als in het tariefvoorstel van de eerste definitieve distributienettarieven die volgen na de periode met voorlopige tarieven. Het toegelaten inkomen voor EAN’s voor de periode met voorlopige distributienettarieven wordt daarna herrekend naar een virtueel ontvangen inkomen voor EAN’s (“ex post”) in die periode van voorlopige distributienettarieven d.m.v. de verhouding van het werkelijke inkomen van de distributienetbeheerder uit EAN’s in de periode met de voorlopige distributienettarieven t.o.v. de inkomsten die men zou verwachten uit EAN’s in die periode volgens de in de tariefmethodologie gehanteerde rekenvolumes toegepast op de voorlopige distributienettarieven. Aldus wordt het volumerisico m.b.t. de inkomsten uit EAN’s voor de distributienetbeheerder met voorlopige distributienettarieven nagebootst en behouden. Dit virtueel inkomen uit EAN’s wordt dan in mindering gebracht van het werkelijke inkomen voor niet-exogene kosten in het jaar met voorlopige distributienettarieven, waaruit het werkelijk inkomen voor verbruiksgerelateerde tariefdragers resulteert en waaruit het volumeverschil als regulatoir saldo kan bepaald worden door vergelijking met het definitief door de VREG toegelaten inkomen voor verbruiksgerelateerde tariefdragers voor het jaar met de voorlopige distributienettarieven.</w:t>
      </w:r>
    </w:p>
    <w:p w14:paraId="72E03A0D" w14:textId="77777777" w:rsidR="00867610" w:rsidRPr="00043B8D" w:rsidRDefault="00867610" w:rsidP="00867610"/>
    <w:p w14:paraId="7864B5DB" w14:textId="401CC63A" w:rsidR="00867610" w:rsidRPr="00043B8D" w:rsidRDefault="00867610" w:rsidP="00867610">
      <w:r w:rsidRPr="00043B8D">
        <w:t>De VREG dient een onderscheid te maken naargelang de oorzaak van het voorlopige karakter, zoals hieronder verduidelijkt m.b.v. de scenario</w:t>
      </w:r>
      <w:r w:rsidR="00104C27" w:rsidRPr="00043B8D">
        <w:t>’</w:t>
      </w:r>
      <w:r w:rsidRPr="00043B8D">
        <w:t>s in</w:t>
      </w:r>
      <w:r w:rsidR="00104C27" w:rsidRPr="00043B8D">
        <w:t xml:space="preserve"> </w:t>
      </w:r>
      <w:r w:rsidR="00104C27" w:rsidRPr="00043B8D">
        <w:fldChar w:fldCharType="begin"/>
      </w:r>
      <w:r w:rsidR="00104C27" w:rsidRPr="00043B8D">
        <w:instrText xml:space="preserve"> REF _Ref399848880 \h </w:instrText>
      </w:r>
      <w:r w:rsidR="00043B8D">
        <w:instrText xml:space="preserve"> \* MERGEFORMAT </w:instrText>
      </w:r>
      <w:r w:rsidR="00104C27" w:rsidRPr="00043B8D">
        <w:fldChar w:fldCharType="separate"/>
      </w:r>
      <w:r w:rsidR="00B30F9B" w:rsidRPr="00043B8D">
        <w:t xml:space="preserve">Tabel </w:t>
      </w:r>
      <w:r w:rsidR="00B30F9B">
        <w:rPr>
          <w:noProof/>
        </w:rPr>
        <w:t>13</w:t>
      </w:r>
      <w:r w:rsidR="00104C27" w:rsidRPr="00043B8D">
        <w:fldChar w:fldCharType="end"/>
      </w:r>
      <w:r w:rsidRPr="00043B8D">
        <w:t xml:space="preserve">. Hieruit volgt dat er twee soorten van voorlopige distributienettarieven kunnen zijn: </w:t>
      </w:r>
    </w:p>
    <w:p w14:paraId="4AA189C5" w14:textId="77777777" w:rsidR="00867610" w:rsidRPr="00043B8D" w:rsidRDefault="00867610" w:rsidP="00B376D5">
      <w:pPr>
        <w:pStyle w:val="Lijstalinea"/>
        <w:numPr>
          <w:ilvl w:val="0"/>
          <w:numId w:val="19"/>
        </w:numPr>
      </w:pPr>
      <w:r w:rsidRPr="00043B8D">
        <w:t xml:space="preserve">een verlenging van de huidige distributienettarieven (van de maand voorgaand aan de datum waarop de nieuwe distributienettarieven moesten ingaan) en </w:t>
      </w:r>
    </w:p>
    <w:p w14:paraId="322F241B" w14:textId="77777777" w:rsidR="00867610" w:rsidRPr="00043B8D" w:rsidRDefault="00867610" w:rsidP="00B376D5">
      <w:pPr>
        <w:pStyle w:val="Lijstalinea"/>
        <w:numPr>
          <w:ilvl w:val="0"/>
          <w:numId w:val="19"/>
        </w:numPr>
      </w:pPr>
      <w:r w:rsidRPr="00043B8D">
        <w:t>nieuwe maar voorlopige distributienettarieven die volgen uit het tariefvoorstel voor de vertaling van een door de VREG voorlopig toegelaten inkomen.</w:t>
      </w:r>
    </w:p>
    <w:p w14:paraId="5588FBF8" w14:textId="77777777" w:rsidR="00867610" w:rsidRPr="00043B8D" w:rsidRDefault="00867610" w:rsidP="00867610"/>
    <w:p w14:paraId="033742F9" w14:textId="77777777" w:rsidR="00867610" w:rsidRPr="000D284A" w:rsidRDefault="00867610" w:rsidP="00654C50">
      <w:pPr>
        <w:pStyle w:val="Bijschrift"/>
        <w:keepNext/>
        <w:jc w:val="left"/>
        <w:rPr>
          <w:b w:val="0"/>
          <w:i/>
        </w:rPr>
      </w:pPr>
      <w:bookmarkStart w:id="585" w:name="_Ref399848880"/>
      <w:r w:rsidRPr="000D284A">
        <w:rPr>
          <w:b w:val="0"/>
          <w:i/>
        </w:rPr>
        <w:t xml:space="preserve">Tabel </w:t>
      </w:r>
      <w:r w:rsidRPr="000D284A">
        <w:rPr>
          <w:b w:val="0"/>
          <w:i/>
        </w:rPr>
        <w:fldChar w:fldCharType="begin"/>
      </w:r>
      <w:r w:rsidRPr="000D284A">
        <w:rPr>
          <w:b w:val="0"/>
          <w:i/>
        </w:rPr>
        <w:instrText xml:space="preserve"> SEQ Tabel \* ARABIC </w:instrText>
      </w:r>
      <w:r w:rsidRPr="000D284A">
        <w:rPr>
          <w:b w:val="0"/>
          <w:i/>
        </w:rPr>
        <w:fldChar w:fldCharType="separate"/>
      </w:r>
      <w:r w:rsidR="000D284A">
        <w:rPr>
          <w:b w:val="0"/>
          <w:i/>
          <w:noProof/>
        </w:rPr>
        <w:t>13</w:t>
      </w:r>
      <w:r w:rsidRPr="000D284A">
        <w:rPr>
          <w:b w:val="0"/>
          <w:i/>
        </w:rPr>
        <w:fldChar w:fldCharType="end"/>
      </w:r>
      <w:bookmarkEnd w:id="585"/>
      <w:r w:rsidRPr="000D284A">
        <w:rPr>
          <w:b w:val="0"/>
          <w:i/>
        </w:rPr>
        <w:t xml:space="preserve"> Scenario's bron van vertraging met voorlopige distributienettarieven tot gevolg</w:t>
      </w:r>
    </w:p>
    <w:tbl>
      <w:tblPr>
        <w:tblStyle w:val="Tabelraster"/>
        <w:tblW w:w="0" w:type="auto"/>
        <w:tblInd w:w="392" w:type="dxa"/>
        <w:tblLook w:val="04A0" w:firstRow="1" w:lastRow="0" w:firstColumn="1" w:lastColumn="0" w:noHBand="0" w:noVBand="1"/>
      </w:tblPr>
      <w:tblGrid>
        <w:gridCol w:w="968"/>
        <w:gridCol w:w="2512"/>
        <w:gridCol w:w="2512"/>
        <w:gridCol w:w="2513"/>
      </w:tblGrid>
      <w:tr w:rsidR="00867610" w:rsidRPr="00043B8D" w14:paraId="05EA4AA7" w14:textId="77777777" w:rsidTr="004066B0">
        <w:tc>
          <w:tcPr>
            <w:tcW w:w="968" w:type="dxa"/>
          </w:tcPr>
          <w:p w14:paraId="7A10F0D1" w14:textId="77777777" w:rsidR="00867610" w:rsidRPr="00043B8D" w:rsidRDefault="00867610" w:rsidP="004066B0">
            <w:pPr>
              <w:rPr>
                <w:sz w:val="18"/>
                <w:szCs w:val="18"/>
              </w:rPr>
            </w:pPr>
            <w:r w:rsidRPr="00043B8D">
              <w:rPr>
                <w:sz w:val="18"/>
                <w:szCs w:val="18"/>
              </w:rPr>
              <w:t>Scenario</w:t>
            </w:r>
          </w:p>
        </w:tc>
        <w:tc>
          <w:tcPr>
            <w:tcW w:w="2512" w:type="dxa"/>
          </w:tcPr>
          <w:p w14:paraId="76F38221" w14:textId="77777777" w:rsidR="00867610" w:rsidRPr="00043B8D" w:rsidRDefault="00867610" w:rsidP="004066B0">
            <w:pPr>
              <w:jc w:val="center"/>
              <w:rPr>
                <w:sz w:val="18"/>
                <w:szCs w:val="18"/>
              </w:rPr>
            </w:pPr>
            <w:r w:rsidRPr="00043B8D">
              <w:rPr>
                <w:sz w:val="18"/>
                <w:szCs w:val="18"/>
              </w:rPr>
              <w:t>Probleem m.b.t. niet-exogene kosten</w:t>
            </w:r>
          </w:p>
        </w:tc>
        <w:tc>
          <w:tcPr>
            <w:tcW w:w="2512" w:type="dxa"/>
          </w:tcPr>
          <w:p w14:paraId="76D414A9" w14:textId="77777777" w:rsidR="00867610" w:rsidRPr="00043B8D" w:rsidRDefault="00867610" w:rsidP="004066B0">
            <w:pPr>
              <w:jc w:val="center"/>
              <w:rPr>
                <w:sz w:val="18"/>
                <w:szCs w:val="18"/>
              </w:rPr>
            </w:pPr>
            <w:r w:rsidRPr="00043B8D">
              <w:rPr>
                <w:sz w:val="18"/>
                <w:szCs w:val="18"/>
              </w:rPr>
              <w:t xml:space="preserve">Probleem m.b.t. </w:t>
            </w:r>
          </w:p>
          <w:p w14:paraId="41298E28" w14:textId="77777777" w:rsidR="00867610" w:rsidRPr="00043B8D" w:rsidRDefault="00867610" w:rsidP="004066B0">
            <w:pPr>
              <w:jc w:val="center"/>
              <w:rPr>
                <w:sz w:val="18"/>
                <w:szCs w:val="18"/>
              </w:rPr>
            </w:pPr>
            <w:r w:rsidRPr="00043B8D">
              <w:rPr>
                <w:sz w:val="18"/>
                <w:szCs w:val="18"/>
              </w:rPr>
              <w:t>exogene kosten</w:t>
            </w:r>
          </w:p>
        </w:tc>
        <w:tc>
          <w:tcPr>
            <w:tcW w:w="2513" w:type="dxa"/>
          </w:tcPr>
          <w:p w14:paraId="723F6A9F" w14:textId="77777777" w:rsidR="00867610" w:rsidRPr="00043B8D" w:rsidRDefault="00867610" w:rsidP="004066B0">
            <w:pPr>
              <w:jc w:val="center"/>
              <w:rPr>
                <w:sz w:val="18"/>
                <w:szCs w:val="18"/>
              </w:rPr>
            </w:pPr>
            <w:r w:rsidRPr="00043B8D">
              <w:rPr>
                <w:sz w:val="18"/>
                <w:szCs w:val="18"/>
              </w:rPr>
              <w:t>Probleem m.b.t. omzetting toegelaten inkomen naar distributienettarieven</w:t>
            </w:r>
          </w:p>
        </w:tc>
      </w:tr>
      <w:tr w:rsidR="00867610" w:rsidRPr="00043B8D" w14:paraId="5EFF77CC" w14:textId="77777777" w:rsidTr="004066B0">
        <w:tc>
          <w:tcPr>
            <w:tcW w:w="968" w:type="dxa"/>
          </w:tcPr>
          <w:p w14:paraId="083EA9EF" w14:textId="77777777" w:rsidR="00867610" w:rsidRPr="00043B8D" w:rsidRDefault="00867610" w:rsidP="004066B0">
            <w:pPr>
              <w:jc w:val="center"/>
              <w:rPr>
                <w:sz w:val="18"/>
                <w:szCs w:val="18"/>
              </w:rPr>
            </w:pPr>
            <w:r w:rsidRPr="00043B8D">
              <w:rPr>
                <w:sz w:val="18"/>
                <w:szCs w:val="18"/>
              </w:rPr>
              <w:t>1</w:t>
            </w:r>
          </w:p>
        </w:tc>
        <w:tc>
          <w:tcPr>
            <w:tcW w:w="2512" w:type="dxa"/>
          </w:tcPr>
          <w:p w14:paraId="6709F151" w14:textId="77777777" w:rsidR="00867610" w:rsidRPr="00043B8D" w:rsidRDefault="00867610" w:rsidP="004066B0">
            <w:pPr>
              <w:jc w:val="center"/>
              <w:rPr>
                <w:sz w:val="18"/>
                <w:szCs w:val="18"/>
              </w:rPr>
            </w:pPr>
            <w:r w:rsidRPr="00043B8D">
              <w:rPr>
                <w:sz w:val="18"/>
                <w:szCs w:val="18"/>
              </w:rPr>
              <w:t>X</w:t>
            </w:r>
          </w:p>
        </w:tc>
        <w:tc>
          <w:tcPr>
            <w:tcW w:w="2512" w:type="dxa"/>
          </w:tcPr>
          <w:p w14:paraId="037B92D0" w14:textId="77777777" w:rsidR="00867610" w:rsidRPr="00043B8D" w:rsidRDefault="00867610" w:rsidP="004066B0">
            <w:pPr>
              <w:jc w:val="center"/>
              <w:rPr>
                <w:sz w:val="18"/>
                <w:szCs w:val="18"/>
              </w:rPr>
            </w:pPr>
          </w:p>
        </w:tc>
        <w:tc>
          <w:tcPr>
            <w:tcW w:w="2513" w:type="dxa"/>
          </w:tcPr>
          <w:p w14:paraId="36BBD5A2" w14:textId="77777777" w:rsidR="00867610" w:rsidRPr="00043B8D" w:rsidRDefault="00867610" w:rsidP="004066B0">
            <w:pPr>
              <w:jc w:val="center"/>
              <w:rPr>
                <w:sz w:val="18"/>
                <w:szCs w:val="18"/>
              </w:rPr>
            </w:pPr>
          </w:p>
        </w:tc>
      </w:tr>
      <w:tr w:rsidR="00867610" w:rsidRPr="00043B8D" w14:paraId="35B88238" w14:textId="77777777" w:rsidTr="004066B0">
        <w:tc>
          <w:tcPr>
            <w:tcW w:w="968" w:type="dxa"/>
          </w:tcPr>
          <w:p w14:paraId="09A3C60C" w14:textId="77777777" w:rsidR="00867610" w:rsidRPr="00043B8D" w:rsidRDefault="00867610" w:rsidP="004066B0">
            <w:pPr>
              <w:jc w:val="center"/>
              <w:rPr>
                <w:sz w:val="18"/>
                <w:szCs w:val="18"/>
              </w:rPr>
            </w:pPr>
            <w:r w:rsidRPr="00043B8D">
              <w:rPr>
                <w:sz w:val="18"/>
                <w:szCs w:val="18"/>
              </w:rPr>
              <w:t>2</w:t>
            </w:r>
          </w:p>
        </w:tc>
        <w:tc>
          <w:tcPr>
            <w:tcW w:w="2512" w:type="dxa"/>
          </w:tcPr>
          <w:p w14:paraId="6AF17447" w14:textId="77777777" w:rsidR="00867610" w:rsidRPr="00043B8D" w:rsidRDefault="00867610" w:rsidP="004066B0">
            <w:pPr>
              <w:jc w:val="center"/>
              <w:rPr>
                <w:sz w:val="18"/>
                <w:szCs w:val="18"/>
              </w:rPr>
            </w:pPr>
          </w:p>
        </w:tc>
        <w:tc>
          <w:tcPr>
            <w:tcW w:w="2512" w:type="dxa"/>
          </w:tcPr>
          <w:p w14:paraId="4C06B14B" w14:textId="77777777" w:rsidR="00867610" w:rsidRPr="00043B8D" w:rsidRDefault="00867610" w:rsidP="004066B0">
            <w:pPr>
              <w:jc w:val="center"/>
              <w:rPr>
                <w:sz w:val="18"/>
                <w:szCs w:val="18"/>
              </w:rPr>
            </w:pPr>
            <w:r w:rsidRPr="00043B8D">
              <w:rPr>
                <w:sz w:val="18"/>
                <w:szCs w:val="18"/>
              </w:rPr>
              <w:t>X</w:t>
            </w:r>
          </w:p>
        </w:tc>
        <w:tc>
          <w:tcPr>
            <w:tcW w:w="2513" w:type="dxa"/>
          </w:tcPr>
          <w:p w14:paraId="37CC5A7F" w14:textId="77777777" w:rsidR="00867610" w:rsidRPr="00043B8D" w:rsidRDefault="00867610" w:rsidP="004066B0">
            <w:pPr>
              <w:jc w:val="center"/>
              <w:rPr>
                <w:sz w:val="18"/>
                <w:szCs w:val="18"/>
              </w:rPr>
            </w:pPr>
          </w:p>
        </w:tc>
      </w:tr>
      <w:tr w:rsidR="00867610" w:rsidRPr="00043B8D" w14:paraId="309B12EC" w14:textId="77777777" w:rsidTr="004066B0">
        <w:tc>
          <w:tcPr>
            <w:tcW w:w="968" w:type="dxa"/>
          </w:tcPr>
          <w:p w14:paraId="02686E25" w14:textId="77777777" w:rsidR="00867610" w:rsidRPr="00043B8D" w:rsidRDefault="00867610" w:rsidP="004066B0">
            <w:pPr>
              <w:jc w:val="center"/>
              <w:rPr>
                <w:sz w:val="18"/>
                <w:szCs w:val="18"/>
              </w:rPr>
            </w:pPr>
            <w:r w:rsidRPr="00043B8D">
              <w:rPr>
                <w:sz w:val="18"/>
                <w:szCs w:val="18"/>
              </w:rPr>
              <w:t>3</w:t>
            </w:r>
          </w:p>
        </w:tc>
        <w:tc>
          <w:tcPr>
            <w:tcW w:w="2512" w:type="dxa"/>
          </w:tcPr>
          <w:p w14:paraId="7B564613" w14:textId="77777777" w:rsidR="00867610" w:rsidRPr="00043B8D" w:rsidRDefault="00867610" w:rsidP="004066B0">
            <w:pPr>
              <w:jc w:val="center"/>
              <w:rPr>
                <w:sz w:val="18"/>
                <w:szCs w:val="18"/>
              </w:rPr>
            </w:pPr>
            <w:r w:rsidRPr="00043B8D">
              <w:rPr>
                <w:sz w:val="18"/>
                <w:szCs w:val="18"/>
              </w:rPr>
              <w:t>X</w:t>
            </w:r>
          </w:p>
        </w:tc>
        <w:tc>
          <w:tcPr>
            <w:tcW w:w="2512" w:type="dxa"/>
          </w:tcPr>
          <w:p w14:paraId="37CB2F6E" w14:textId="77777777" w:rsidR="00867610" w:rsidRPr="00043B8D" w:rsidRDefault="00867610" w:rsidP="004066B0">
            <w:pPr>
              <w:jc w:val="center"/>
              <w:rPr>
                <w:sz w:val="18"/>
                <w:szCs w:val="18"/>
              </w:rPr>
            </w:pPr>
            <w:r w:rsidRPr="00043B8D">
              <w:rPr>
                <w:sz w:val="18"/>
                <w:szCs w:val="18"/>
              </w:rPr>
              <w:t>X</w:t>
            </w:r>
          </w:p>
        </w:tc>
        <w:tc>
          <w:tcPr>
            <w:tcW w:w="2513" w:type="dxa"/>
          </w:tcPr>
          <w:p w14:paraId="08E7685B" w14:textId="77777777" w:rsidR="00867610" w:rsidRPr="00043B8D" w:rsidRDefault="00867610" w:rsidP="004066B0">
            <w:pPr>
              <w:jc w:val="center"/>
              <w:rPr>
                <w:sz w:val="18"/>
                <w:szCs w:val="18"/>
              </w:rPr>
            </w:pPr>
          </w:p>
        </w:tc>
      </w:tr>
      <w:tr w:rsidR="00867610" w:rsidRPr="00043B8D" w14:paraId="7B975356" w14:textId="77777777" w:rsidTr="004066B0">
        <w:tc>
          <w:tcPr>
            <w:tcW w:w="968" w:type="dxa"/>
          </w:tcPr>
          <w:p w14:paraId="4831B37D" w14:textId="77777777" w:rsidR="00867610" w:rsidRPr="00043B8D" w:rsidRDefault="00867610" w:rsidP="004066B0">
            <w:pPr>
              <w:jc w:val="center"/>
              <w:rPr>
                <w:sz w:val="18"/>
                <w:szCs w:val="18"/>
              </w:rPr>
            </w:pPr>
            <w:r w:rsidRPr="00043B8D">
              <w:rPr>
                <w:sz w:val="18"/>
                <w:szCs w:val="18"/>
              </w:rPr>
              <w:t>4</w:t>
            </w:r>
          </w:p>
        </w:tc>
        <w:tc>
          <w:tcPr>
            <w:tcW w:w="2512" w:type="dxa"/>
          </w:tcPr>
          <w:p w14:paraId="35BF8E63" w14:textId="77777777" w:rsidR="00867610" w:rsidRPr="00043B8D" w:rsidRDefault="00867610" w:rsidP="004066B0">
            <w:pPr>
              <w:jc w:val="center"/>
              <w:rPr>
                <w:sz w:val="18"/>
                <w:szCs w:val="18"/>
              </w:rPr>
            </w:pPr>
          </w:p>
        </w:tc>
        <w:tc>
          <w:tcPr>
            <w:tcW w:w="2512" w:type="dxa"/>
          </w:tcPr>
          <w:p w14:paraId="10C64CDA" w14:textId="77777777" w:rsidR="00867610" w:rsidRPr="00043B8D" w:rsidRDefault="00867610" w:rsidP="004066B0">
            <w:pPr>
              <w:jc w:val="center"/>
              <w:rPr>
                <w:sz w:val="18"/>
                <w:szCs w:val="18"/>
              </w:rPr>
            </w:pPr>
          </w:p>
        </w:tc>
        <w:tc>
          <w:tcPr>
            <w:tcW w:w="2513" w:type="dxa"/>
          </w:tcPr>
          <w:p w14:paraId="227EF55A" w14:textId="77777777" w:rsidR="00867610" w:rsidRPr="00043B8D" w:rsidRDefault="00867610" w:rsidP="004066B0">
            <w:pPr>
              <w:jc w:val="center"/>
              <w:rPr>
                <w:sz w:val="18"/>
                <w:szCs w:val="18"/>
              </w:rPr>
            </w:pPr>
            <w:r w:rsidRPr="00043B8D">
              <w:rPr>
                <w:sz w:val="18"/>
                <w:szCs w:val="18"/>
              </w:rPr>
              <w:t>X</w:t>
            </w:r>
          </w:p>
        </w:tc>
      </w:tr>
    </w:tbl>
    <w:p w14:paraId="7764FBAE" w14:textId="77777777" w:rsidR="00867610" w:rsidRPr="00043B8D" w:rsidRDefault="00867610" w:rsidP="00867610"/>
    <w:p w14:paraId="781842B6" w14:textId="77777777" w:rsidR="00867610" w:rsidRPr="00043B8D" w:rsidRDefault="00867610" w:rsidP="00867610">
      <w:pPr>
        <w:rPr>
          <w:i/>
        </w:rPr>
      </w:pPr>
      <w:r w:rsidRPr="00043B8D">
        <w:rPr>
          <w:i/>
        </w:rPr>
        <w:t>Scenario 1</w:t>
      </w:r>
    </w:p>
    <w:p w14:paraId="55C42DBC" w14:textId="77777777" w:rsidR="00867610" w:rsidRPr="00043B8D" w:rsidRDefault="00867610" w:rsidP="00867610"/>
    <w:p w14:paraId="621B7B9B" w14:textId="77777777" w:rsidR="00867610" w:rsidRPr="00043B8D" w:rsidRDefault="00867610" w:rsidP="00867610">
      <w:r w:rsidRPr="00043B8D">
        <w:t>In het geval er alleen een probleem zou</w:t>
      </w:r>
      <w:r w:rsidRPr="00043B8D">
        <w:rPr>
          <w:rStyle w:val="Voetnootmarkering"/>
        </w:rPr>
        <w:footnoteReference w:id="110"/>
      </w:r>
      <w:r w:rsidRPr="00043B8D">
        <w:t xml:space="preserve"> zijn met de ex-post rapportering van de niet-exogene kosten voor 2010-2013 door één of meerdere distributienetbeheerders, leidt dit er toe dat de VREG voor geen enkele distributienetbeheerder het toegelaten inkomen voor niet-exogene kosten definitief kan vaststellen voor het eerste jaar van de volgende reguleringsperiode. Het mechanisme in de tariefmethodologie omvat immers een vergelijking van de individuele historische kostentrend van de distributienetbeheerder met de kostentrend in de sector. Zolang deze vergelijking niet definitief kan plaats vinden, omdat de gegevens van één of meer distributienetbeheerders niet kunnen gebruikt worden, kan het resultaat ervan, het toegelaten inkomen voor niet-exogene kosten per distributienetbeheerder, ook niet definitief door de VREG bepaald worden.</w:t>
      </w:r>
    </w:p>
    <w:p w14:paraId="5361E23E" w14:textId="77777777" w:rsidR="00867610" w:rsidRPr="00043B8D" w:rsidRDefault="00867610" w:rsidP="00867610"/>
    <w:p w14:paraId="6D3144CE" w14:textId="77777777" w:rsidR="00867610" w:rsidRPr="00043B8D" w:rsidRDefault="00867610" w:rsidP="005251E2">
      <w:pPr>
        <w:pStyle w:val="Lijstalinea"/>
        <w:numPr>
          <w:ilvl w:val="0"/>
          <w:numId w:val="29"/>
        </w:numPr>
      </w:pPr>
      <w:r w:rsidRPr="00043B8D">
        <w:t>Voor de distributienetbeheerders waarbij er geen probleem is: De tariefmethodologie wordt voorlopig toegepast m.b.v. de gegevens van deze groep van distributienetbeheerders alsof zij de ganse sector omvatten. Zij ontvangen hieruit een voorlopig toegelaten inkomen waaruit zij hun voorlopige distributienettarieven afleiden d.m.v. een tariefvoorstel. Dezelfde werkwijze wordt dus gevolgd indien er slechts één distributienetbeheerder is die geen probleem heeft.</w:t>
      </w:r>
    </w:p>
    <w:p w14:paraId="16297C56" w14:textId="77777777" w:rsidR="00867610" w:rsidRPr="00043B8D" w:rsidRDefault="00867610" w:rsidP="00867610">
      <w:pPr>
        <w:pStyle w:val="Lijstalinea"/>
        <w:ind w:left="720"/>
      </w:pPr>
    </w:p>
    <w:p w14:paraId="5093BF7D" w14:textId="33ACB02A" w:rsidR="00867610" w:rsidRPr="00043B8D" w:rsidRDefault="00867610" w:rsidP="005251E2">
      <w:pPr>
        <w:pStyle w:val="Lijstalinea"/>
        <w:numPr>
          <w:ilvl w:val="0"/>
          <w:numId w:val="29"/>
        </w:numPr>
      </w:pPr>
      <w:r w:rsidRPr="00043B8D">
        <w:t>Voor de distributienetbeheerders waarbij er een probleem is: Hun distributienettarieven zijn eveneens voorlopig en gelijk aan de laatst geldende distributienettarieven. Deze verlen</w:t>
      </w:r>
      <w:r w:rsidR="004066B0" w:rsidRPr="00043B8D">
        <w:t>g</w:t>
      </w:r>
      <w:r w:rsidRPr="00043B8D">
        <w:t>ing van de distributienettarieven vindt plaats zonder indiening van een tariefvoorstel.</w:t>
      </w:r>
    </w:p>
    <w:p w14:paraId="4F260CDB" w14:textId="77777777" w:rsidR="00867610" w:rsidRPr="00043B8D" w:rsidRDefault="00867610" w:rsidP="00867610"/>
    <w:p w14:paraId="01C7FD5D" w14:textId="77777777" w:rsidR="00867610" w:rsidRPr="00043B8D" w:rsidRDefault="00867610" w:rsidP="00867610">
      <w:r w:rsidRPr="00043B8D">
        <w:t>Zodra het probleem bij de enige distributienetbeheerder of, indien er problemen zijn bij meer dan één distributienetbeheerder, alle problemen volledig zijn opgelost, zal de VREG per distributienetbeheerder het definitieve toegelaten inkomen (voor niet-exogene kosten en exogene kosten) vaststellen. Indien nog tijdig vóór 1 juli, wordt het toegelaten inkomen van het jaar zelf bepaald voor omzetting naar nieuwe, definitieve distributienettarieven vanaf 1 juli. Indien niet tijdig vóór 1 juli, wordt ook het definitief toegelaten inkomen voor het volgende jaar bepaald en gaan de definitieve distributienettarieven in vanaf 1 januari van het volgende jaar. De distributienetbeheerders worden door de VREG van het definitief toegelaten inkomen op de hoogte gebracht en dienen dan een nieuw tariefvoorstel in bij de VREG voor de omzetting van dit toegelaten inkomen naar definitieve distributienettarieven m.b.v. de rekenvolumes.</w:t>
      </w:r>
    </w:p>
    <w:p w14:paraId="704F770E" w14:textId="77777777" w:rsidR="00867610" w:rsidRPr="00043B8D" w:rsidRDefault="00867610" w:rsidP="00867610"/>
    <w:p w14:paraId="33973C9D" w14:textId="77777777" w:rsidR="00867610" w:rsidRPr="00043B8D" w:rsidRDefault="00867610" w:rsidP="00867610">
      <w:r w:rsidRPr="00043B8D">
        <w:t>Indien niet alle problemen zijn opgelost maar er wel een oplossing is gevonden bij één van de distributienetbeheerders waarbij er een probleem was:</w:t>
      </w:r>
    </w:p>
    <w:p w14:paraId="4BFD2C6D" w14:textId="77777777" w:rsidR="00867610" w:rsidRPr="00043B8D" w:rsidRDefault="00867610" w:rsidP="005251E2">
      <w:pPr>
        <w:pStyle w:val="Lijstalinea"/>
        <w:numPr>
          <w:ilvl w:val="0"/>
          <w:numId w:val="28"/>
        </w:numPr>
      </w:pPr>
      <w:r w:rsidRPr="00043B8D">
        <w:t xml:space="preserve">De VREG zal voor die distributienetbeheerder die dan in orde is, zijn voorlopig toegelaten inkomen voor niet-exogene kosten bepalen samen met en uit de rapporteringen van de distributienetbeheerders waarbij er geen probleem is, alsof zij samen de volledige sector omvatten. De distributienetbeheerder zal voor het aldus voorlopig totaal toegelaten inkomen een tariefvoorstel indienen bij de VREG voor de omzetting naar (nieuwe) voorlopige distributienettarieven (ter vervanging van de voorlopige distributienettarieven die een verlenging waren van de vorige). </w:t>
      </w:r>
    </w:p>
    <w:p w14:paraId="4A9E1FD3" w14:textId="77777777" w:rsidR="00867610" w:rsidRPr="00043B8D" w:rsidRDefault="00867610" w:rsidP="005251E2">
      <w:pPr>
        <w:pStyle w:val="Lijstalinea"/>
        <w:numPr>
          <w:ilvl w:val="0"/>
          <w:numId w:val="28"/>
        </w:numPr>
      </w:pPr>
      <w:r w:rsidRPr="00043B8D">
        <w:t>De andere distributienetbeheerders die reeds in orde waren met hun rapporteringen en al werkten met voorlopige distributienettarieven op basis van een voorlopig toegelaten inkomen berekend door de VREG, blijven werken met dezelfde voorlopige distributienettarieven. De VREG zal elk van deze distributienetbeheerders ter informatie inlichten over zijn nieuwe voorlopig toegelaten inkomen dat voor hem werd berekend sinds bij een distributienetbeheerder de problemen zijn opgelost. Ieder van hen blijft dus wel met zijn voorlopige distributienettarieven werken totdat alle problemen zijn opgelost, omdat de VREG het onvoldoende nuttig en noodzakelijk acht om voor deze groep telkens voorlopige distributienettarieven te updaten met nieuwe voorlopige distributienettarieven, wat voor verwarring kan zorgen bij de distributienetgebruikers.</w:t>
      </w:r>
    </w:p>
    <w:p w14:paraId="2F37AD68" w14:textId="77777777" w:rsidR="00867610" w:rsidRPr="00043B8D" w:rsidRDefault="00867610" w:rsidP="00867610"/>
    <w:p w14:paraId="06043AC3" w14:textId="77777777" w:rsidR="00867610" w:rsidRPr="00043B8D" w:rsidRDefault="00867610" w:rsidP="00867610">
      <w:pPr>
        <w:rPr>
          <w:i/>
        </w:rPr>
      </w:pPr>
      <w:r w:rsidRPr="00043B8D">
        <w:rPr>
          <w:i/>
        </w:rPr>
        <w:t>Scenario 2</w:t>
      </w:r>
    </w:p>
    <w:p w14:paraId="6B4F055B" w14:textId="77777777" w:rsidR="00867610" w:rsidRPr="00043B8D" w:rsidRDefault="00867610" w:rsidP="00867610"/>
    <w:p w14:paraId="518D6EF1" w14:textId="77777777" w:rsidR="00867610" w:rsidRPr="00043B8D" w:rsidRDefault="00867610" w:rsidP="00867610">
      <w:r w:rsidRPr="00043B8D">
        <w:t xml:space="preserve">In dit scenario is er alleen een probleem bij de bepaling van het toegelaten inkomen voor exogene kosten bij één of meer distributienetbeheerders. Elk van deze distributienetbeheerders wordt afzonderlijk behandeld. De andere distributienetbeheerders, waarvoor er geen probleem is, hebben definitieve distributienettarieven. </w:t>
      </w:r>
    </w:p>
    <w:p w14:paraId="39E5E932" w14:textId="77777777" w:rsidR="00867610" w:rsidRPr="00043B8D" w:rsidRDefault="00867610" w:rsidP="00867610">
      <w:r w:rsidRPr="00043B8D">
        <w:t>Zo lang het probleem bij een distributienetbeheerder bestaat, zal deze distributienetbeheerder werken met voorlopige distributienettarieven, die een verlenging zijn van de vorige distributienettarieven. Deze overgang vindt plaats zonder de indiening van een tariefvoorstel bij de VREG.</w:t>
      </w:r>
    </w:p>
    <w:p w14:paraId="442FEE3E" w14:textId="77777777" w:rsidR="00867610" w:rsidRPr="00043B8D" w:rsidRDefault="00867610" w:rsidP="00867610"/>
    <w:p w14:paraId="7DD39A82" w14:textId="77777777" w:rsidR="00867610" w:rsidRPr="00043B8D" w:rsidRDefault="00867610" w:rsidP="00867610">
      <w:r w:rsidRPr="00043B8D">
        <w:t>Zodra het probleem is opgelost, kan de VREG het totaal toegelaten inkomen van de distributienetbeheerder voor exogene kosten, bepalen. Dit vormt samen met het reeds eerder bepaald toegelaten inkomen voor niet-exogene kosten, het totale toegelaten inkomen van de distributienetbeheerder. De VREG brengt de distributienetbeheerder op de hoogte van dit definitief toegelaten inkomen en de distributienetbeheerder vertaalt dit inkomen naar definitieve distributienettarieven via de indiening van een tariefvoorstel.</w:t>
      </w:r>
    </w:p>
    <w:p w14:paraId="39DB7333" w14:textId="77777777" w:rsidR="00867610" w:rsidRPr="00043B8D" w:rsidRDefault="00867610" w:rsidP="00867610"/>
    <w:p w14:paraId="32DF3CAD" w14:textId="77777777" w:rsidR="00867610" w:rsidRPr="00043B8D" w:rsidRDefault="00867610" w:rsidP="00867610">
      <w:pPr>
        <w:rPr>
          <w:i/>
        </w:rPr>
      </w:pPr>
      <w:r w:rsidRPr="00043B8D">
        <w:rPr>
          <w:i/>
        </w:rPr>
        <w:t>Scenario 3</w:t>
      </w:r>
    </w:p>
    <w:p w14:paraId="392787D3" w14:textId="77777777" w:rsidR="00867610" w:rsidRPr="00043B8D" w:rsidRDefault="00867610" w:rsidP="00867610"/>
    <w:p w14:paraId="3C926E5D" w14:textId="77777777" w:rsidR="00867610" w:rsidRPr="00043B8D" w:rsidRDefault="00867610" w:rsidP="00867610">
      <w:r w:rsidRPr="00043B8D">
        <w:t>In dit scenario zijn er bij één of meer distributienetbeheerders problemen wat betreft de rapportering van exogene én niet-exogene kosten. De behandeling verschilt naargelang het soort problemen bij de distributienetbeheerder.</w:t>
      </w:r>
    </w:p>
    <w:p w14:paraId="58A0AEEA" w14:textId="77777777" w:rsidR="00867610" w:rsidRPr="00043B8D" w:rsidRDefault="00867610" w:rsidP="00867610"/>
    <w:p w14:paraId="27632BA3" w14:textId="77777777" w:rsidR="00867610" w:rsidRPr="00043B8D" w:rsidRDefault="00867610" w:rsidP="005251E2">
      <w:pPr>
        <w:pStyle w:val="Lijstalinea"/>
        <w:numPr>
          <w:ilvl w:val="0"/>
          <w:numId w:val="27"/>
        </w:numPr>
      </w:pPr>
      <w:r w:rsidRPr="00043B8D">
        <w:t xml:space="preserve">Distributienetbeheerders zonder problemen: </w:t>
      </w:r>
    </w:p>
    <w:p w14:paraId="228DE3E2" w14:textId="77777777" w:rsidR="00867610" w:rsidRPr="00043B8D" w:rsidRDefault="00867610" w:rsidP="00867610">
      <w:pPr>
        <w:pStyle w:val="Lijstalinea"/>
        <w:ind w:left="720"/>
      </w:pPr>
      <w:r w:rsidRPr="00043B8D">
        <w:t>De VREG berekent voor hen een voorlopig toegelaten inkomen, waarbij het voorlopig toegelaten inkomen voor niet-exogene kosten wordt bepaald uit de rapporteringen van de distributienetbeheerders voor niet-exogene kosten waar er geen problemen waren, alsof deze groep de volledige sector zou omvatten. De distributienetbeheerders zetten het voorlopig toegelaten inkomen via een tariefvoorstel bij de VREG om in voorlopige distributienettarieven. De distributienetbeheerders blijven werken met deze voorlopige distributienettarieven, ook wanneer bij een aantal maar niet alle distributienetbeheerders de problemen m.b.t. de rapporteringen van de niet-exogene kosten ondertussen opgelost geraken. De VREG zal hen dan ter informatie inlichten over de nieuwe berekening van hun toegelaten inkomen voor niet-exogene kosten. Pas wanneer bij de distributienetbeheerders alle problemen m.b.t. de rapportering van de niet-exogene kosten zijn opgelost, zal de VREG voor deze groep het definitief toegelaten inkomen bepalen en wordt er via een tariefvoorstel overgegaan naar de definitieve distributienettarieven.</w:t>
      </w:r>
    </w:p>
    <w:p w14:paraId="386C1C82" w14:textId="77777777" w:rsidR="00867610" w:rsidRPr="00043B8D" w:rsidRDefault="00867610" w:rsidP="00867610"/>
    <w:p w14:paraId="268E850A" w14:textId="77777777" w:rsidR="00867610" w:rsidRPr="00043B8D" w:rsidRDefault="00867610" w:rsidP="005251E2">
      <w:pPr>
        <w:pStyle w:val="Lijstalinea"/>
        <w:numPr>
          <w:ilvl w:val="0"/>
          <w:numId w:val="27"/>
        </w:numPr>
      </w:pPr>
      <w:r w:rsidRPr="00043B8D">
        <w:t xml:space="preserve">Distributienetbeheerders met alleen een probleem m.b.t. de rapportering van de exogene kosten: </w:t>
      </w:r>
    </w:p>
    <w:p w14:paraId="449293FE" w14:textId="77777777" w:rsidR="00867610" w:rsidRPr="00043B8D" w:rsidRDefault="00867610" w:rsidP="00867610">
      <w:pPr>
        <w:pStyle w:val="Lijstalinea"/>
        <w:ind w:left="720"/>
      </w:pPr>
      <w:r w:rsidRPr="00043B8D">
        <w:t>De voorlopige distributienettarieven zijn de verlenging van de voorgaande distributienettarieven. Deze overgang vindt plaats zonder de indiening van een tariefvoorstel bij de VREG. Zodra het probleem van een distributienetbeheerder is opgelost, komt hij terecht in de categorie onder pt. 1. De VREG zal voor hem een voorlopig toegelaten inkomen berekenen, die hij via een tariefvoorstel omzet naar nieuwe voorlopige distributienettarieven. Indien op dat moment alle problemen m.b.t. de niet-exogene kosten al zouden zijn opgelost, wordt voor hem geen voorlopig maar wel een definitief toegelaten inkomen berekend.</w:t>
      </w:r>
    </w:p>
    <w:p w14:paraId="46445C6D" w14:textId="77777777" w:rsidR="00867610" w:rsidRPr="00043B8D" w:rsidRDefault="00867610" w:rsidP="00867610">
      <w:pPr>
        <w:pStyle w:val="Lijstalinea"/>
      </w:pPr>
    </w:p>
    <w:p w14:paraId="479AA3AE" w14:textId="77777777" w:rsidR="00867610" w:rsidRPr="00043B8D" w:rsidRDefault="00867610" w:rsidP="005251E2">
      <w:pPr>
        <w:pStyle w:val="Lijstalinea"/>
        <w:numPr>
          <w:ilvl w:val="0"/>
          <w:numId w:val="27"/>
        </w:numPr>
      </w:pPr>
      <w:r w:rsidRPr="00043B8D">
        <w:t xml:space="preserve">Distributienetbeheerders met alleen een probleem m.b.t. de rapportering van de niet-exogene kosten: </w:t>
      </w:r>
    </w:p>
    <w:p w14:paraId="12861B23" w14:textId="77777777" w:rsidR="00867610" w:rsidRPr="00043B8D" w:rsidRDefault="00867610" w:rsidP="00867610">
      <w:pPr>
        <w:pStyle w:val="Lijstalinea"/>
        <w:ind w:left="720"/>
      </w:pPr>
      <w:r w:rsidRPr="00043B8D">
        <w:t>De voorlopige distributienettarieven zijn de verlenging van de voorgaande distributienettarieven. Deze overgang vindt plaats zonder de indiening van een tariefvoorstel bij de VREG. Zodra het probleem is opgelost, komen zij terecht in de categorie onder pt. 1. De VREG zal voor hen een voorlopig toegelaten inkomen berekenen, die zij via een tariefvoorstel omzetten naar nieuwe voorlopige distributienettarieven. Voor de laatste distributienetbeheerder waarbij het probleem is opgelost, zal dan niet het voorlopig maar het definitief toegelaten inkomen berekend worden.</w:t>
      </w:r>
    </w:p>
    <w:p w14:paraId="3DCBC7C9" w14:textId="77777777" w:rsidR="00867610" w:rsidRPr="00043B8D" w:rsidRDefault="00867610" w:rsidP="00867610"/>
    <w:p w14:paraId="4DBC3B17" w14:textId="77777777" w:rsidR="00867610" w:rsidRPr="00043B8D" w:rsidRDefault="00867610" w:rsidP="005251E2">
      <w:pPr>
        <w:pStyle w:val="Lijstalinea"/>
        <w:numPr>
          <w:ilvl w:val="0"/>
          <w:numId w:val="27"/>
        </w:numPr>
      </w:pPr>
      <w:r w:rsidRPr="00043B8D">
        <w:t xml:space="preserve">Distributienetbeheerders met problemen m.b.t. de rapportering van de exogene en niet-exogene kosten: </w:t>
      </w:r>
    </w:p>
    <w:p w14:paraId="4933CFB9" w14:textId="77777777" w:rsidR="00867610" w:rsidRPr="00043B8D" w:rsidRDefault="00867610" w:rsidP="00867610">
      <w:pPr>
        <w:pStyle w:val="Lijstalinea"/>
        <w:ind w:left="720"/>
      </w:pPr>
      <w:r w:rsidRPr="00043B8D">
        <w:t>De voorlopige distributienettarieven zijn de verlenging van de voorgaande distributienettarieven. Deze overgang vindt plaats zonder de indiening van een tariefvoorstel bij de VREG. Pas zodra alle problemen bij een distributienetbeheerder zijn opgelost, komt hij terecht in de categorie onder pt. 1. De VREG zal voor hem dan een voorlopig toegelaten inkomen berekenen, die hij via een tariefvoorstel omzet naar nieuwe voorlopige distributienettarieven. In geval hij de laatste distributienetbeheerder is waarbij er problemen waren m.b.t. de niet-exogene kosten, zal voor hem dan niet het voorlopig toegelaten inkomen berekend worden maar het definitief toegelaten inkomen.</w:t>
      </w:r>
    </w:p>
    <w:p w14:paraId="63B4DB66" w14:textId="77777777" w:rsidR="00867610" w:rsidRPr="00043B8D" w:rsidRDefault="00867610" w:rsidP="00867610"/>
    <w:p w14:paraId="2C51C72D" w14:textId="77777777" w:rsidR="00867610" w:rsidRPr="00043B8D" w:rsidRDefault="00867610" w:rsidP="00867610">
      <w:pPr>
        <w:rPr>
          <w:i/>
        </w:rPr>
      </w:pPr>
      <w:r w:rsidRPr="00043B8D">
        <w:rPr>
          <w:i/>
        </w:rPr>
        <w:t>Scenario 4</w:t>
      </w:r>
    </w:p>
    <w:p w14:paraId="5852CB22" w14:textId="77777777" w:rsidR="00867610" w:rsidRPr="00043B8D" w:rsidRDefault="00867610" w:rsidP="00867610"/>
    <w:p w14:paraId="7B47C39F" w14:textId="77777777" w:rsidR="00867610" w:rsidRPr="00043B8D" w:rsidRDefault="00867610" w:rsidP="00867610">
      <w:r w:rsidRPr="00043B8D">
        <w:t xml:space="preserve">In dit scenario is er alleen een probleem met de omzetting door een distributienetbeheerder van zijn door de VREG toegelaten inkomen naar distributienettarieven. Dit kan dus zowel gaan over de vertaling van een voorlopig toegelaten inkomen als van een definitief toegelaten inkomen. </w:t>
      </w:r>
    </w:p>
    <w:p w14:paraId="0B2896A9" w14:textId="77777777" w:rsidR="00867610" w:rsidRPr="00043B8D" w:rsidRDefault="00867610" w:rsidP="00867610"/>
    <w:p w14:paraId="2B5D664E" w14:textId="158C49B7" w:rsidR="00264958" w:rsidRPr="00043B8D" w:rsidRDefault="00867610" w:rsidP="0020633D">
      <w:r w:rsidRPr="00043B8D">
        <w:t>Zo lang er geen akkoord is over de omzetting van het toegelaten inkomen naar distributienettarieven, werkt de distributienetbeheerder met voorlopige distributienettarieven die gelijk zijn aan de verlenging van de laatst geldende distributienettarieven</w:t>
      </w:r>
      <w:r w:rsidRPr="00043B8D">
        <w:rPr>
          <w:rStyle w:val="Voetnootmarkering"/>
        </w:rPr>
        <w:footnoteReference w:id="111"/>
      </w:r>
      <w:r w:rsidRPr="00043B8D">
        <w:t>. Deze overgang vindt plaats zonder de indiening van een tariefvoorstel bij de VREG. Zodra er een akkoord is over het tariefvoorstel, zijn de nieuwe distributienettarieven (definitieve of voorlopige) gekend en kunnen zij ingaan op ofwel 1 juli of 1 januari,</w:t>
      </w:r>
      <w:r w:rsidR="0020633D" w:rsidRPr="00043B8D">
        <w:t xml:space="preserve"> </w:t>
      </w:r>
      <w:r w:rsidRPr="00043B8D">
        <w:t>naargelang de timing het toelaat.</w:t>
      </w:r>
      <w:bookmarkStart w:id="586" w:name="_Toc399421522"/>
      <w:bookmarkStart w:id="587" w:name="_Toc399749570"/>
      <w:bookmarkStart w:id="588" w:name="_Toc399749853"/>
      <w:bookmarkStart w:id="589" w:name="_Toc399749984"/>
      <w:bookmarkStart w:id="590" w:name="_Toc399767229"/>
      <w:bookmarkStart w:id="591" w:name="_Toc399767319"/>
      <w:bookmarkStart w:id="592" w:name="_Toc399846889"/>
      <w:bookmarkStart w:id="593" w:name="_Toc399847084"/>
      <w:bookmarkStart w:id="594" w:name="_Toc399848577"/>
      <w:bookmarkEnd w:id="586"/>
      <w:bookmarkEnd w:id="587"/>
      <w:bookmarkEnd w:id="588"/>
      <w:bookmarkEnd w:id="589"/>
      <w:bookmarkEnd w:id="590"/>
      <w:bookmarkEnd w:id="591"/>
      <w:bookmarkEnd w:id="592"/>
      <w:bookmarkEnd w:id="593"/>
      <w:bookmarkEnd w:id="594"/>
    </w:p>
    <w:p w14:paraId="30147F6E" w14:textId="77777777" w:rsidR="00264958" w:rsidRPr="00043B8D" w:rsidRDefault="00264958" w:rsidP="005251E2">
      <w:pPr>
        <w:pStyle w:val="Lijstalinea"/>
        <w:keepNext/>
        <w:numPr>
          <w:ilvl w:val="0"/>
          <w:numId w:val="24"/>
        </w:numPr>
        <w:spacing w:before="240" w:after="60"/>
        <w:jc w:val="left"/>
        <w:outlineLvl w:val="1"/>
        <w:rPr>
          <w:rFonts w:cs="Arial"/>
          <w:b/>
          <w:bCs/>
          <w:iCs/>
          <w:vanish/>
          <w:sz w:val="26"/>
          <w:szCs w:val="28"/>
        </w:rPr>
      </w:pPr>
      <w:bookmarkStart w:id="595" w:name="_Toc399421523"/>
      <w:bookmarkStart w:id="596" w:name="_Toc399749571"/>
      <w:bookmarkStart w:id="597" w:name="_Toc399749854"/>
      <w:bookmarkStart w:id="598" w:name="_Toc399749985"/>
      <w:bookmarkStart w:id="599" w:name="_Toc399767230"/>
      <w:bookmarkStart w:id="600" w:name="_Toc399767320"/>
      <w:bookmarkStart w:id="601" w:name="_Toc399846890"/>
      <w:bookmarkStart w:id="602" w:name="_Toc399847085"/>
      <w:bookmarkStart w:id="603" w:name="_Toc399848578"/>
      <w:bookmarkStart w:id="604" w:name="_Toc421105725"/>
      <w:bookmarkStart w:id="605" w:name="_Toc424033122"/>
      <w:bookmarkStart w:id="606" w:name="_Toc424038219"/>
      <w:bookmarkStart w:id="607" w:name="_Toc430157395"/>
      <w:bookmarkStart w:id="608" w:name="_Toc431470829"/>
      <w:bookmarkStart w:id="609" w:name="_Toc431470920"/>
      <w:bookmarkStart w:id="610" w:name="_Toc431471011"/>
      <w:bookmarkStart w:id="611" w:name="_Toc431471102"/>
      <w:bookmarkStart w:id="612" w:name="_Toc434257303"/>
      <w:bookmarkStart w:id="613" w:name="_Toc434407102"/>
      <w:bookmarkStart w:id="614" w:name="_Toc434407281"/>
      <w:bookmarkStart w:id="615" w:name="_Toc434408034"/>
      <w:bookmarkStart w:id="616" w:name="_Toc434408134"/>
      <w:bookmarkStart w:id="617" w:name="_Toc434408234"/>
      <w:bookmarkStart w:id="618" w:name="_Toc434408549"/>
      <w:bookmarkStart w:id="619" w:name="_Toc437246318"/>
      <w:bookmarkStart w:id="620" w:name="_Toc447635565"/>
      <w:bookmarkStart w:id="621" w:name="_Toc447722377"/>
      <w:bookmarkStart w:id="622" w:name="_Toc454186721"/>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p>
    <w:p w14:paraId="6F07A7C7" w14:textId="77777777" w:rsidR="00264958" w:rsidRPr="00043B8D" w:rsidRDefault="00264958" w:rsidP="005251E2">
      <w:pPr>
        <w:pStyle w:val="Lijstalinea"/>
        <w:keepNext/>
        <w:numPr>
          <w:ilvl w:val="1"/>
          <w:numId w:val="24"/>
        </w:numPr>
        <w:spacing w:before="240" w:after="60"/>
        <w:jc w:val="left"/>
        <w:outlineLvl w:val="1"/>
        <w:rPr>
          <w:rFonts w:cs="Arial"/>
          <w:b/>
          <w:bCs/>
          <w:iCs/>
          <w:vanish/>
          <w:sz w:val="26"/>
          <w:szCs w:val="28"/>
        </w:rPr>
      </w:pPr>
      <w:bookmarkStart w:id="623" w:name="_Toc399421524"/>
      <w:bookmarkStart w:id="624" w:name="_Toc399749572"/>
      <w:bookmarkStart w:id="625" w:name="_Toc399749855"/>
      <w:bookmarkStart w:id="626" w:name="_Toc399749986"/>
      <w:bookmarkStart w:id="627" w:name="_Toc399767231"/>
      <w:bookmarkStart w:id="628" w:name="_Toc399767321"/>
      <w:bookmarkStart w:id="629" w:name="_Toc399846891"/>
      <w:bookmarkStart w:id="630" w:name="_Toc399847086"/>
      <w:bookmarkStart w:id="631" w:name="_Toc399848579"/>
      <w:bookmarkStart w:id="632" w:name="_Toc421105726"/>
      <w:bookmarkStart w:id="633" w:name="_Toc424033123"/>
      <w:bookmarkStart w:id="634" w:name="_Toc424038220"/>
      <w:bookmarkStart w:id="635" w:name="_Toc430157396"/>
      <w:bookmarkStart w:id="636" w:name="_Toc431470830"/>
      <w:bookmarkStart w:id="637" w:name="_Toc431470921"/>
      <w:bookmarkStart w:id="638" w:name="_Toc431471012"/>
      <w:bookmarkStart w:id="639" w:name="_Toc431471103"/>
      <w:bookmarkStart w:id="640" w:name="_Toc434257304"/>
      <w:bookmarkStart w:id="641" w:name="_Toc434407103"/>
      <w:bookmarkStart w:id="642" w:name="_Toc434407282"/>
      <w:bookmarkStart w:id="643" w:name="_Toc434408035"/>
      <w:bookmarkStart w:id="644" w:name="_Toc434408135"/>
      <w:bookmarkStart w:id="645" w:name="_Toc434408235"/>
      <w:bookmarkStart w:id="646" w:name="_Toc434408550"/>
      <w:bookmarkStart w:id="647" w:name="_Toc437246319"/>
      <w:bookmarkStart w:id="648" w:name="_Toc447635566"/>
      <w:bookmarkStart w:id="649" w:name="_Toc447722378"/>
      <w:bookmarkStart w:id="650" w:name="_Toc4541867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p>
    <w:p w14:paraId="3CD494C0" w14:textId="77777777" w:rsidR="00264958" w:rsidRPr="00043B8D" w:rsidRDefault="00264958" w:rsidP="005251E2">
      <w:pPr>
        <w:pStyle w:val="Lijstalinea"/>
        <w:keepNext/>
        <w:numPr>
          <w:ilvl w:val="1"/>
          <w:numId w:val="24"/>
        </w:numPr>
        <w:spacing w:before="240" w:after="60"/>
        <w:jc w:val="left"/>
        <w:outlineLvl w:val="1"/>
        <w:rPr>
          <w:rFonts w:cs="Arial"/>
          <w:b/>
          <w:bCs/>
          <w:iCs/>
          <w:vanish/>
          <w:sz w:val="26"/>
          <w:szCs w:val="28"/>
        </w:rPr>
      </w:pPr>
      <w:bookmarkStart w:id="651" w:name="_Toc399421525"/>
      <w:bookmarkStart w:id="652" w:name="_Toc399749573"/>
      <w:bookmarkStart w:id="653" w:name="_Toc399749856"/>
      <w:bookmarkStart w:id="654" w:name="_Toc399749987"/>
      <w:bookmarkStart w:id="655" w:name="_Toc399767232"/>
      <w:bookmarkStart w:id="656" w:name="_Toc399767322"/>
      <w:bookmarkStart w:id="657" w:name="_Toc399846892"/>
      <w:bookmarkStart w:id="658" w:name="_Toc399847087"/>
      <w:bookmarkStart w:id="659" w:name="_Toc399848580"/>
      <w:bookmarkStart w:id="660" w:name="_Toc421105727"/>
      <w:bookmarkStart w:id="661" w:name="_Toc424033124"/>
      <w:bookmarkStart w:id="662" w:name="_Toc424038221"/>
      <w:bookmarkStart w:id="663" w:name="_Toc430157397"/>
      <w:bookmarkStart w:id="664" w:name="_Toc431470831"/>
      <w:bookmarkStart w:id="665" w:name="_Toc431470922"/>
      <w:bookmarkStart w:id="666" w:name="_Toc431471013"/>
      <w:bookmarkStart w:id="667" w:name="_Toc431471104"/>
      <w:bookmarkStart w:id="668" w:name="_Toc434257305"/>
      <w:bookmarkStart w:id="669" w:name="_Toc434407104"/>
      <w:bookmarkStart w:id="670" w:name="_Toc434407283"/>
      <w:bookmarkStart w:id="671" w:name="_Toc434408036"/>
      <w:bookmarkStart w:id="672" w:name="_Toc434408136"/>
      <w:bookmarkStart w:id="673" w:name="_Toc434408236"/>
      <w:bookmarkStart w:id="674" w:name="_Toc434408551"/>
      <w:bookmarkStart w:id="675" w:name="_Toc437246320"/>
      <w:bookmarkStart w:id="676" w:name="_Toc447635567"/>
      <w:bookmarkStart w:id="677" w:name="_Toc447722379"/>
      <w:bookmarkStart w:id="678" w:name="_Toc454186723"/>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p>
    <w:p w14:paraId="18D11C79" w14:textId="0EA54123" w:rsidR="00264958" w:rsidRPr="00043B8D" w:rsidRDefault="00264958" w:rsidP="0020633D"/>
    <w:p w14:paraId="1B41F546" w14:textId="639AE0D8" w:rsidR="007A1C1B" w:rsidRPr="00043B8D" w:rsidRDefault="00AD10E7" w:rsidP="007A1C1B">
      <w:pPr>
        <w:pStyle w:val="Kop2"/>
      </w:pPr>
      <w:bookmarkStart w:id="679" w:name="_Toc454186724"/>
      <w:r w:rsidRPr="00043B8D">
        <w:t>Jaarlijkse rapporteringen</w:t>
      </w:r>
      <w:bookmarkEnd w:id="679"/>
      <w:r w:rsidRPr="00043B8D">
        <w:t xml:space="preserve"> </w:t>
      </w:r>
    </w:p>
    <w:p w14:paraId="4C6B2D8F" w14:textId="77777777" w:rsidR="000A39A4" w:rsidRPr="00043B8D" w:rsidRDefault="000A39A4" w:rsidP="000A39A4"/>
    <w:p w14:paraId="46BFAA74" w14:textId="2AED6E6C" w:rsidR="000A39A4" w:rsidRPr="00043B8D" w:rsidRDefault="00797280" w:rsidP="000A39A4">
      <w:r w:rsidRPr="00043B8D">
        <w:t xml:space="preserve">In </w:t>
      </w:r>
      <w:r w:rsidRPr="00043B8D">
        <w:fldChar w:fldCharType="begin"/>
      </w:r>
      <w:r w:rsidRPr="00043B8D">
        <w:instrText xml:space="preserve"> REF _Ref390263656 \h </w:instrText>
      </w:r>
      <w:r w:rsidR="00043B8D">
        <w:instrText xml:space="preserve"> \* MERGEFORMAT </w:instrText>
      </w:r>
      <w:r w:rsidRPr="00043B8D">
        <w:fldChar w:fldCharType="separate"/>
      </w:r>
      <w:r w:rsidR="00B30F9B" w:rsidRPr="00043B8D">
        <w:t xml:space="preserve">Tabel </w:t>
      </w:r>
      <w:r w:rsidR="00B30F9B">
        <w:rPr>
          <w:noProof/>
        </w:rPr>
        <w:t>14</w:t>
      </w:r>
      <w:r w:rsidRPr="00043B8D">
        <w:fldChar w:fldCharType="end"/>
      </w:r>
      <w:r w:rsidRPr="00043B8D">
        <w:t xml:space="preserve"> wordt een overzicht gegeven van de vereiste jaarlijkse rapporteringen </w:t>
      </w:r>
      <w:r w:rsidR="00F90E7C" w:rsidRPr="00043B8D">
        <w:t>aan</w:t>
      </w:r>
      <w:r w:rsidRPr="00043B8D">
        <w:t xml:space="preserve"> de VREG.</w:t>
      </w:r>
    </w:p>
    <w:p w14:paraId="41FB065F" w14:textId="384DFBF6" w:rsidR="00C44C06" w:rsidRPr="00043B8D" w:rsidRDefault="00C44C06">
      <w:pPr>
        <w:jc w:val="left"/>
      </w:pPr>
      <w:r w:rsidRPr="00043B8D">
        <w:br w:type="page"/>
      </w:r>
    </w:p>
    <w:p w14:paraId="22C7E48F" w14:textId="77777777" w:rsidR="000A39A4" w:rsidRPr="00043B8D" w:rsidRDefault="000A39A4" w:rsidP="000A39A4"/>
    <w:p w14:paraId="5630495F" w14:textId="500991B2" w:rsidR="00797280" w:rsidRPr="000D284A" w:rsidRDefault="00797280" w:rsidP="00654C50">
      <w:pPr>
        <w:pStyle w:val="Bijschrift"/>
        <w:keepNext/>
        <w:jc w:val="left"/>
        <w:rPr>
          <w:b w:val="0"/>
          <w:i/>
        </w:rPr>
      </w:pPr>
      <w:bookmarkStart w:id="680" w:name="_Ref390263656"/>
      <w:r w:rsidRPr="000D284A">
        <w:rPr>
          <w:b w:val="0"/>
          <w:i/>
        </w:rPr>
        <w:t xml:space="preserve">Tabel </w:t>
      </w:r>
      <w:r w:rsidRPr="000D284A">
        <w:rPr>
          <w:b w:val="0"/>
          <w:i/>
        </w:rPr>
        <w:fldChar w:fldCharType="begin"/>
      </w:r>
      <w:r w:rsidRPr="000D284A">
        <w:rPr>
          <w:b w:val="0"/>
          <w:i/>
        </w:rPr>
        <w:instrText xml:space="preserve"> SEQ Tabel \* ARABIC </w:instrText>
      </w:r>
      <w:r w:rsidRPr="000D284A">
        <w:rPr>
          <w:b w:val="0"/>
          <w:i/>
        </w:rPr>
        <w:fldChar w:fldCharType="separate"/>
      </w:r>
      <w:r w:rsidR="000D284A">
        <w:rPr>
          <w:b w:val="0"/>
          <w:i/>
          <w:noProof/>
        </w:rPr>
        <w:t>14</w:t>
      </w:r>
      <w:r w:rsidRPr="000D284A">
        <w:rPr>
          <w:b w:val="0"/>
          <w:i/>
        </w:rPr>
        <w:fldChar w:fldCharType="end"/>
      </w:r>
      <w:bookmarkEnd w:id="680"/>
      <w:r w:rsidRPr="000D284A">
        <w:rPr>
          <w:b w:val="0"/>
          <w:i/>
        </w:rPr>
        <w:t xml:space="preserve"> Jaarlijkse rapporteringen m.b.t. de tariefmethodologie </w:t>
      </w:r>
    </w:p>
    <w:tbl>
      <w:tblPr>
        <w:tblStyle w:val="Tabelraster"/>
        <w:tblW w:w="0" w:type="auto"/>
        <w:tblCellMar>
          <w:top w:w="28" w:type="dxa"/>
          <w:bottom w:w="28" w:type="dxa"/>
        </w:tblCellMar>
        <w:tblLook w:val="04A0" w:firstRow="1" w:lastRow="0" w:firstColumn="1" w:lastColumn="0" w:noHBand="0" w:noVBand="1"/>
      </w:tblPr>
      <w:tblGrid>
        <w:gridCol w:w="1526"/>
        <w:gridCol w:w="3236"/>
        <w:gridCol w:w="2727"/>
        <w:gridCol w:w="1797"/>
      </w:tblGrid>
      <w:tr w:rsidR="007E3FA5" w:rsidRPr="00043B8D" w14:paraId="5C2CD70E" w14:textId="77777777" w:rsidTr="00942940">
        <w:trPr>
          <w:trHeight w:val="1453"/>
        </w:trPr>
        <w:tc>
          <w:tcPr>
            <w:tcW w:w="1526" w:type="dxa"/>
            <w:vAlign w:val="center"/>
          </w:tcPr>
          <w:p w14:paraId="157B99B5" w14:textId="7E46E832" w:rsidR="00797280" w:rsidRPr="00043B8D" w:rsidRDefault="00E70C43" w:rsidP="00E70C43">
            <w:pPr>
              <w:jc w:val="center"/>
              <w:rPr>
                <w:b/>
              </w:rPr>
            </w:pPr>
            <w:r w:rsidRPr="00043B8D">
              <w:rPr>
                <w:b/>
              </w:rPr>
              <w:t>I</w:t>
            </w:r>
            <w:r w:rsidR="000A39A4" w:rsidRPr="00043B8D">
              <w:rPr>
                <w:b/>
              </w:rPr>
              <w:t xml:space="preserve">ndiening </w:t>
            </w:r>
            <w:r w:rsidR="00BB1C86" w:rsidRPr="00043B8D">
              <w:rPr>
                <w:b/>
              </w:rPr>
              <w:t>ten laatste op</w:t>
            </w:r>
          </w:p>
        </w:tc>
        <w:tc>
          <w:tcPr>
            <w:tcW w:w="3236" w:type="dxa"/>
            <w:vAlign w:val="center"/>
          </w:tcPr>
          <w:p w14:paraId="41C46036" w14:textId="39338235" w:rsidR="000A39A4" w:rsidRPr="00043B8D" w:rsidRDefault="00BB1C86" w:rsidP="00BB1C86">
            <w:pPr>
              <w:jc w:val="center"/>
              <w:rPr>
                <w:b/>
              </w:rPr>
            </w:pPr>
            <w:r w:rsidRPr="00043B8D">
              <w:rPr>
                <w:b/>
              </w:rPr>
              <w:t xml:space="preserve">rapportering </w:t>
            </w:r>
          </w:p>
        </w:tc>
        <w:tc>
          <w:tcPr>
            <w:tcW w:w="2727" w:type="dxa"/>
            <w:vAlign w:val="center"/>
          </w:tcPr>
          <w:p w14:paraId="25ABDEF2" w14:textId="77777777" w:rsidR="000A39A4" w:rsidRPr="00043B8D" w:rsidRDefault="002E251D" w:rsidP="005B3CCC">
            <w:pPr>
              <w:jc w:val="center"/>
              <w:rPr>
                <w:b/>
              </w:rPr>
            </w:pPr>
            <w:r w:rsidRPr="00043B8D">
              <w:rPr>
                <w:b/>
              </w:rPr>
              <w:t>d</w:t>
            </w:r>
            <w:r w:rsidR="000A39A4" w:rsidRPr="00043B8D">
              <w:rPr>
                <w:b/>
              </w:rPr>
              <w:t>oor</w:t>
            </w:r>
          </w:p>
        </w:tc>
        <w:tc>
          <w:tcPr>
            <w:tcW w:w="0" w:type="auto"/>
            <w:vAlign w:val="center"/>
          </w:tcPr>
          <w:p w14:paraId="4D94AFE6" w14:textId="784E57FB" w:rsidR="000A39A4" w:rsidRPr="00043B8D" w:rsidRDefault="0042124D" w:rsidP="0042124D">
            <w:pPr>
              <w:jc w:val="center"/>
              <w:rPr>
                <w:b/>
              </w:rPr>
            </w:pPr>
            <w:r w:rsidRPr="00043B8D">
              <w:rPr>
                <w:b/>
              </w:rPr>
              <w:t>[…]</w:t>
            </w:r>
            <w:r w:rsidRPr="00043B8D">
              <w:rPr>
                <w:rStyle w:val="Voetnootmarkering"/>
                <w:b/>
              </w:rPr>
              <w:footnoteReference w:id="112"/>
            </w:r>
            <w:r w:rsidRPr="00043B8D">
              <w:rPr>
                <w:b/>
              </w:rPr>
              <w:t xml:space="preserve">  [rapport van feitelijke bevindingen]</w:t>
            </w:r>
            <w:r w:rsidRPr="00043B8D">
              <w:rPr>
                <w:rStyle w:val="Voetnootmarkering"/>
                <w:b/>
              </w:rPr>
              <w:footnoteReference w:id="113"/>
            </w:r>
            <w:r w:rsidR="00215478" w:rsidRPr="00043B8D">
              <w:rPr>
                <w:b/>
              </w:rPr>
              <w:t xml:space="preserve"> </w:t>
            </w:r>
            <w:r w:rsidR="000A39A4" w:rsidRPr="00043B8D">
              <w:rPr>
                <w:b/>
              </w:rPr>
              <w:t xml:space="preserve">door </w:t>
            </w:r>
            <w:r w:rsidR="00397BB2" w:rsidRPr="00043B8D">
              <w:rPr>
                <w:b/>
              </w:rPr>
              <w:t xml:space="preserve">commissaris </w:t>
            </w:r>
            <w:r w:rsidR="001B1E6F" w:rsidRPr="00043B8D">
              <w:rPr>
                <w:b/>
              </w:rPr>
              <w:t>bij te voegen</w:t>
            </w:r>
          </w:p>
        </w:tc>
      </w:tr>
      <w:tr w:rsidR="003F31E2" w:rsidRPr="00043B8D" w14:paraId="16E56259" w14:textId="77777777" w:rsidTr="00942940">
        <w:trPr>
          <w:trHeight w:val="2113"/>
        </w:trPr>
        <w:tc>
          <w:tcPr>
            <w:tcW w:w="1526" w:type="dxa"/>
          </w:tcPr>
          <w:p w14:paraId="699813C5" w14:textId="77777777" w:rsidR="00C44C06" w:rsidRPr="00043B8D" w:rsidRDefault="003F31E2" w:rsidP="00EF52C7">
            <w:pPr>
              <w:jc w:val="center"/>
            </w:pPr>
            <w:r w:rsidRPr="00043B8D">
              <w:t xml:space="preserve">1 juli 2015, </w:t>
            </w:r>
          </w:p>
          <w:p w14:paraId="38581659" w14:textId="0A3B53E5" w:rsidR="003F31E2" w:rsidRPr="00043B8D" w:rsidRDefault="003F31E2" w:rsidP="00EF52C7">
            <w:pPr>
              <w:jc w:val="center"/>
            </w:pPr>
            <w:r w:rsidRPr="00043B8D">
              <w:t>1 juli 2016 en 1 juli 2017</w:t>
            </w:r>
          </w:p>
          <w:p w14:paraId="3DD1EBE5" w14:textId="77777777" w:rsidR="003F31E2" w:rsidRPr="00043B8D" w:rsidRDefault="003F31E2" w:rsidP="00017905">
            <w:pPr>
              <w:jc w:val="center"/>
            </w:pPr>
          </w:p>
        </w:tc>
        <w:tc>
          <w:tcPr>
            <w:tcW w:w="3236" w:type="dxa"/>
            <w:tcBorders>
              <w:bottom w:val="single" w:sz="4" w:space="0" w:color="auto"/>
            </w:tcBorders>
          </w:tcPr>
          <w:p w14:paraId="053DE9BF" w14:textId="7D917321" w:rsidR="003F31E2" w:rsidRPr="00043B8D" w:rsidRDefault="003F31E2" w:rsidP="003F31E2">
            <w:r w:rsidRPr="00043B8D">
              <w:t>Ex-post rapportering m.b.t. voorgaand boekjaar: Rapporteringsmodel niet-exogene kosten</w:t>
            </w:r>
          </w:p>
          <w:p w14:paraId="39537414" w14:textId="5322DB03" w:rsidR="003F31E2" w:rsidRPr="00043B8D" w:rsidRDefault="003F31E2" w:rsidP="002C1546"/>
        </w:tc>
        <w:tc>
          <w:tcPr>
            <w:tcW w:w="2727" w:type="dxa"/>
          </w:tcPr>
          <w:p w14:paraId="471A12A5" w14:textId="77777777" w:rsidR="003F31E2" w:rsidRPr="00043B8D" w:rsidRDefault="003F31E2" w:rsidP="00EF52C7">
            <w:pPr>
              <w:jc w:val="center"/>
            </w:pPr>
            <w:r w:rsidRPr="00043B8D">
              <w:t>distributienetbeheerder</w:t>
            </w:r>
          </w:p>
          <w:p w14:paraId="5198EC78" w14:textId="77777777" w:rsidR="003F31E2" w:rsidRPr="00043B8D" w:rsidRDefault="003F31E2" w:rsidP="00017905">
            <w:pPr>
              <w:jc w:val="center"/>
            </w:pPr>
          </w:p>
        </w:tc>
        <w:tc>
          <w:tcPr>
            <w:tcW w:w="0" w:type="auto"/>
          </w:tcPr>
          <w:p w14:paraId="72B4A330" w14:textId="4E4A15D6" w:rsidR="003F31E2" w:rsidRPr="00043B8D" w:rsidRDefault="003F31E2" w:rsidP="00981865">
            <w:pPr>
              <w:jc w:val="center"/>
            </w:pPr>
            <w:r w:rsidRPr="00043B8D">
              <w:t>Ja</w:t>
            </w:r>
          </w:p>
        </w:tc>
      </w:tr>
      <w:tr w:rsidR="003F31E2" w:rsidRPr="00043B8D" w14:paraId="551FD41D" w14:textId="77777777" w:rsidTr="00942940">
        <w:trPr>
          <w:trHeight w:val="2113"/>
        </w:trPr>
        <w:tc>
          <w:tcPr>
            <w:tcW w:w="1526" w:type="dxa"/>
          </w:tcPr>
          <w:p w14:paraId="3F431F62" w14:textId="1A274111" w:rsidR="003F31E2" w:rsidRPr="00043B8D" w:rsidRDefault="003F31E2" w:rsidP="00017905">
            <w:pPr>
              <w:jc w:val="center"/>
            </w:pPr>
            <w:r w:rsidRPr="00043B8D">
              <w:t>1 juli 2016 en 1 juli 2017</w:t>
            </w:r>
          </w:p>
          <w:p w14:paraId="0D17D0A4" w14:textId="77777777" w:rsidR="003F31E2" w:rsidRPr="00043B8D" w:rsidRDefault="003F31E2" w:rsidP="00017905">
            <w:pPr>
              <w:jc w:val="center"/>
            </w:pPr>
          </w:p>
        </w:tc>
        <w:tc>
          <w:tcPr>
            <w:tcW w:w="3236" w:type="dxa"/>
            <w:tcBorders>
              <w:bottom w:val="single" w:sz="4" w:space="0" w:color="auto"/>
            </w:tcBorders>
          </w:tcPr>
          <w:p w14:paraId="65ABD57A" w14:textId="0146CC71" w:rsidR="003F31E2" w:rsidRPr="00043B8D" w:rsidRDefault="003F31E2" w:rsidP="002C1546">
            <w:r w:rsidRPr="00043B8D">
              <w:t>Ex-post rapportering m.b.t. voorgaand boekjaar:</w:t>
            </w:r>
          </w:p>
          <w:p w14:paraId="35D2CA9E" w14:textId="66E5AB3A" w:rsidR="003F31E2" w:rsidRPr="00043B8D" w:rsidRDefault="003F31E2" w:rsidP="003F31E2">
            <w:pPr>
              <w:pStyle w:val="Lijstalinea"/>
              <w:ind w:left="360"/>
            </w:pPr>
            <w:r w:rsidRPr="00043B8D">
              <w:t>Rapporteringsmodel exogene kosten (werkelijke waarden)</w:t>
            </w:r>
          </w:p>
        </w:tc>
        <w:tc>
          <w:tcPr>
            <w:tcW w:w="2727" w:type="dxa"/>
          </w:tcPr>
          <w:p w14:paraId="72B3D860" w14:textId="77777777" w:rsidR="003F31E2" w:rsidRPr="00043B8D" w:rsidRDefault="003F31E2" w:rsidP="00017905">
            <w:pPr>
              <w:jc w:val="center"/>
            </w:pPr>
            <w:r w:rsidRPr="00043B8D">
              <w:t>distributienetbeheerder</w:t>
            </w:r>
          </w:p>
          <w:p w14:paraId="7880D7ED" w14:textId="77777777" w:rsidR="003F31E2" w:rsidRPr="00043B8D" w:rsidRDefault="003F31E2" w:rsidP="00017905">
            <w:pPr>
              <w:jc w:val="center"/>
            </w:pPr>
          </w:p>
        </w:tc>
        <w:tc>
          <w:tcPr>
            <w:tcW w:w="0" w:type="auto"/>
          </w:tcPr>
          <w:p w14:paraId="01E8A573" w14:textId="77777777" w:rsidR="003F31E2" w:rsidRPr="00043B8D" w:rsidRDefault="003F31E2" w:rsidP="00981865">
            <w:pPr>
              <w:jc w:val="center"/>
            </w:pPr>
            <w:r w:rsidRPr="00043B8D">
              <w:t>Ja</w:t>
            </w:r>
          </w:p>
        </w:tc>
      </w:tr>
      <w:tr w:rsidR="003F31E2" w:rsidRPr="00043B8D" w14:paraId="6D94EC31" w14:textId="77777777" w:rsidTr="00942940">
        <w:trPr>
          <w:trHeight w:val="1259"/>
        </w:trPr>
        <w:tc>
          <w:tcPr>
            <w:tcW w:w="1526" w:type="dxa"/>
          </w:tcPr>
          <w:p w14:paraId="210E3E2D" w14:textId="77777777" w:rsidR="00C44C06" w:rsidRPr="00043B8D" w:rsidRDefault="003F31E2" w:rsidP="00AA6AE7">
            <w:pPr>
              <w:jc w:val="center"/>
            </w:pPr>
            <w:r w:rsidRPr="00043B8D">
              <w:t xml:space="preserve">1 juli 2015, </w:t>
            </w:r>
          </w:p>
          <w:p w14:paraId="511FC132" w14:textId="3A7410DA" w:rsidR="003F31E2" w:rsidRPr="00043B8D" w:rsidRDefault="003F31E2" w:rsidP="00AA6AE7">
            <w:pPr>
              <w:jc w:val="center"/>
            </w:pPr>
            <w:r w:rsidRPr="00043B8D">
              <w:t>1 juli 2016 en 1 juli 2017</w:t>
            </w:r>
          </w:p>
        </w:tc>
        <w:tc>
          <w:tcPr>
            <w:tcW w:w="3236" w:type="dxa"/>
          </w:tcPr>
          <w:p w14:paraId="4A436EEF" w14:textId="4100B026" w:rsidR="003F31E2" w:rsidRPr="00043B8D" w:rsidRDefault="003F31E2" w:rsidP="002C1546">
            <w:r w:rsidRPr="00043B8D">
              <w:t xml:space="preserve">de verdeling van de activa, passiva, kosten en opbrengsten van de distributienetbeheerder over vorig boekjaar per gewest </w:t>
            </w:r>
          </w:p>
        </w:tc>
        <w:tc>
          <w:tcPr>
            <w:tcW w:w="2727" w:type="dxa"/>
          </w:tcPr>
          <w:p w14:paraId="1803A383" w14:textId="514C1842" w:rsidR="003F31E2" w:rsidRPr="00043B8D" w:rsidRDefault="003F31E2" w:rsidP="00AA6AE7">
            <w:pPr>
              <w:jc w:val="center"/>
            </w:pPr>
            <w:r w:rsidRPr="00043B8D">
              <w:t>gewestgrensoverschrijdende distributienetbeheerder</w:t>
            </w:r>
          </w:p>
        </w:tc>
        <w:tc>
          <w:tcPr>
            <w:tcW w:w="0" w:type="auto"/>
          </w:tcPr>
          <w:p w14:paraId="5EA4A684" w14:textId="6F4B761D" w:rsidR="003F31E2" w:rsidRPr="00043B8D" w:rsidRDefault="003F31E2" w:rsidP="00AA6AE7">
            <w:pPr>
              <w:jc w:val="center"/>
            </w:pPr>
            <w:r w:rsidRPr="00043B8D">
              <w:t>Ja</w:t>
            </w:r>
          </w:p>
        </w:tc>
      </w:tr>
      <w:tr w:rsidR="003F31E2" w:rsidRPr="00043B8D" w14:paraId="4EA3E533" w14:textId="77777777" w:rsidTr="00942940">
        <w:trPr>
          <w:trHeight w:val="1037"/>
        </w:trPr>
        <w:tc>
          <w:tcPr>
            <w:tcW w:w="1526" w:type="dxa"/>
          </w:tcPr>
          <w:p w14:paraId="700DB9BE" w14:textId="0C4B4E17" w:rsidR="003F31E2" w:rsidRPr="00043B8D" w:rsidRDefault="003F31E2" w:rsidP="00AA6AE7">
            <w:pPr>
              <w:jc w:val="center"/>
            </w:pPr>
            <w:r w:rsidRPr="00043B8D">
              <w:t>1 september 2015</w:t>
            </w:r>
          </w:p>
        </w:tc>
        <w:tc>
          <w:tcPr>
            <w:tcW w:w="3236" w:type="dxa"/>
          </w:tcPr>
          <w:p w14:paraId="543615FE" w14:textId="52728190" w:rsidR="003F31E2" w:rsidRPr="00043B8D" w:rsidRDefault="003F31E2" w:rsidP="002C1546">
            <w:r w:rsidRPr="00043B8D">
              <w:t xml:space="preserve">Rapporteringsmodel exogene kosten m.b.t. volgend boekjaar (budgetvoorstel) </w:t>
            </w:r>
          </w:p>
        </w:tc>
        <w:tc>
          <w:tcPr>
            <w:tcW w:w="2727" w:type="dxa"/>
          </w:tcPr>
          <w:p w14:paraId="39F681D2" w14:textId="77777777" w:rsidR="003F31E2" w:rsidRPr="00043B8D" w:rsidRDefault="003F31E2" w:rsidP="00AA6AE7">
            <w:pPr>
              <w:jc w:val="center"/>
            </w:pPr>
            <w:r w:rsidRPr="00043B8D">
              <w:t>distributienetbeheerder</w:t>
            </w:r>
          </w:p>
        </w:tc>
        <w:tc>
          <w:tcPr>
            <w:tcW w:w="0" w:type="auto"/>
          </w:tcPr>
          <w:p w14:paraId="40DF393E" w14:textId="77777777" w:rsidR="003F31E2" w:rsidRPr="00043B8D" w:rsidRDefault="003F31E2" w:rsidP="00AA6AE7">
            <w:pPr>
              <w:jc w:val="center"/>
            </w:pPr>
            <w:r w:rsidRPr="00043B8D">
              <w:t>Nee</w:t>
            </w:r>
          </w:p>
        </w:tc>
      </w:tr>
      <w:tr w:rsidR="00416EF8" w:rsidRPr="00043B8D" w14:paraId="418DD755" w14:textId="77777777" w:rsidTr="00B376D5">
        <w:trPr>
          <w:trHeight w:val="1474"/>
        </w:trPr>
        <w:tc>
          <w:tcPr>
            <w:tcW w:w="1526" w:type="dxa"/>
            <w:shd w:val="clear" w:color="auto" w:fill="auto"/>
          </w:tcPr>
          <w:p w14:paraId="2F60027A" w14:textId="77777777" w:rsidR="0077596A" w:rsidRPr="00043B8D" w:rsidRDefault="0077596A" w:rsidP="0077596A">
            <w:pPr>
              <w:jc w:val="center"/>
            </w:pPr>
            <w:r w:rsidRPr="00043B8D">
              <w:t xml:space="preserve">Uiterlijk </w:t>
            </w:r>
          </w:p>
          <w:p w14:paraId="41D68D35" w14:textId="114BC635" w:rsidR="00416EF8" w:rsidRPr="00043B8D" w:rsidRDefault="00416EF8" w:rsidP="0077596A">
            <w:pPr>
              <w:jc w:val="center"/>
            </w:pPr>
            <w:r w:rsidRPr="00043B8D">
              <w:t xml:space="preserve">1 </w:t>
            </w:r>
            <w:r w:rsidR="0077596A" w:rsidRPr="00043B8D">
              <w:t xml:space="preserve">november </w:t>
            </w:r>
            <w:r w:rsidRPr="00043B8D">
              <w:t>2015</w:t>
            </w:r>
          </w:p>
        </w:tc>
        <w:tc>
          <w:tcPr>
            <w:tcW w:w="3236" w:type="dxa"/>
            <w:shd w:val="clear" w:color="auto" w:fill="auto"/>
          </w:tcPr>
          <w:p w14:paraId="5EF3FAF3" w14:textId="09997226" w:rsidR="00416EF8" w:rsidRPr="00043B8D" w:rsidRDefault="00416EF8" w:rsidP="002C1546">
            <w:r w:rsidRPr="00043B8D">
              <w:t xml:space="preserve">Niet-periodieke distributienet-tarieven voor volgend jaar volgens indexatie volgens evolutie van de CPI augustus jaar op jaar (par. </w:t>
            </w:r>
            <w:r w:rsidRPr="00043B8D">
              <w:fldChar w:fldCharType="begin"/>
            </w:r>
            <w:r w:rsidRPr="00043B8D">
              <w:instrText xml:space="preserve"> REF _Ref392956561 \r \h </w:instrText>
            </w:r>
            <w:r w:rsidR="00B376D5" w:rsidRPr="00043B8D">
              <w:instrText xml:space="preserve"> \* MERGEFORMAT </w:instrText>
            </w:r>
            <w:r w:rsidRPr="00043B8D">
              <w:fldChar w:fldCharType="separate"/>
            </w:r>
            <w:r w:rsidR="00B30F9B">
              <w:t>5.12</w:t>
            </w:r>
            <w:r w:rsidRPr="00043B8D">
              <w:fldChar w:fldCharType="end"/>
            </w:r>
            <w:r w:rsidRPr="00043B8D">
              <w:t>).</w:t>
            </w:r>
          </w:p>
        </w:tc>
        <w:tc>
          <w:tcPr>
            <w:tcW w:w="2727" w:type="dxa"/>
            <w:shd w:val="clear" w:color="auto" w:fill="auto"/>
          </w:tcPr>
          <w:p w14:paraId="50EF2E2B" w14:textId="01EB6C42" w:rsidR="00416EF8" w:rsidRPr="00043B8D" w:rsidRDefault="00416EF8" w:rsidP="00AA6AE7">
            <w:pPr>
              <w:jc w:val="center"/>
            </w:pPr>
            <w:r w:rsidRPr="00043B8D">
              <w:t>distributienetbeheerder</w:t>
            </w:r>
          </w:p>
        </w:tc>
        <w:tc>
          <w:tcPr>
            <w:tcW w:w="0" w:type="auto"/>
            <w:shd w:val="clear" w:color="auto" w:fill="auto"/>
          </w:tcPr>
          <w:p w14:paraId="02CB0510" w14:textId="3FA4DE18" w:rsidR="00416EF8" w:rsidRPr="00043B8D" w:rsidRDefault="00416EF8" w:rsidP="00AA6AE7">
            <w:pPr>
              <w:jc w:val="center"/>
            </w:pPr>
            <w:r w:rsidRPr="00043B8D">
              <w:t>Nee</w:t>
            </w:r>
          </w:p>
        </w:tc>
      </w:tr>
      <w:tr w:rsidR="003F31E2" w:rsidRPr="00043B8D" w14:paraId="3E8B5F6A" w14:textId="77777777" w:rsidTr="00942940">
        <w:trPr>
          <w:trHeight w:val="1941"/>
        </w:trPr>
        <w:tc>
          <w:tcPr>
            <w:tcW w:w="1526" w:type="dxa"/>
          </w:tcPr>
          <w:p w14:paraId="009CC207" w14:textId="3FFF8D4A" w:rsidR="003F31E2" w:rsidRPr="00043B8D" w:rsidRDefault="003F31E2" w:rsidP="00AA6AE7">
            <w:pPr>
              <w:jc w:val="center"/>
            </w:pPr>
            <w:r w:rsidRPr="00043B8D">
              <w:t>1 november 2015</w:t>
            </w:r>
          </w:p>
        </w:tc>
        <w:tc>
          <w:tcPr>
            <w:tcW w:w="3236" w:type="dxa"/>
          </w:tcPr>
          <w:p w14:paraId="18CC3A9F" w14:textId="77777777" w:rsidR="003F31E2" w:rsidRPr="00043B8D" w:rsidRDefault="003F31E2" w:rsidP="002C1546">
            <w:r w:rsidRPr="00043B8D">
              <w:t>Rapporteringsmodel vertaling toegestane inkomen volgend jaar naar tariefvoorstel (update 1+CPI-x).</w:t>
            </w:r>
          </w:p>
          <w:p w14:paraId="6DF1A274" w14:textId="77777777" w:rsidR="003F31E2" w:rsidRPr="00043B8D" w:rsidRDefault="003F31E2" w:rsidP="002C1546"/>
          <w:p w14:paraId="09B90396" w14:textId="77777777" w:rsidR="003F31E2" w:rsidRPr="00043B8D" w:rsidRDefault="003F31E2" w:rsidP="004059BD"/>
        </w:tc>
        <w:tc>
          <w:tcPr>
            <w:tcW w:w="2727" w:type="dxa"/>
          </w:tcPr>
          <w:p w14:paraId="19CB38C2" w14:textId="77777777" w:rsidR="003F31E2" w:rsidRPr="00043B8D" w:rsidRDefault="003F31E2" w:rsidP="00AA6AE7">
            <w:pPr>
              <w:jc w:val="center"/>
            </w:pPr>
            <w:r w:rsidRPr="00043B8D">
              <w:t>distributienetbeheerder</w:t>
            </w:r>
          </w:p>
        </w:tc>
        <w:tc>
          <w:tcPr>
            <w:tcW w:w="0" w:type="auto"/>
          </w:tcPr>
          <w:p w14:paraId="244D24D9" w14:textId="77777777" w:rsidR="003F31E2" w:rsidRPr="00043B8D" w:rsidRDefault="003F31E2" w:rsidP="00AA6AE7">
            <w:pPr>
              <w:jc w:val="center"/>
            </w:pPr>
            <w:r w:rsidRPr="00043B8D">
              <w:t>Nee</w:t>
            </w:r>
          </w:p>
        </w:tc>
      </w:tr>
    </w:tbl>
    <w:p w14:paraId="6A0076F4" w14:textId="59A24915" w:rsidR="006E008E" w:rsidRPr="00DF525C" w:rsidRDefault="00DF525C" w:rsidP="00C44C06">
      <w:pPr>
        <w:pStyle w:val="Kop1"/>
      </w:pPr>
      <w:bookmarkStart w:id="681" w:name="_Ref434407912"/>
      <w:bookmarkStart w:id="682" w:name="_Toc454186725"/>
      <w:bookmarkStart w:id="683" w:name="_Ref390933783"/>
      <w:bookmarkStart w:id="684" w:name="_Ref390934445"/>
      <w:bookmarkStart w:id="685" w:name="_Ref390934519"/>
      <w:r w:rsidRPr="00DF525C">
        <w:t>[</w:t>
      </w:r>
      <w:r w:rsidR="006E008E" w:rsidRPr="00DF525C">
        <w:t>Aanpak inzake fusies en (partiële) splitsingen</w:t>
      </w:r>
      <w:bookmarkEnd w:id="681"/>
      <w:bookmarkEnd w:id="682"/>
    </w:p>
    <w:p w14:paraId="52F96279" w14:textId="77777777" w:rsidR="006E008E" w:rsidRPr="00DF525C" w:rsidRDefault="006E008E">
      <w:pPr>
        <w:jc w:val="left"/>
      </w:pPr>
    </w:p>
    <w:p w14:paraId="700482B6" w14:textId="77777777" w:rsidR="006E008E" w:rsidRPr="00DF525C" w:rsidRDefault="006E008E" w:rsidP="006E008E">
      <w:pPr>
        <w:pStyle w:val="Kop2"/>
      </w:pPr>
      <w:bookmarkStart w:id="686" w:name="_Ref433968018"/>
      <w:bookmarkStart w:id="687" w:name="_Toc454186726"/>
      <w:r w:rsidRPr="00DF525C">
        <w:t>Fusie</w:t>
      </w:r>
      <w:bookmarkEnd w:id="686"/>
      <w:bookmarkEnd w:id="687"/>
    </w:p>
    <w:p w14:paraId="7817644B" w14:textId="77777777" w:rsidR="006E008E" w:rsidRPr="00DF525C" w:rsidRDefault="006E008E" w:rsidP="00DC7DEC">
      <w:pPr>
        <w:pStyle w:val="Kop3"/>
      </w:pPr>
      <w:bookmarkStart w:id="688" w:name="_Toc454186727"/>
      <w:r w:rsidRPr="00DF525C">
        <w:t>Situatie</w:t>
      </w:r>
      <w:bookmarkEnd w:id="688"/>
    </w:p>
    <w:p w14:paraId="346F8BE8" w14:textId="77777777" w:rsidR="006E008E" w:rsidRPr="00DF525C" w:rsidRDefault="006E008E" w:rsidP="006E008E"/>
    <w:p w14:paraId="36570418" w14:textId="77777777" w:rsidR="006E008E" w:rsidRPr="00DF525C" w:rsidRDefault="006E008E" w:rsidP="006E008E">
      <w:r w:rsidRPr="00DF525C">
        <w:t>Met “fusie” van distributienetbeheerders wordt voor de doeleinden van de tariefmethodologie bedoeld:</w:t>
      </w:r>
    </w:p>
    <w:p w14:paraId="4344EB21" w14:textId="77777777" w:rsidR="006E008E" w:rsidRPr="00DF525C" w:rsidRDefault="006E008E" w:rsidP="006E008E"/>
    <w:p w14:paraId="45FD25BB" w14:textId="77777777" w:rsidR="006E008E" w:rsidRPr="00DF525C" w:rsidRDefault="006E008E" w:rsidP="005251E2">
      <w:pPr>
        <w:numPr>
          <w:ilvl w:val="0"/>
          <w:numId w:val="31"/>
        </w:numPr>
      </w:pPr>
      <w:r w:rsidRPr="00DF525C">
        <w:t xml:space="preserve">een fusie in de zin van art. 671 of 672 van het Wetboek van Vennootschappen, waarmee de rechtshandeling bedoeld wordt waarbij het </w:t>
      </w:r>
      <w:r w:rsidRPr="00DF525C">
        <w:rPr>
          <w:i/>
        </w:rPr>
        <w:t>gehele</w:t>
      </w:r>
      <w:r w:rsidRPr="00DF525C">
        <w:t xml:space="preserve"> vermogen van één of meerdere distributienetbeheerders, zowel de rechten als verplichtingen, als gevolg van een </w:t>
      </w:r>
      <w:r w:rsidRPr="00DF525C">
        <w:rPr>
          <w:i/>
        </w:rPr>
        <w:t>ontbinding</w:t>
      </w:r>
      <w:r w:rsidRPr="00DF525C">
        <w:t xml:space="preserve"> zonder vereffening overgaat op </w:t>
      </w:r>
      <w:r w:rsidRPr="00DF525C">
        <w:rPr>
          <w:i/>
        </w:rPr>
        <w:t>één</w:t>
      </w:r>
      <w:r w:rsidRPr="00DF525C">
        <w:t xml:space="preserve"> fusie-distributienetbeheerder tegen uitreiking van aandelen in de nieuwe fusie-distributienetbeheerder (fusie door oprichting van een nieuwe fusie-distributienetbeheerder) of in de overnemende fusie-distributienetbeheerder (fusie door overneming) rechtstreeks aan de aandeelhouders van de ontbonden distributienetbeheerder(s) (eventueel – maar niet verplicht – met een beperkte opleg in geld),</w:t>
      </w:r>
    </w:p>
    <w:p w14:paraId="1B9D617C" w14:textId="77777777" w:rsidR="006E008E" w:rsidRPr="00DF525C" w:rsidRDefault="006E008E" w:rsidP="006E008E">
      <w:pPr>
        <w:ind w:left="720"/>
      </w:pPr>
      <w:r w:rsidRPr="00DF525C">
        <w:t xml:space="preserve"> </w:t>
      </w:r>
    </w:p>
    <w:p w14:paraId="7FB190C2" w14:textId="3E80F785" w:rsidR="006E008E" w:rsidRPr="00DF525C" w:rsidRDefault="006E008E" w:rsidP="005251E2">
      <w:pPr>
        <w:numPr>
          <w:ilvl w:val="0"/>
          <w:numId w:val="31"/>
        </w:numPr>
      </w:pPr>
      <w:r w:rsidRPr="00DF525C">
        <w:t xml:space="preserve">de </w:t>
      </w:r>
      <w:r w:rsidR="00C475C4" w:rsidRPr="00DF525C">
        <w:t xml:space="preserve">onder art. 676 van </w:t>
      </w:r>
      <w:r w:rsidRPr="00DF525C">
        <w:t>het Wetboek van Vennootschappen met een fusie gelijkgestelde verrichtingen en</w:t>
      </w:r>
    </w:p>
    <w:p w14:paraId="5A0B63F4" w14:textId="77777777" w:rsidR="006E008E" w:rsidRPr="00DF525C" w:rsidRDefault="006E008E" w:rsidP="006E008E">
      <w:pPr>
        <w:ind w:left="720"/>
      </w:pPr>
    </w:p>
    <w:p w14:paraId="02065CB0" w14:textId="77777777" w:rsidR="006E008E" w:rsidRPr="00DF525C" w:rsidRDefault="006E008E" w:rsidP="005251E2">
      <w:pPr>
        <w:numPr>
          <w:ilvl w:val="0"/>
          <w:numId w:val="31"/>
        </w:numPr>
      </w:pPr>
      <w:r w:rsidRPr="00DF525C">
        <w:t>transacties die niet aan de omschrijving van het begrip fusie in de zin van het Wetboek van Vennootschappen beantwoorden en bijgevolg niet ressorteren onder de in dat wetboek uitgewerkte regeling, doch waarbij die operaties een nauwe verwantschap met de fusie vertonen, en het (economisch) resultaat in hoofde van de fusie-distributienetbeheerder hetzelfde is: zij verwerft het gehele vermogen van de overgenomen distributienetbeheerder.</w:t>
      </w:r>
    </w:p>
    <w:p w14:paraId="491E85A2" w14:textId="77777777" w:rsidR="006E008E" w:rsidRPr="00DF525C" w:rsidRDefault="006E008E" w:rsidP="00DC7DEC">
      <w:pPr>
        <w:pStyle w:val="Kop3"/>
      </w:pPr>
      <w:bookmarkStart w:id="689" w:name="_Toc454186728"/>
      <w:r w:rsidRPr="00DF525C">
        <w:t>Distributienettarieven</w:t>
      </w:r>
      <w:bookmarkEnd w:id="689"/>
    </w:p>
    <w:p w14:paraId="32F96C73" w14:textId="77777777" w:rsidR="006E008E" w:rsidRPr="00DF525C" w:rsidRDefault="006E008E" w:rsidP="006E008E">
      <w:r w:rsidRPr="00DF525C">
        <w:t xml:space="preserve"> </w:t>
      </w:r>
    </w:p>
    <w:p w14:paraId="25C24508" w14:textId="77777777" w:rsidR="006E008E" w:rsidRPr="00DF525C" w:rsidRDefault="006E008E" w:rsidP="006E008E">
      <w:r w:rsidRPr="00DF525C">
        <w:t xml:space="preserve">De VREG zal zo snel als mogelijk na het tot uitvoering komen van de fusie de nieuwe distributienettarieven voor de fusie-distributienetbeheerder toepassen. Indien noodzakelijk ter voorbereiding hiervan, kunnen als overgangsmaatregel tijdelijk de distributienettarieven overeenkomstig de netgebieden en distributienetbeheerders van vóór de fusie, toegepast worden. </w:t>
      </w:r>
    </w:p>
    <w:p w14:paraId="28DF01CC" w14:textId="77777777" w:rsidR="006E008E" w:rsidRPr="00DF525C" w:rsidRDefault="006E008E" w:rsidP="006E008E"/>
    <w:p w14:paraId="0E54CA4D" w14:textId="60681F05" w:rsidR="006E008E" w:rsidRPr="00DF525C" w:rsidRDefault="006E008E" w:rsidP="006E008E">
      <w:r w:rsidRPr="00DF525C">
        <w:t>De VREG kan de overgangstermijn eenmaal verlengen, alleen na gemotiveerd verzoek hiertoe door de fusie-distributienetbeheerder aan de VREG overgemaak</w:t>
      </w:r>
      <w:r w:rsidR="00F709DB" w:rsidRPr="00DF525C">
        <w:t xml:space="preserve">t binnen de 30 kalenderdagen nadat de fusie tot uitvoering is gekomen </w:t>
      </w:r>
      <w:r w:rsidRPr="00DF525C">
        <w:t xml:space="preserve">en nadat de VREG dit verzoek heeft beoordeeld en al dan niet temporeel </w:t>
      </w:r>
      <w:r w:rsidR="00453265" w:rsidRPr="00DF525C">
        <w:t xml:space="preserve">geheel of </w:t>
      </w:r>
      <w:r w:rsidRPr="00DF525C">
        <w:t>gedeeltelijk heeft aanvaard. De VREG kan dan beslissen om de overgangstermijn te verlengen.</w:t>
      </w:r>
    </w:p>
    <w:p w14:paraId="65E1A19F" w14:textId="77777777" w:rsidR="006E008E" w:rsidRPr="00DF525C" w:rsidRDefault="006E008E" w:rsidP="00DC7DEC">
      <w:pPr>
        <w:pStyle w:val="Kop3"/>
      </w:pPr>
      <w:bookmarkStart w:id="690" w:name="_Toc454186729"/>
      <w:r w:rsidRPr="00DF525C">
        <w:t>Rapportering en attestering</w:t>
      </w:r>
      <w:bookmarkEnd w:id="690"/>
    </w:p>
    <w:p w14:paraId="1C022CB4" w14:textId="77777777" w:rsidR="006E008E" w:rsidRPr="00DF525C" w:rsidRDefault="006E008E" w:rsidP="006E008E"/>
    <w:p w14:paraId="1A79A400" w14:textId="77777777" w:rsidR="006E008E" w:rsidRPr="00DF525C" w:rsidRDefault="006E008E" w:rsidP="006E008E">
      <w:pPr>
        <w:rPr>
          <w:lang w:val="nl-BE"/>
        </w:rPr>
      </w:pPr>
      <w:r w:rsidRPr="00DF525C">
        <w:rPr>
          <w:lang w:val="nl-BE"/>
        </w:rPr>
        <w:t xml:space="preserve">De fusie-distributienetbeheerder dient uiterlijk 6 maanden nadat de fusie tot uitvoering is gekomen aan de VREG een rapportering op te leveren conform Bijlage 9 en Bijlage 6 van de tariefmethodologie, vergezeld van een rapport van feitelijke bevindingen van de commissaris van de fusie-distributienetbeheerder. Deze rapportering heeft betrekking op het volledig gefuseerde netgebied en dient te worden opgeleverd voor elk van de door de VREG gevraagde boekjaren uit het verleden.  </w:t>
      </w:r>
    </w:p>
    <w:p w14:paraId="479546BA" w14:textId="77777777" w:rsidR="006E008E" w:rsidRPr="00DF525C" w:rsidRDefault="006E008E" w:rsidP="006E008E">
      <w:pPr>
        <w:rPr>
          <w:lang w:val="nl-BE"/>
        </w:rPr>
      </w:pPr>
    </w:p>
    <w:p w14:paraId="44C72649" w14:textId="5C66E57E" w:rsidR="006E008E" w:rsidRPr="00DF525C" w:rsidRDefault="006E008E" w:rsidP="006E008E">
      <w:pPr>
        <w:rPr>
          <w:lang w:val="nl-BE"/>
        </w:rPr>
      </w:pPr>
      <w:r w:rsidRPr="00DF525C">
        <w:rPr>
          <w:lang w:val="nl-BE"/>
        </w:rPr>
        <w:t xml:space="preserve">Voor de boekjaren vanaf </w:t>
      </w:r>
      <w:r w:rsidR="00F709DB" w:rsidRPr="00DF525C">
        <w:rPr>
          <w:lang w:val="nl-BE"/>
        </w:rPr>
        <w:t>het moment dat de fusie tot uitvoering is gekomen,</w:t>
      </w:r>
      <w:r w:rsidRPr="00DF525C">
        <w:rPr>
          <w:lang w:val="nl-BE"/>
        </w:rPr>
        <w:t xml:space="preserve"> rapporteert de fusie-distributienetbeheerder uiteraard altijd voor zijn volledig netgebied</w:t>
      </w:r>
      <w:r w:rsidR="00B46A73" w:rsidRPr="00DF525C">
        <w:rPr>
          <w:lang w:val="nl-BE"/>
        </w:rPr>
        <w:t xml:space="preserve"> en, indien gevraagd door de VREG in het kader van de overgangstermijn, voor de afzonderlijke gefuseerde netgebieden</w:t>
      </w:r>
      <w:r w:rsidR="00C74E43" w:rsidRPr="00DF525C">
        <w:rPr>
          <w:lang w:val="nl-BE"/>
        </w:rPr>
        <w:t xml:space="preserve">. Deze rapporteringen moeten vergezeld zijn van een rapport feitelijke bevindingen van de commissaris volgens de bepalingen in </w:t>
      </w:r>
      <w:r w:rsidR="00C74E43" w:rsidRPr="00DF525C">
        <w:rPr>
          <w:lang w:val="nl-BE"/>
        </w:rPr>
        <w:fldChar w:fldCharType="begin"/>
      </w:r>
      <w:r w:rsidR="00C74E43" w:rsidRPr="00DF525C">
        <w:rPr>
          <w:lang w:val="nl-BE"/>
        </w:rPr>
        <w:instrText xml:space="preserve"> REF _Ref390263656 \h  \* MERGEFORMAT </w:instrText>
      </w:r>
      <w:r w:rsidR="00C74E43" w:rsidRPr="00DF525C">
        <w:rPr>
          <w:lang w:val="nl-BE"/>
        </w:rPr>
      </w:r>
      <w:r w:rsidR="00C74E43" w:rsidRPr="00DF525C">
        <w:rPr>
          <w:lang w:val="nl-BE"/>
        </w:rPr>
        <w:fldChar w:fldCharType="separate"/>
      </w:r>
      <w:r w:rsidR="00B30F9B" w:rsidRPr="00043B8D">
        <w:t xml:space="preserve">Tabel </w:t>
      </w:r>
      <w:r w:rsidR="00B30F9B">
        <w:rPr>
          <w:noProof/>
        </w:rPr>
        <w:t>14</w:t>
      </w:r>
      <w:r w:rsidR="00C74E43" w:rsidRPr="00DF525C">
        <w:rPr>
          <w:lang w:val="nl-BE"/>
        </w:rPr>
        <w:fldChar w:fldCharType="end"/>
      </w:r>
      <w:r w:rsidR="00C74E43" w:rsidRPr="00DF525C">
        <w:rPr>
          <w:lang w:val="nl-BE"/>
        </w:rPr>
        <w:t xml:space="preserve">.  </w:t>
      </w:r>
      <w:r w:rsidR="00B46A73" w:rsidRPr="00DF525C">
        <w:rPr>
          <w:lang w:val="nl-BE"/>
        </w:rPr>
        <w:t xml:space="preserve"> </w:t>
      </w:r>
    </w:p>
    <w:p w14:paraId="27149AC2" w14:textId="77777777" w:rsidR="006E008E" w:rsidRPr="00DF525C" w:rsidRDefault="006E008E" w:rsidP="006E008E"/>
    <w:p w14:paraId="5C81CEF4" w14:textId="77777777" w:rsidR="006E008E" w:rsidRPr="00DF525C" w:rsidRDefault="006E008E" w:rsidP="006E008E">
      <w:pPr>
        <w:pStyle w:val="Kop2"/>
      </w:pPr>
      <w:bookmarkStart w:id="691" w:name="_Toc454186730"/>
      <w:bookmarkStart w:id="692" w:name="_Ref433968023"/>
      <w:r w:rsidRPr="00DF525C">
        <w:t>Gehele of partiële splitsing van een distributienetbeheerder</w:t>
      </w:r>
      <w:bookmarkEnd w:id="691"/>
      <w:r w:rsidRPr="00DF525C">
        <w:t xml:space="preserve"> </w:t>
      </w:r>
      <w:bookmarkEnd w:id="692"/>
    </w:p>
    <w:p w14:paraId="7AED559B" w14:textId="77777777" w:rsidR="006E008E" w:rsidRPr="00DF525C" w:rsidRDefault="006E008E" w:rsidP="00DC7DEC">
      <w:pPr>
        <w:pStyle w:val="Kop3"/>
      </w:pPr>
      <w:bookmarkStart w:id="693" w:name="_Toc454186731"/>
      <w:r w:rsidRPr="00DF525C">
        <w:t>Situatie</w:t>
      </w:r>
      <w:bookmarkEnd w:id="693"/>
    </w:p>
    <w:p w14:paraId="7DFA1BE2" w14:textId="77777777" w:rsidR="006E008E" w:rsidRPr="00DF525C" w:rsidRDefault="006E008E" w:rsidP="006E008E"/>
    <w:p w14:paraId="7F0CA19D" w14:textId="77777777" w:rsidR="006E008E" w:rsidRPr="00DF525C" w:rsidRDefault="006E008E" w:rsidP="006E008E">
      <w:r w:rsidRPr="00DF525C">
        <w:t xml:space="preserve">Met “gehele splitsing” van een distributienetbeheerder wordt voor de doeleinden van de tariefmethodologie volgende transactie bedoeld: </w:t>
      </w:r>
    </w:p>
    <w:p w14:paraId="22A0EF42" w14:textId="77777777" w:rsidR="006E008E" w:rsidRPr="00DF525C" w:rsidRDefault="006E008E" w:rsidP="006E008E">
      <w:pPr>
        <w:ind w:left="708"/>
      </w:pPr>
      <w:r w:rsidRPr="00DF525C">
        <w:t xml:space="preserve">de rechtshandeling waarbij het </w:t>
      </w:r>
      <w:r w:rsidRPr="00DF525C">
        <w:rPr>
          <w:i/>
        </w:rPr>
        <w:t>gehele</w:t>
      </w:r>
      <w:r w:rsidRPr="00DF525C">
        <w:t xml:space="preserve"> vermogen van een distributienetbeheerder, zowel de rechten als verplichtingen, als gevolg van een </w:t>
      </w:r>
      <w:r w:rsidRPr="00DF525C">
        <w:rPr>
          <w:i/>
        </w:rPr>
        <w:t>ontbinding</w:t>
      </w:r>
      <w:r w:rsidRPr="00DF525C">
        <w:t xml:space="preserve">  zonder vereffening overgaat op </w:t>
      </w:r>
      <w:r w:rsidRPr="00DF525C">
        <w:rPr>
          <w:i/>
        </w:rPr>
        <w:t>twee of meer</w:t>
      </w:r>
      <w:r w:rsidRPr="00DF525C">
        <w:t xml:space="preserve"> distributienetbeheerders</w:t>
      </w:r>
      <w:r w:rsidRPr="00DF525C">
        <w:rPr>
          <w:rStyle w:val="Voetnootmarkering"/>
        </w:rPr>
        <w:footnoteReference w:id="114"/>
      </w:r>
      <w:r w:rsidRPr="00DF525C">
        <w:t xml:space="preserve"> tegen uitreiking van aandelen in de bestaande overnemende en/of nieuw opgerichte distributienetbeheerders rechtstreeks aan de aandeelhouders van de gesplitste distributienetbeheerder (eventueel – maar niet verplicht – met een beperkte opleg in geld). </w:t>
      </w:r>
    </w:p>
    <w:p w14:paraId="13078E1F" w14:textId="77777777" w:rsidR="006E008E" w:rsidRPr="00DF525C" w:rsidRDefault="006E008E" w:rsidP="006E008E"/>
    <w:p w14:paraId="23E3F841" w14:textId="77777777" w:rsidR="006E008E" w:rsidRPr="00DF525C" w:rsidRDefault="006E008E" w:rsidP="006E008E">
      <w:r w:rsidRPr="00DF525C">
        <w:t>Met “partiële splitsing</w:t>
      </w:r>
      <w:r w:rsidRPr="00DF525C">
        <w:rPr>
          <w:rStyle w:val="Voetnootmarkering"/>
        </w:rPr>
        <w:footnoteReference w:id="115"/>
      </w:r>
      <w:r w:rsidRPr="00DF525C">
        <w:t xml:space="preserve">” van een distributienetbeheerder wordt voor de doeleinden van de tariefmethodologie volgende transactie bedoeld: </w:t>
      </w:r>
    </w:p>
    <w:p w14:paraId="7BB7A9E7" w14:textId="77777777" w:rsidR="006E008E" w:rsidRPr="00DF525C" w:rsidRDefault="006E008E" w:rsidP="006E008E">
      <w:pPr>
        <w:ind w:left="708"/>
      </w:pPr>
      <w:r w:rsidRPr="00DF525C">
        <w:t xml:space="preserve">de rechtshandeling waarbij een distributienetbeheerder, </w:t>
      </w:r>
      <w:r w:rsidRPr="00DF525C">
        <w:rPr>
          <w:i/>
        </w:rPr>
        <w:t>zonder te worden ontbonden</w:t>
      </w:r>
      <w:r w:rsidRPr="00DF525C">
        <w:t xml:space="preserve">, een </w:t>
      </w:r>
      <w:r w:rsidRPr="00DF525C">
        <w:rPr>
          <w:i/>
        </w:rPr>
        <w:t>gedeelte</w:t>
      </w:r>
      <w:r w:rsidRPr="00DF525C">
        <w:t xml:space="preserve"> van haar vermogen inbrengt in </w:t>
      </w:r>
      <w:r w:rsidRPr="00DF525C">
        <w:rPr>
          <w:i/>
        </w:rPr>
        <w:t>één</w:t>
      </w:r>
      <w:r w:rsidRPr="00DF525C">
        <w:t xml:space="preserve"> bestaande overnemende en/of nieuw opgerichte distributienetbeheerder tegen uitreiking van aandelen in de bestaande overnemende en/of nieuw opgerichte distributienetbeheerder rechtstreeks aan de aandeelhouders van de inbrengende distributienetbeheerder (eventueel – maar niet verplicht – met een beperkte opleg in geld).</w:t>
      </w:r>
    </w:p>
    <w:p w14:paraId="4FFE1062" w14:textId="77777777" w:rsidR="006E008E" w:rsidRPr="00DF525C" w:rsidRDefault="006E008E" w:rsidP="006E008E"/>
    <w:p w14:paraId="60C7570B" w14:textId="77777777" w:rsidR="006E008E" w:rsidRPr="00DF525C" w:rsidRDefault="006E008E" w:rsidP="006E008E">
      <w:r w:rsidRPr="00DF525C">
        <w:t xml:space="preserve">Worden gelijkgesteld met een (partiële) splitsing voor de doeleinden van de tariefmethodologie: transacties die geen (partiële) splitsing zijn in de zin van het Wetboek van Vennootschappen en bijgevolg niet ressorteren onder de in dat wetboek uitgewerkte regeling, doch waarbij die operaties een nauwe verwantschap met de (partiële) splitsing vertonen en het (economisch) resultaat hetzelfde is.  </w:t>
      </w:r>
    </w:p>
    <w:p w14:paraId="5A6319DC" w14:textId="77777777" w:rsidR="006E008E" w:rsidRPr="00DF525C" w:rsidRDefault="006E008E" w:rsidP="00DC7DEC">
      <w:pPr>
        <w:pStyle w:val="Kop3"/>
      </w:pPr>
      <w:bookmarkStart w:id="694" w:name="_Toc454186732"/>
      <w:r w:rsidRPr="00DF525C">
        <w:t>Distributienettarieven</w:t>
      </w:r>
      <w:bookmarkEnd w:id="694"/>
      <w:r w:rsidRPr="00DF525C">
        <w:t xml:space="preserve"> </w:t>
      </w:r>
    </w:p>
    <w:p w14:paraId="26E3F719" w14:textId="77777777" w:rsidR="006E008E" w:rsidRPr="00DF525C" w:rsidRDefault="006E008E" w:rsidP="006E008E"/>
    <w:p w14:paraId="128B3C52" w14:textId="77777777" w:rsidR="006E008E" w:rsidRPr="00DF525C" w:rsidRDefault="006E008E" w:rsidP="006E008E">
      <w:r w:rsidRPr="00DF525C">
        <w:t>De VREG zal zo snel als mogelijk na het tot uitvoering komen van de gehele of partiële splitsing de nieuwe distributienettarieven per distributienetbeheerder (overnemende en inbrengende(n)) toepassen. Indien noodzakelijk ter voorbereiding hiervan, kunnen als overgangsmaatregel tijdelijk de distributienettarieven overeenkomstig de netgebieden en distributienetbeheerders van vóór de transactie, toegepast worden.</w:t>
      </w:r>
    </w:p>
    <w:p w14:paraId="0295DF26" w14:textId="77777777" w:rsidR="006E008E" w:rsidRPr="00DF525C" w:rsidRDefault="006E008E" w:rsidP="00DC7DEC">
      <w:pPr>
        <w:pStyle w:val="Kop3"/>
      </w:pPr>
      <w:bookmarkStart w:id="695" w:name="_Toc454186733"/>
      <w:r w:rsidRPr="00DF525C">
        <w:t>Rapportering en attestering</w:t>
      </w:r>
      <w:bookmarkEnd w:id="695"/>
    </w:p>
    <w:p w14:paraId="4A9E619D" w14:textId="77777777" w:rsidR="006E008E" w:rsidRPr="00DF525C" w:rsidRDefault="006E008E" w:rsidP="006E008E"/>
    <w:p w14:paraId="39138F57" w14:textId="77777777" w:rsidR="006E008E" w:rsidRPr="00DF525C" w:rsidRDefault="006E008E" w:rsidP="006E008E">
      <w:pPr>
        <w:rPr>
          <w:lang w:val="nl-BE"/>
        </w:rPr>
      </w:pPr>
      <w:r w:rsidRPr="00DF525C">
        <w:rPr>
          <w:lang w:val="nl-BE"/>
        </w:rPr>
        <w:t>In geval van een (partiële) splitsing van een distributienetbeheerder dient conform het Wetboek van Vennootschappen</w:t>
      </w:r>
      <w:r w:rsidRPr="00DF525C">
        <w:rPr>
          <w:rStyle w:val="Voetnootmarkering"/>
          <w:lang w:val="nl-BE"/>
        </w:rPr>
        <w:footnoteReference w:id="116"/>
      </w:r>
      <w:r w:rsidRPr="00DF525C">
        <w:rPr>
          <w:lang w:val="nl-BE"/>
        </w:rPr>
        <w:t xml:space="preserve"> door de aan de (partiële) splitsing deelnemende distributienetbeheerders een splitsingsvoorstel worden opgemaakt dat onder meer een nauwkeurige beschrijving en verdeling bevat van de aan elke verkrijgende distributienetbeheerder over te dragen delen van de activa en passiva van het vermogen. Hiernaast bevat het Wetboek van Vennootschappen</w:t>
      </w:r>
      <w:r w:rsidRPr="00DF525C">
        <w:rPr>
          <w:rStyle w:val="Voetnootmarkering"/>
          <w:lang w:val="nl-BE"/>
        </w:rPr>
        <w:footnoteReference w:id="117"/>
      </w:r>
      <w:r w:rsidRPr="00DF525C">
        <w:rPr>
          <w:lang w:val="nl-BE"/>
        </w:rPr>
        <w:t xml:space="preserve"> ook specifieke voorschriften inzake een schriftelijk verslag over het splitsingsvoorstel dat in elke deelnemende distributienetbeheerder dient te worden opgesteld door de commissaris, hetzij, wanneer er geen commissaris is, door een bedrijfsrevisor of door een externe accountant die de bestuurders of zaakvoerders hebben aangewezen.</w:t>
      </w:r>
    </w:p>
    <w:p w14:paraId="3E6EDC24" w14:textId="002004F2" w:rsidR="006E008E" w:rsidRPr="00DF525C" w:rsidRDefault="006E008E" w:rsidP="006E008E">
      <w:pPr>
        <w:rPr>
          <w:lang w:val="nl-BE"/>
        </w:rPr>
      </w:pPr>
      <w:r w:rsidRPr="00DF525C">
        <w:rPr>
          <w:lang w:val="nl-BE"/>
        </w:rPr>
        <w:br/>
        <w:t>Aangezien het splitsingsvoorstel onder meer een nauwkeurige beschrijving en verdeling moet bevatten van de aan elke verkrijgende distributienetbeheerder over te dragen delen van de activa en passiva van het vermogen, verwacht de VREG dat in het splitsingsvoorstel ook een boekhoudkundige weergave van de over te dragen delen van de activa en passiva van het vermogen wordt opgenomen. Indien in het splitsingsvoorstel provisoir slechts boekhoudkundige gegevens worden opgenomen die niet gelijk zijn aan de definitief over te dragen delen van de activa en passiva van het vermogen, verwacht de VREG dat aan hem een boekhoudkundige weergave van de definitief over te dragen delen van de activa en passiva wordt opgeleverd, vergezeld van een gunstig rapport van de commissarissen, aangewezen bedrijfsrevisoren of accountants van elk van de deelnemende distributienetbeheerders</w:t>
      </w:r>
      <w:r w:rsidR="00117AE6" w:rsidRPr="00DF525C">
        <w:rPr>
          <w:lang w:val="nl-BE"/>
        </w:rPr>
        <w:t xml:space="preserve"> en dit </w:t>
      </w:r>
      <w:r w:rsidR="002249CD" w:rsidRPr="00DF525C">
        <w:rPr>
          <w:lang w:val="nl-BE"/>
        </w:rPr>
        <w:t>ten laatste</w:t>
      </w:r>
      <w:r w:rsidR="00117AE6" w:rsidRPr="00DF525C">
        <w:rPr>
          <w:lang w:val="nl-BE"/>
        </w:rPr>
        <w:t xml:space="preserve"> 6 maand na de spli</w:t>
      </w:r>
      <w:r w:rsidR="003A33B0" w:rsidRPr="00DF525C">
        <w:rPr>
          <w:lang w:val="nl-BE"/>
        </w:rPr>
        <w:t>t</w:t>
      </w:r>
      <w:r w:rsidR="00117AE6" w:rsidRPr="00DF525C">
        <w:rPr>
          <w:lang w:val="nl-BE"/>
        </w:rPr>
        <w:t>sing.</w:t>
      </w:r>
    </w:p>
    <w:p w14:paraId="3E001B42" w14:textId="77777777" w:rsidR="006E008E" w:rsidRPr="00DF525C" w:rsidRDefault="006E008E" w:rsidP="006E008E">
      <w:pPr>
        <w:rPr>
          <w:lang w:val="nl-BE"/>
        </w:rPr>
      </w:pPr>
      <w:r w:rsidRPr="00DF525C">
        <w:rPr>
          <w:lang w:val="nl-BE"/>
        </w:rPr>
        <w:t xml:space="preserve"> </w:t>
      </w:r>
      <w:r w:rsidRPr="00DF525C">
        <w:rPr>
          <w:lang w:val="nl-BE"/>
        </w:rPr>
        <w:br/>
        <w:t>Bij partiële splitsing dient de partieel gesplitste distributienetbeheerder uiterlijk 6 maanden nadat de partiële splitsing tot uitvoering is gekomen aan de VREG een rapportering op te leveren conform Bijlage 9 en Bijlage 6 van de tariefmethodologie 2015-2016, vergezeld van een rapport van feitelijke bevindingen van de commissaris van de partieel gesplitste distributienetbeheerder. Deze rapportering heeft betrekking op overgedragen (partieel gesplitste) deel van zijn netgebied, opgemaakt overeenkomstig de verdeelsleutels volgens Bijlage 3 en dient te worden opgeleverd voor elk van de door de VREG gevraagde boekjaren uit het verleden. In tegenstelling tot de rapporteringswijze voor de gewestgrensoverschrijdende distributienetbeheerders, dient elk van de tabellen in Bijlage 9 van de tariefmethodologie 2015-2016 louter betrekking te hebben op het overgedragen (partieel gesplitste) deel van het netgebied. De rapportering over het overgedragen (partieel gesplitste) deel van het netgebied, m.b.t. de door de VREG gevraagde boekjaren uit het verleden, zal door de VREG als volgt in rekening worden genomen in de trendberekening voor de bepaling van de toegelaten inkomens inzake niet-exogene kosten:</w:t>
      </w:r>
    </w:p>
    <w:p w14:paraId="25228613" w14:textId="77777777" w:rsidR="006E008E" w:rsidRPr="00DF525C" w:rsidRDefault="006E008E" w:rsidP="005251E2">
      <w:pPr>
        <w:numPr>
          <w:ilvl w:val="0"/>
          <w:numId w:val="32"/>
        </w:numPr>
        <w:rPr>
          <w:lang w:val="nl-BE"/>
        </w:rPr>
      </w:pPr>
      <w:r w:rsidRPr="00DF525C">
        <w:rPr>
          <w:lang w:val="nl-BE"/>
        </w:rPr>
        <w:t>Zowel in het geval van een partiële splitsing door overneming als oprichting zal deze rapportering in mindering worden gebracht van de originele rapportering door de partieel gesplitste distributienetbeheerder over de respectievelijke boekjaren uit het verleden, d.i. de rapportering inzake niet-exogene kosten door de partieel gesplitste distributienetbeheerder over de boekjaren vooraleer de partiële splitsing tot uitvoering is gekomen;</w:t>
      </w:r>
    </w:p>
    <w:p w14:paraId="387E4B3D" w14:textId="77777777" w:rsidR="006E008E" w:rsidRPr="00DF525C" w:rsidRDefault="006E008E" w:rsidP="005251E2">
      <w:pPr>
        <w:numPr>
          <w:ilvl w:val="0"/>
          <w:numId w:val="32"/>
        </w:numPr>
        <w:rPr>
          <w:lang w:val="nl-BE"/>
        </w:rPr>
      </w:pPr>
      <w:r w:rsidRPr="00DF525C">
        <w:rPr>
          <w:lang w:val="nl-BE"/>
        </w:rPr>
        <w:t>In het geval van een partiële splitsing door overneming zal deze rapportering bijgeteld worden bij de originele rapportering van de overnemende distributienetbeheerder over de respectievelijke boekjaren uit het verleden, d.i. de rapportering inzake niet-exogene kosten door de overnemende distributienetbeheerder over de boekjaren vooraleer de partiële splitsing tot uitvoering is gekomen;</w:t>
      </w:r>
    </w:p>
    <w:p w14:paraId="60192FCF" w14:textId="77777777" w:rsidR="006E008E" w:rsidRPr="00DF525C" w:rsidRDefault="006E008E" w:rsidP="005251E2">
      <w:pPr>
        <w:numPr>
          <w:ilvl w:val="0"/>
          <w:numId w:val="32"/>
        </w:numPr>
        <w:rPr>
          <w:lang w:val="nl-BE"/>
        </w:rPr>
      </w:pPr>
      <w:r w:rsidRPr="00DF525C">
        <w:rPr>
          <w:lang w:val="nl-BE"/>
        </w:rPr>
        <w:t>In het geval van een partiële splitsing door oprichting zal deze rapportering in rekening worden gebracht bij de nieuw opgerichte distributienetbeheerder en dit voor elke van de respectievelijke boekjaren uit het verleden.</w:t>
      </w:r>
    </w:p>
    <w:p w14:paraId="414C116F" w14:textId="77777777" w:rsidR="006E008E" w:rsidRPr="00DF525C" w:rsidRDefault="006E008E" w:rsidP="006E008E">
      <w:pPr>
        <w:rPr>
          <w:lang w:val="nl-BE"/>
        </w:rPr>
      </w:pPr>
    </w:p>
    <w:p w14:paraId="1E45A51F" w14:textId="77777777" w:rsidR="006E008E" w:rsidRPr="00DF525C" w:rsidRDefault="006E008E" w:rsidP="006E008E">
      <w:r w:rsidRPr="00DF525C">
        <w:t xml:space="preserve">Bij splitsing dient de gesplitste distributienetbeheerder </w:t>
      </w:r>
      <w:r w:rsidRPr="00DF525C">
        <w:rPr>
          <w:lang w:val="nl-BE"/>
        </w:rPr>
        <w:t>uiterlijk 6 maanden nadat de splitsing tot uitvoering is gekomen</w:t>
      </w:r>
      <w:r w:rsidRPr="00DF525C">
        <w:t xml:space="preserve"> aan de VREG een rapportering op te leveren conform Bijlage 9 en Bijlage 6 van de tariefmethodologie 2015-2016, vergezeld van een rapport van feitelijke bevindingen van de commissaris van de gesplitste distributienetbeheerder. Deze rapportering is bovendien meervoudig aangezien de gesplitste distributienetbeheerder afzonderlijk moet rapporteren over elk van de gesplitste delen van zijn netgebied, opgemaakt overeenkomstig de verdeelsleutels volgens Bijlage 3. Bovendien dient deze rapportering te worden opgeleverd voor elk van de door de VREG gevraagde boekjaren uit het verleden. In tegenstelling tot de rapporteringswijze voor de gewestgrensoverschrijdende distributienetbeheerders, dient elk van de tabellen in Bijlage 9 van de tariefmethodologie 2015-2016 louter betrekking te hebben op de gesplitste delen van het netgebied.</w:t>
      </w:r>
    </w:p>
    <w:p w14:paraId="70DC48E9" w14:textId="77777777" w:rsidR="006E008E" w:rsidRPr="00DF525C" w:rsidRDefault="006E008E" w:rsidP="006E008E"/>
    <w:p w14:paraId="41DA8884" w14:textId="77777777" w:rsidR="00DF525C" w:rsidRPr="00DF525C" w:rsidRDefault="006E008E" w:rsidP="006E008E">
      <w:pPr>
        <w:jc w:val="left"/>
        <w:rPr>
          <w:lang w:val="nl-BE"/>
        </w:rPr>
      </w:pPr>
      <w:r w:rsidRPr="00DF525C">
        <w:rPr>
          <w:lang w:val="nl-BE"/>
        </w:rPr>
        <w:t>Voor de boekjaren vanaf het moment dat de (partiële) splitsing tot uitvoering is gekomen, rapporteren elk van de betrokken distributienetbeheerders uiteraard enkel voor hun netgebieden.</w:t>
      </w:r>
    </w:p>
    <w:p w14:paraId="4E957D30" w14:textId="77777777" w:rsidR="00DF525C" w:rsidRPr="00DF525C" w:rsidRDefault="00DF525C" w:rsidP="006E008E">
      <w:pPr>
        <w:jc w:val="left"/>
        <w:rPr>
          <w:lang w:val="nl-BE"/>
        </w:rPr>
      </w:pPr>
    </w:p>
    <w:p w14:paraId="6F1553A9" w14:textId="3FF70A77" w:rsidR="006E008E" w:rsidRDefault="00DF525C" w:rsidP="006E008E">
      <w:pPr>
        <w:jc w:val="left"/>
        <w:rPr>
          <w:rFonts w:cs="Arial"/>
          <w:b/>
          <w:bCs/>
          <w:sz w:val="28"/>
          <w:szCs w:val="28"/>
        </w:rPr>
      </w:pPr>
      <w:r w:rsidRPr="00DF525C">
        <w:rPr>
          <w:lang w:val="nl-BE"/>
        </w:rPr>
        <w:t>]</w:t>
      </w:r>
      <w:r w:rsidRPr="00DF525C">
        <w:rPr>
          <w:rStyle w:val="Voetnootmarkering"/>
          <w:lang w:val="nl-BE"/>
        </w:rPr>
        <w:footnoteReference w:id="118"/>
      </w:r>
      <w:r w:rsidR="006E008E">
        <w:br w:type="page"/>
      </w:r>
    </w:p>
    <w:p w14:paraId="42537CAF" w14:textId="2EE05478" w:rsidR="00AD6C07" w:rsidRPr="00043B8D" w:rsidRDefault="00AD6C07" w:rsidP="00C44C06">
      <w:pPr>
        <w:pStyle w:val="Kop1"/>
      </w:pPr>
      <w:bookmarkStart w:id="696" w:name="_Toc454186734"/>
      <w:r w:rsidRPr="00043B8D">
        <w:t>Bijlage</w:t>
      </w:r>
      <w:r w:rsidR="00FE2DCA" w:rsidRPr="00043B8D">
        <w:t>n</w:t>
      </w:r>
      <w:bookmarkEnd w:id="683"/>
      <w:bookmarkEnd w:id="684"/>
      <w:bookmarkEnd w:id="685"/>
      <w:bookmarkEnd w:id="696"/>
    </w:p>
    <w:p w14:paraId="7D89CA93" w14:textId="70FE29CC" w:rsidR="002D2E31" w:rsidRPr="00043B8D" w:rsidRDefault="002D2E31" w:rsidP="00F41380"/>
    <w:p w14:paraId="61966D1F" w14:textId="28E5F1BD" w:rsidR="00FE2DCA" w:rsidRPr="00043B8D" w:rsidRDefault="00FE2DCA" w:rsidP="00F41380">
      <w:pPr>
        <w:pStyle w:val="Kop2"/>
        <w:jc w:val="both"/>
      </w:pPr>
      <w:bookmarkStart w:id="697" w:name="_Bijlage_1:_Invul-"/>
      <w:bookmarkStart w:id="698" w:name="_Ref392233276"/>
      <w:bookmarkStart w:id="699" w:name="_Ref392484043"/>
      <w:bookmarkStart w:id="700" w:name="_Toc454186735"/>
      <w:bookmarkEnd w:id="697"/>
      <w:r w:rsidRPr="00043B8D">
        <w:t>Bijlage 1: Invul- en auditinstructie rapporteringsmodellen.</w:t>
      </w:r>
      <w:bookmarkEnd w:id="698"/>
      <w:bookmarkEnd w:id="699"/>
      <w:bookmarkEnd w:id="700"/>
    </w:p>
    <w:p w14:paraId="62E51B65" w14:textId="77777777" w:rsidR="00FE2DCA" w:rsidRPr="00043B8D" w:rsidRDefault="00FE2DCA" w:rsidP="00F41380"/>
    <w:p w14:paraId="6606CD07" w14:textId="467C7865" w:rsidR="00FE2DCA" w:rsidRPr="00043B8D" w:rsidRDefault="00FE2DCA" w:rsidP="00F41380">
      <w:pPr>
        <w:pStyle w:val="Kop2"/>
        <w:jc w:val="both"/>
      </w:pPr>
      <w:bookmarkStart w:id="701" w:name="_Bijlage_2:_Rapport"/>
      <w:bookmarkStart w:id="702" w:name="_Toc454186736"/>
      <w:bookmarkEnd w:id="701"/>
      <w:r w:rsidRPr="00043B8D">
        <w:t>Bijlage 2: Rapport met betrekking tot de kapitaalkosten</w:t>
      </w:r>
      <w:r w:rsidR="00A94B28" w:rsidRPr="00043B8D">
        <w:t>-</w:t>
      </w:r>
      <w:r w:rsidRPr="00043B8D">
        <w:t>vergoeding voor de Vlaamse elektriciteits- en aardgas</w:t>
      </w:r>
      <w:r w:rsidR="00A94B28" w:rsidRPr="00043B8D">
        <w:t>-</w:t>
      </w:r>
      <w:r w:rsidRPr="00043B8D">
        <w:t>distributienetbeheerders in de tariefmethodologie voor de reguleringsperiode 2015-2016.</w:t>
      </w:r>
      <w:bookmarkEnd w:id="702"/>
    </w:p>
    <w:p w14:paraId="20AD12AD" w14:textId="77777777" w:rsidR="002D2B7A" w:rsidRPr="00043B8D" w:rsidRDefault="002D2B7A" w:rsidP="00F41380"/>
    <w:p w14:paraId="46448640" w14:textId="0C9CC476" w:rsidR="004A59D2" w:rsidRPr="00043B8D" w:rsidRDefault="004A59D2" w:rsidP="00F41380">
      <w:pPr>
        <w:pStyle w:val="Kop2"/>
        <w:jc w:val="both"/>
      </w:pPr>
      <w:bookmarkStart w:id="703" w:name="_Bijlage_3:_Verdeelsleutels"/>
      <w:bookmarkStart w:id="704" w:name="_Ref434258177"/>
      <w:bookmarkStart w:id="705" w:name="_Toc454186737"/>
      <w:bookmarkEnd w:id="703"/>
      <w:r w:rsidRPr="00043B8D">
        <w:t>Bijlage 3: Verdeelsleutels voor de balansen en resultatenrekeningen van de distributienetbeheerders volgens de opdeling van hun distributieactiviteit tussen Vlaanderen en Wallonië.</w:t>
      </w:r>
      <w:bookmarkEnd w:id="704"/>
      <w:bookmarkEnd w:id="705"/>
    </w:p>
    <w:p w14:paraId="582A21EC" w14:textId="77777777" w:rsidR="004B2DA8" w:rsidRPr="00043B8D" w:rsidRDefault="004B2DA8" w:rsidP="00F41380"/>
    <w:p w14:paraId="6364461B" w14:textId="06EE08E7" w:rsidR="004B2DA8" w:rsidRPr="00043B8D" w:rsidRDefault="004B2DA8" w:rsidP="00F41380">
      <w:pPr>
        <w:pStyle w:val="Kop2"/>
        <w:jc w:val="both"/>
      </w:pPr>
      <w:bookmarkStart w:id="706" w:name="_Bijlage_4:"/>
      <w:bookmarkStart w:id="707" w:name="_Toc454186738"/>
      <w:bookmarkEnd w:id="706"/>
      <w:r w:rsidRPr="00043B8D">
        <w:t xml:space="preserve">Bijlage 4: </w:t>
      </w:r>
      <w:r w:rsidR="004532FB" w:rsidRPr="00043B8D">
        <w:t>Rapporteringsmodel exogene kosten</w:t>
      </w:r>
      <w:bookmarkEnd w:id="707"/>
      <w:r w:rsidR="004532FB" w:rsidRPr="00043B8D">
        <w:t xml:space="preserve"> </w:t>
      </w:r>
    </w:p>
    <w:p w14:paraId="3CBD6825" w14:textId="77777777" w:rsidR="004532FB" w:rsidRPr="00043B8D" w:rsidRDefault="004532FB" w:rsidP="00F41380"/>
    <w:p w14:paraId="5B3FE191" w14:textId="4834EC7F" w:rsidR="004532FB" w:rsidRPr="00043B8D" w:rsidRDefault="004532FB" w:rsidP="00F41380">
      <w:pPr>
        <w:pStyle w:val="Kop2"/>
        <w:jc w:val="both"/>
      </w:pPr>
      <w:bookmarkStart w:id="708" w:name="_Ref434258097"/>
      <w:bookmarkStart w:id="709" w:name="_Toc454186739"/>
      <w:r w:rsidRPr="00043B8D">
        <w:t>Bijlage 5: Rapporteringsmodel niet-exogene kosten</w:t>
      </w:r>
      <w:bookmarkEnd w:id="708"/>
      <w:bookmarkEnd w:id="709"/>
    </w:p>
    <w:p w14:paraId="49AD4841" w14:textId="77777777" w:rsidR="004532FB" w:rsidRPr="00043B8D" w:rsidRDefault="004532FB" w:rsidP="00F41380"/>
    <w:p w14:paraId="6D23B1BC" w14:textId="02332399" w:rsidR="00ED4D82" w:rsidRPr="00043B8D" w:rsidRDefault="00ED4D82" w:rsidP="00F41380">
      <w:pPr>
        <w:pStyle w:val="Kop2"/>
        <w:jc w:val="both"/>
      </w:pPr>
      <w:bookmarkStart w:id="710" w:name="_Ref392585902"/>
      <w:bookmarkStart w:id="711" w:name="_Ref392678252"/>
      <w:bookmarkStart w:id="712" w:name="_Toc454186740"/>
      <w:r w:rsidRPr="00043B8D">
        <w:t xml:space="preserve">Bijlage </w:t>
      </w:r>
      <w:r w:rsidR="004532FB" w:rsidRPr="00043B8D">
        <w:t>6</w:t>
      </w:r>
      <w:r w:rsidRPr="00043B8D">
        <w:t xml:space="preserve">: Door distributienetbeheerder in te dienen toelichting </w:t>
      </w:r>
      <w:bookmarkEnd w:id="710"/>
      <w:r w:rsidR="004532FB" w:rsidRPr="00043B8D">
        <w:t>bij rapporteringsmodel niet-exogene kosten</w:t>
      </w:r>
      <w:bookmarkEnd w:id="711"/>
      <w:bookmarkEnd w:id="712"/>
    </w:p>
    <w:p w14:paraId="4DE324EE" w14:textId="77777777" w:rsidR="004532FB" w:rsidRPr="00043B8D" w:rsidRDefault="004532FB" w:rsidP="00F41380"/>
    <w:p w14:paraId="1FA31180" w14:textId="64471320" w:rsidR="004532FB" w:rsidRPr="00043B8D" w:rsidRDefault="004532FB" w:rsidP="00F41380">
      <w:pPr>
        <w:pStyle w:val="Kop2"/>
        <w:jc w:val="both"/>
      </w:pPr>
      <w:bookmarkStart w:id="713" w:name="_Toc454186741"/>
      <w:r w:rsidRPr="00043B8D">
        <w:t>Bijlage 7: Rapporteringsmodel tariefvoorstel</w:t>
      </w:r>
      <w:bookmarkEnd w:id="713"/>
    </w:p>
    <w:p w14:paraId="6336E0C4" w14:textId="77777777" w:rsidR="00BA18F3" w:rsidRPr="00043B8D" w:rsidRDefault="00BA18F3" w:rsidP="00F41380"/>
    <w:p w14:paraId="22CE8BA6" w14:textId="212A91EA" w:rsidR="009930C8" w:rsidRPr="00043B8D" w:rsidRDefault="00BA18F3" w:rsidP="009930C8">
      <w:pPr>
        <w:pStyle w:val="Kop2"/>
        <w:jc w:val="both"/>
      </w:pPr>
      <w:bookmarkStart w:id="714" w:name="_Toc454186742"/>
      <w:r w:rsidRPr="00043B8D">
        <w:t xml:space="preserve">Bijlage </w:t>
      </w:r>
      <w:r w:rsidR="004532FB" w:rsidRPr="00043B8D">
        <w:t>8</w:t>
      </w:r>
      <w:r w:rsidRPr="00043B8D">
        <w:t xml:space="preserve">: </w:t>
      </w:r>
      <w:r w:rsidR="003337A4" w:rsidRPr="00043B8D">
        <w:t>In te dienen documenten door de distributienetbeheerder bij zijn tariefvoorstel</w:t>
      </w:r>
      <w:bookmarkEnd w:id="714"/>
    </w:p>
    <w:p w14:paraId="68D02DFA" w14:textId="3DD3F3FB" w:rsidR="009930C8" w:rsidRPr="00043B8D" w:rsidRDefault="009A7B37" w:rsidP="009930C8">
      <w:r w:rsidRPr="00043B8D">
        <w:t>[</w:t>
      </w:r>
    </w:p>
    <w:p w14:paraId="6DBF175B" w14:textId="792C70BB" w:rsidR="00BA18F3" w:rsidRPr="00043B8D" w:rsidRDefault="009930C8" w:rsidP="009930C8">
      <w:pPr>
        <w:pStyle w:val="Kop2"/>
      </w:pPr>
      <w:bookmarkStart w:id="715" w:name="_Ref448912393"/>
      <w:bookmarkStart w:id="716" w:name="_Ref448912411"/>
      <w:bookmarkStart w:id="717" w:name="_Ref450031291"/>
      <w:bookmarkStart w:id="718" w:name="_Toc454186743"/>
      <w:r w:rsidRPr="00043B8D">
        <w:t>Bijlage 9: Jaarlijks ex-post rapporteringsmodel niet-exogene kosten</w:t>
      </w:r>
      <w:bookmarkEnd w:id="715"/>
      <w:bookmarkEnd w:id="716"/>
      <w:bookmarkEnd w:id="717"/>
      <w:bookmarkEnd w:id="718"/>
    </w:p>
    <w:p w14:paraId="0BF9F38E" w14:textId="496585D0" w:rsidR="00BA18F3" w:rsidRPr="00BA18F3" w:rsidRDefault="009A7B37" w:rsidP="00F41380">
      <w:r w:rsidRPr="00043B8D">
        <w:t>]</w:t>
      </w:r>
      <w:r w:rsidRPr="00043B8D">
        <w:rPr>
          <w:rStyle w:val="Voetnootmarkering"/>
        </w:rPr>
        <w:footnoteReference w:id="119"/>
      </w:r>
    </w:p>
    <w:p w14:paraId="17E2EB88" w14:textId="77777777" w:rsidR="00BA18F3" w:rsidRPr="00BA18F3" w:rsidRDefault="00BA18F3" w:rsidP="00F41380"/>
    <w:p w14:paraId="316DFAAF" w14:textId="77777777" w:rsidR="00BA18F3" w:rsidRPr="00BA18F3" w:rsidRDefault="00BA18F3" w:rsidP="00F41380"/>
    <w:sectPr w:rsidR="00BA18F3" w:rsidRPr="00BA18F3" w:rsidSect="00BF0E0F">
      <w:headerReference w:type="default" r:id="rId38"/>
      <w:footerReference w:type="default" r:id="rId39"/>
      <w:pgSz w:w="11906" w:h="16838" w:code="9"/>
      <w:pgMar w:top="1701" w:right="1418" w:bottom="1418" w:left="1418" w:header="567" w:footer="709"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FABA4A" w15:done="0"/>
  <w15:commentEx w15:paraId="6EB64E6E" w15:done="0"/>
  <w15:commentEx w15:paraId="2308D66B" w15:done="0"/>
  <w15:commentEx w15:paraId="64106ABB" w15:done="0"/>
  <w15:commentEx w15:paraId="7B268AF8" w15:done="0"/>
  <w15:commentEx w15:paraId="3727574D" w15:done="0"/>
  <w15:commentEx w15:paraId="7585A16E" w15:done="0"/>
  <w15:commentEx w15:paraId="56B6D1F4" w15:done="0"/>
  <w15:commentEx w15:paraId="60BCE6BD" w15:done="0"/>
  <w15:commentEx w15:paraId="580334AC" w15:done="0"/>
  <w15:commentEx w15:paraId="686D7FA7" w15:done="0"/>
  <w15:commentEx w15:paraId="49DC932F" w15:done="0"/>
  <w15:commentEx w15:paraId="539C236D" w15:done="0"/>
  <w15:commentEx w15:paraId="7FC4CDE3" w15:done="0"/>
  <w15:commentEx w15:paraId="0C91F7D3" w15:done="0"/>
  <w15:commentEx w15:paraId="21003BD5" w15:done="0"/>
  <w15:commentEx w15:paraId="3DF4A1DD" w15:done="0"/>
  <w15:commentEx w15:paraId="6DCDBA2F"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9A67A9" w14:textId="77777777" w:rsidR="000937A6" w:rsidRDefault="000937A6">
      <w:r>
        <w:separator/>
      </w:r>
    </w:p>
  </w:endnote>
  <w:endnote w:type="continuationSeparator" w:id="0">
    <w:p w14:paraId="76188E66" w14:textId="77777777" w:rsidR="000937A6" w:rsidRDefault="00093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F29809" w14:textId="053C5410" w:rsidR="008F1DB1" w:rsidRDefault="008F1DB1">
    <w:pPr>
      <w:pStyle w:val="Voettekst"/>
    </w:pPr>
    <w:r>
      <w:tab/>
    </w:r>
    <w:r>
      <w:tab/>
      <w:t xml:space="preserve">Pagina </w:t>
    </w:r>
    <w:r>
      <w:fldChar w:fldCharType="begin"/>
    </w:r>
    <w:r>
      <w:instrText xml:space="preserve"> PAGE </w:instrText>
    </w:r>
    <w:r>
      <w:fldChar w:fldCharType="separate"/>
    </w:r>
    <w:r w:rsidR="000937A6">
      <w:rPr>
        <w:noProof/>
      </w:rPr>
      <w:t>1</w:t>
    </w:r>
    <w:r>
      <w:fldChar w:fldCharType="end"/>
    </w:r>
    <w:r>
      <w:t xml:space="preserve"> van </w:t>
    </w:r>
    <w:r>
      <w:fldChar w:fldCharType="begin"/>
    </w:r>
    <w:r>
      <w:instrText xml:space="preserve"> NUMPAGES </w:instrText>
    </w:r>
    <w:r>
      <w:fldChar w:fldCharType="separate"/>
    </w:r>
    <w:r w:rsidR="000937A6">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04F276" w14:textId="77777777" w:rsidR="000937A6" w:rsidRDefault="000937A6">
      <w:r>
        <w:separator/>
      </w:r>
    </w:p>
  </w:footnote>
  <w:footnote w:type="continuationSeparator" w:id="0">
    <w:p w14:paraId="7A912BB8" w14:textId="77777777" w:rsidR="000937A6" w:rsidRDefault="000937A6">
      <w:r>
        <w:continuationSeparator/>
      </w:r>
    </w:p>
  </w:footnote>
  <w:footnote w:id="1">
    <w:p w14:paraId="74FF4122" w14:textId="383151A0" w:rsidR="008F1DB1" w:rsidRPr="00DF525C" w:rsidRDefault="008F1DB1">
      <w:pPr>
        <w:pStyle w:val="Voetnoottekst"/>
        <w:rPr>
          <w:lang w:val="nl-BE"/>
        </w:rPr>
      </w:pPr>
      <w:r w:rsidRPr="00DF525C">
        <w:rPr>
          <w:rStyle w:val="Voetnootmarkering"/>
        </w:rPr>
        <w:footnoteRef/>
      </w:r>
      <w:r w:rsidRPr="00DF525C">
        <w:t xml:space="preserve"> </w:t>
      </w:r>
      <w:r w:rsidRPr="00DF525C">
        <w:rPr>
          <w:lang w:val="nl-BE"/>
        </w:rPr>
        <w:t>Geschrapt bij beslissing van de VREG op 5 oktober 2015.</w:t>
      </w:r>
    </w:p>
  </w:footnote>
  <w:footnote w:id="2">
    <w:p w14:paraId="2040FBF5" w14:textId="19277195" w:rsidR="008F1DB1" w:rsidRPr="00DF525C" w:rsidRDefault="008F1DB1">
      <w:pPr>
        <w:pStyle w:val="Voetnoottekst"/>
        <w:rPr>
          <w:lang w:val="nl-BE"/>
        </w:rPr>
      </w:pPr>
      <w:r w:rsidRPr="00DF525C">
        <w:rPr>
          <w:rStyle w:val="Voetnootmarkering"/>
        </w:rPr>
        <w:footnoteRef/>
      </w:r>
      <w:r w:rsidRPr="00DF525C">
        <w:t xml:space="preserve"> Toegevoegd bij beslissing van de VREG van 5 oktober 2015</w:t>
      </w:r>
    </w:p>
  </w:footnote>
  <w:footnote w:id="3">
    <w:p w14:paraId="3105EAF3" w14:textId="155B4A0E" w:rsidR="008F1DB1" w:rsidRPr="00DF525C" w:rsidRDefault="008F1DB1" w:rsidP="00436BD2">
      <w:pPr>
        <w:pStyle w:val="Voetnoottekst"/>
      </w:pPr>
      <w:r w:rsidRPr="00DF525C">
        <w:rPr>
          <w:rStyle w:val="Voetnootmarkering"/>
        </w:rPr>
        <w:footnoteRef/>
      </w:r>
      <w:r w:rsidRPr="00DF525C">
        <w:t xml:space="preserve"> Indien voor een dergelijke productie-eenheid het maximaal AC-vermogen niet gekend is in kVA dient het maximaal AC-vermogen uitgedrukt in kW te worden gehanteerd.</w:t>
      </w:r>
    </w:p>
  </w:footnote>
  <w:footnote w:id="4">
    <w:p w14:paraId="30262034" w14:textId="54594AA7" w:rsidR="008F1DB1" w:rsidRPr="00DF525C" w:rsidRDefault="008F1DB1">
      <w:pPr>
        <w:pStyle w:val="Voetnoottekst"/>
        <w:rPr>
          <w:lang w:val="nl-BE"/>
        </w:rPr>
      </w:pPr>
      <w:r w:rsidRPr="00DF525C">
        <w:rPr>
          <w:rStyle w:val="Voetnootmarkering"/>
        </w:rPr>
        <w:footnoteRef/>
      </w:r>
      <w:r w:rsidRPr="00DF525C">
        <w:t xml:space="preserve"> </w:t>
      </w:r>
      <w:r w:rsidRPr="00DF525C">
        <w:rPr>
          <w:lang w:val="nl-BE"/>
        </w:rPr>
        <w:t>Voetnoot toegevoegd bij beslissing van de VREG van 5 oktober 2015.</w:t>
      </w:r>
    </w:p>
  </w:footnote>
  <w:footnote w:id="5">
    <w:p w14:paraId="6E713D59" w14:textId="7889EFC4" w:rsidR="008F1DB1" w:rsidRPr="00DF525C" w:rsidRDefault="008F1DB1" w:rsidP="002D4DCC">
      <w:pPr>
        <w:pStyle w:val="Voetnoottekst"/>
      </w:pPr>
      <w:r w:rsidRPr="00DF525C">
        <w:rPr>
          <w:rStyle w:val="Voetnootmarkering"/>
        </w:rPr>
        <w:footnoteRef/>
      </w:r>
      <w:r w:rsidRPr="00DF525C">
        <w:t xml:space="preserve"> De consultaties over het voorstel van methode tot vaststelling van de distributienettarieven voor elektriciteit en aardgas, evenals de consultatieverslagen, zijn beschikbaar op </w:t>
      </w:r>
      <w:hyperlink r:id="rId1" w:history="1">
        <w:r w:rsidRPr="00DF525C">
          <w:rPr>
            <w:rStyle w:val="Hyperlink"/>
          </w:rPr>
          <w:t>http://www.vreg.be/consultatie</w:t>
        </w:r>
      </w:hyperlink>
      <w:r w:rsidRPr="00DF525C">
        <w:t xml:space="preserve"> </w:t>
      </w:r>
    </w:p>
  </w:footnote>
  <w:footnote w:id="6">
    <w:p w14:paraId="50C28561" w14:textId="295E4BCE" w:rsidR="008F1DB1" w:rsidRPr="00DF525C" w:rsidRDefault="008F1DB1">
      <w:pPr>
        <w:pStyle w:val="Voetnoottekst"/>
        <w:rPr>
          <w:lang w:val="nl-BE"/>
        </w:rPr>
      </w:pPr>
      <w:r w:rsidRPr="00DF525C">
        <w:rPr>
          <w:rStyle w:val="Voetnootmarkering"/>
        </w:rPr>
        <w:footnoteRef/>
      </w:r>
      <w:r w:rsidRPr="00DF525C">
        <w:t xml:space="preserve"> </w:t>
      </w:r>
      <w:r w:rsidRPr="00DF525C">
        <w:rPr>
          <w:lang w:val="nl-BE"/>
        </w:rPr>
        <w:t>Toegevoegd bij beslissing van de VREG van 5 oktober 2015.</w:t>
      </w:r>
    </w:p>
  </w:footnote>
  <w:footnote w:id="7">
    <w:p w14:paraId="30B322B5" w14:textId="7B979CCD" w:rsidR="008F1DB1" w:rsidRPr="00DF525C" w:rsidRDefault="008F1DB1">
      <w:pPr>
        <w:pStyle w:val="Voetnoottekst"/>
        <w:rPr>
          <w:lang w:val="nl-BE"/>
        </w:rPr>
      </w:pPr>
      <w:r w:rsidRPr="00DF525C">
        <w:rPr>
          <w:rStyle w:val="Voetnootmarkering"/>
        </w:rPr>
        <w:footnoteRef/>
      </w:r>
      <w:r w:rsidRPr="00DF525C">
        <w:t xml:space="preserve"> </w:t>
      </w:r>
      <w:r w:rsidRPr="00DF525C">
        <w:rPr>
          <w:lang w:val="nl-BE"/>
        </w:rPr>
        <w:t>Geschrapt bij beslissing van de VREG van 5 oktober 2015.</w:t>
      </w:r>
    </w:p>
  </w:footnote>
  <w:footnote w:id="8">
    <w:p w14:paraId="5AA24761" w14:textId="3F41BEDA" w:rsidR="008F1DB1" w:rsidRPr="00DF525C" w:rsidRDefault="008F1DB1">
      <w:pPr>
        <w:pStyle w:val="Voetnoottekst"/>
      </w:pPr>
      <w:r w:rsidRPr="00DF525C">
        <w:rPr>
          <w:rStyle w:val="Voetnootmarkering"/>
        </w:rPr>
        <w:footnoteRef/>
      </w:r>
      <w:r w:rsidRPr="00DF525C">
        <w:t xml:space="preserve"> Brief per 23 september 2014 betreffende ‘Tarieven aardgasdistributie Enexis’.</w:t>
      </w:r>
    </w:p>
  </w:footnote>
  <w:footnote w:id="9">
    <w:p w14:paraId="7C8DDD7F" w14:textId="4F1C16FE" w:rsidR="008F1DB1" w:rsidRPr="00DF525C" w:rsidRDefault="008F1DB1">
      <w:pPr>
        <w:pStyle w:val="Voetnoottekst"/>
        <w:rPr>
          <w:lang w:val="nl-BE"/>
        </w:rPr>
      </w:pPr>
      <w:r w:rsidRPr="00DF525C">
        <w:rPr>
          <w:rStyle w:val="Voetnootmarkering"/>
        </w:rPr>
        <w:footnoteRef/>
      </w:r>
      <w:r w:rsidRPr="00DF525C">
        <w:t xml:space="preserve"> </w:t>
      </w:r>
      <w:r w:rsidRPr="00DF525C">
        <w:rPr>
          <w:lang w:val="nl-BE"/>
        </w:rPr>
        <w:t>Geschrapt bij beslissing van de VREG van 5 oktober 2015.</w:t>
      </w:r>
    </w:p>
  </w:footnote>
  <w:footnote w:id="10">
    <w:p w14:paraId="1C89D8D8" w14:textId="6AD5F326" w:rsidR="008F1DB1" w:rsidRPr="00DF525C" w:rsidRDefault="008F1DB1">
      <w:pPr>
        <w:pStyle w:val="Voetnoottekst"/>
        <w:rPr>
          <w:lang w:val="nl-BE"/>
        </w:rPr>
      </w:pPr>
      <w:r w:rsidRPr="00DF525C">
        <w:rPr>
          <w:rStyle w:val="Voetnootmarkering"/>
        </w:rPr>
        <w:footnoteRef/>
      </w:r>
      <w:r w:rsidRPr="00DF525C">
        <w:t xml:space="preserve"> </w:t>
      </w:r>
      <w:r w:rsidRPr="00DF525C">
        <w:rPr>
          <w:lang w:val="nl-BE"/>
        </w:rPr>
        <w:t>Geschrapt bij beslissing van de VREG van 5 oktober 2015.</w:t>
      </w:r>
    </w:p>
  </w:footnote>
  <w:footnote w:id="11">
    <w:p w14:paraId="305F1A2A" w14:textId="291C6E36" w:rsidR="008F1DB1" w:rsidRPr="00DF525C" w:rsidRDefault="008F1DB1">
      <w:pPr>
        <w:pStyle w:val="Voetnoottekst"/>
        <w:rPr>
          <w:lang w:val="nl-BE"/>
        </w:rPr>
      </w:pPr>
      <w:r w:rsidRPr="00DF525C">
        <w:rPr>
          <w:rStyle w:val="Voetnootmarkering"/>
        </w:rPr>
        <w:footnoteRef/>
      </w:r>
      <w:r w:rsidRPr="00DF525C">
        <w:t xml:space="preserve"> </w:t>
      </w:r>
      <w:r w:rsidRPr="00DF525C">
        <w:rPr>
          <w:lang w:val="nl-BE"/>
        </w:rPr>
        <w:t>Toegevoegd bij beslissing van de VREG van 5 oktober 2015.</w:t>
      </w:r>
    </w:p>
  </w:footnote>
  <w:footnote w:id="12">
    <w:p w14:paraId="7B80D027" w14:textId="6BEA7735" w:rsidR="008F1DB1" w:rsidRPr="00DF525C" w:rsidRDefault="008F1DB1">
      <w:pPr>
        <w:pStyle w:val="Voetnoottekst"/>
        <w:rPr>
          <w:lang w:val="nl-BE"/>
        </w:rPr>
      </w:pPr>
      <w:r w:rsidRPr="00DF525C">
        <w:rPr>
          <w:rStyle w:val="Voetnootmarkering"/>
        </w:rPr>
        <w:footnoteRef/>
      </w:r>
      <w:r w:rsidRPr="00DF525C">
        <w:t xml:space="preserve"> </w:t>
      </w:r>
      <w:r w:rsidRPr="00DF525C">
        <w:rPr>
          <w:lang w:val="nl-BE"/>
        </w:rPr>
        <w:t>Geschrapt bij beslissing van de VREG van 5 oktober 2015.</w:t>
      </w:r>
    </w:p>
  </w:footnote>
  <w:footnote w:id="13">
    <w:p w14:paraId="3F1FDB76" w14:textId="1586F2AE" w:rsidR="008F1DB1" w:rsidRPr="00DF525C" w:rsidRDefault="008F1DB1">
      <w:pPr>
        <w:pStyle w:val="Voetnoottekst"/>
        <w:rPr>
          <w:lang w:val="nl-BE"/>
        </w:rPr>
      </w:pPr>
      <w:r w:rsidRPr="00DF525C">
        <w:rPr>
          <w:rStyle w:val="Voetnootmarkering"/>
        </w:rPr>
        <w:footnoteRef/>
      </w:r>
      <w:r w:rsidRPr="00DF525C">
        <w:t xml:space="preserve"> </w:t>
      </w:r>
      <w:r w:rsidRPr="00DF525C">
        <w:rPr>
          <w:lang w:val="nl-BE"/>
        </w:rPr>
        <w:t>Geschrapt bij beslissing van de VREG van 5 oktober 2015.</w:t>
      </w:r>
    </w:p>
  </w:footnote>
  <w:footnote w:id="14">
    <w:p w14:paraId="69DCE523" w14:textId="77777777" w:rsidR="008F1DB1" w:rsidRPr="00DF525C" w:rsidRDefault="008F1DB1">
      <w:pPr>
        <w:pStyle w:val="Voetnoottekst"/>
        <w:rPr>
          <w:lang w:val="nl-BE"/>
        </w:rPr>
      </w:pPr>
      <w:r w:rsidRPr="00DF525C">
        <w:rPr>
          <w:rStyle w:val="Voetnootmarkering"/>
        </w:rPr>
        <w:footnoteRef/>
      </w:r>
      <w:r w:rsidRPr="00DF525C">
        <w:t xml:space="preserve"> </w:t>
      </w:r>
      <w:r w:rsidRPr="00DF525C">
        <w:rPr>
          <w:lang w:val="nl-BE"/>
        </w:rPr>
        <w:t>Aanpassing van het oorspronkelijke budget (op basis van een verwachte index) aan de werkelijke index.</w:t>
      </w:r>
    </w:p>
  </w:footnote>
  <w:footnote w:id="15">
    <w:p w14:paraId="1C9FD70B" w14:textId="76B547AD" w:rsidR="008F1DB1" w:rsidRPr="00DF525C" w:rsidRDefault="008F1DB1">
      <w:pPr>
        <w:pStyle w:val="Voetnoottekst"/>
        <w:rPr>
          <w:lang w:val="nl-BE"/>
        </w:rPr>
      </w:pPr>
      <w:r w:rsidRPr="00DF525C">
        <w:rPr>
          <w:rStyle w:val="Voetnootmarkering"/>
        </w:rPr>
        <w:footnoteRef/>
      </w:r>
      <w:r w:rsidRPr="00DF525C">
        <w:t xml:space="preserve"> Wet van 8 januari 2012 tot wijziging van de wet van 29 april 1999 betreffende de organisatie van de elektriciteitsmarkt en de wet van 12 april 1965 betreffende het vervoer van gasachtige producten en andere door middel van leidingen, </w:t>
      </w:r>
      <w:r w:rsidRPr="00DF525C">
        <w:rPr>
          <w:i/>
        </w:rPr>
        <w:t>BS</w:t>
      </w:r>
      <w:r w:rsidRPr="00DF525C">
        <w:t xml:space="preserve"> 11 januari 2012.</w:t>
      </w:r>
    </w:p>
  </w:footnote>
  <w:footnote w:id="16">
    <w:p w14:paraId="662A8597" w14:textId="4D5B0867" w:rsidR="008F1DB1" w:rsidRPr="00DF525C" w:rsidRDefault="008F1DB1">
      <w:pPr>
        <w:pStyle w:val="Voetnoottekst"/>
        <w:rPr>
          <w:lang w:val="nl-BE"/>
        </w:rPr>
      </w:pPr>
      <w:r w:rsidRPr="00DF525C">
        <w:rPr>
          <w:rStyle w:val="Voetnootmarkering"/>
        </w:rPr>
        <w:footnoteRef/>
      </w:r>
      <w:r w:rsidRPr="00DF525C">
        <w:t xml:space="preserve"> Geschrapt bij beslissing van de VREG van 5 oktober 2015.</w:t>
      </w:r>
    </w:p>
  </w:footnote>
  <w:footnote w:id="17">
    <w:p w14:paraId="2F06848C" w14:textId="1FB107DD" w:rsidR="008F1DB1" w:rsidRPr="00DF525C" w:rsidRDefault="008F1DB1">
      <w:pPr>
        <w:pStyle w:val="Voetnoottekst"/>
        <w:rPr>
          <w:lang w:val="nl-BE"/>
        </w:rPr>
      </w:pPr>
      <w:r w:rsidRPr="00DF525C">
        <w:rPr>
          <w:rStyle w:val="Voetnootmarkering"/>
        </w:rPr>
        <w:footnoteRef/>
      </w:r>
      <w:r w:rsidRPr="00DF525C">
        <w:t xml:space="preserve"> Toegevoegd bij beslissing van de VREG van 5 oktober 2015.</w:t>
      </w:r>
    </w:p>
  </w:footnote>
  <w:footnote w:id="18">
    <w:p w14:paraId="6FB6BA5D" w14:textId="4EBC373C" w:rsidR="008F1DB1" w:rsidRPr="00DF525C" w:rsidRDefault="008F1DB1">
      <w:pPr>
        <w:pStyle w:val="Voetnoottekst"/>
      </w:pPr>
      <w:r w:rsidRPr="00DF525C">
        <w:rPr>
          <w:rStyle w:val="Voetnootmarkering"/>
        </w:rPr>
        <w:footnoteRef/>
      </w:r>
      <w:r w:rsidRPr="00DF525C">
        <w:t xml:space="preserve"> In afwachting van de uitspraak in een lopende rechtszaak aangespannen door de Infrax-DNB’s betreffende onder meer welke regulator bevoegd is m.b.t. vaststelling van de exploitatiesaldi.</w:t>
      </w:r>
    </w:p>
  </w:footnote>
  <w:footnote w:id="19">
    <w:p w14:paraId="013398F9" w14:textId="097F1693" w:rsidR="008F1DB1" w:rsidRPr="00DF525C" w:rsidRDefault="008F1DB1">
      <w:pPr>
        <w:pStyle w:val="Voetnoottekst"/>
        <w:rPr>
          <w:lang w:val="nl-BE"/>
        </w:rPr>
      </w:pPr>
      <w:r w:rsidRPr="00DF525C">
        <w:rPr>
          <w:rStyle w:val="Voetnootmarkering"/>
        </w:rPr>
        <w:footnoteRef/>
      </w:r>
      <w:r w:rsidRPr="00DF525C">
        <w:t xml:space="preserve"> </w:t>
      </w:r>
      <w:r w:rsidRPr="00DF525C">
        <w:rPr>
          <w:lang w:val="nl-BE"/>
        </w:rPr>
        <w:t>Toegevoegd bij beslissing van de VREG van 5 oktober 2015.</w:t>
      </w:r>
    </w:p>
  </w:footnote>
  <w:footnote w:id="20">
    <w:p w14:paraId="08238D47" w14:textId="2B54333E" w:rsidR="008F1DB1" w:rsidRPr="00F521F2" w:rsidRDefault="008F1DB1">
      <w:pPr>
        <w:pStyle w:val="Voetnoottekst"/>
        <w:rPr>
          <w:lang w:val="nl-BE"/>
        </w:rPr>
      </w:pPr>
      <w:r w:rsidRPr="00C24461">
        <w:rPr>
          <w:rStyle w:val="Voetnootmarkering"/>
        </w:rPr>
        <w:footnoteRef/>
      </w:r>
      <w:r w:rsidRPr="00C24461">
        <w:t xml:space="preserve"> Toegevoegd bij beslissing van de VREG van 28 juni 2016.</w:t>
      </w:r>
    </w:p>
  </w:footnote>
  <w:footnote w:id="21">
    <w:p w14:paraId="5A4F55EA" w14:textId="268B801A" w:rsidR="008F1DB1" w:rsidRPr="00DF525C" w:rsidRDefault="008F1DB1">
      <w:pPr>
        <w:pStyle w:val="Voetnoottekst"/>
      </w:pPr>
      <w:r w:rsidRPr="00DF525C">
        <w:rPr>
          <w:rStyle w:val="Voetnootmarkering"/>
        </w:rPr>
        <w:footnoteRef/>
      </w:r>
      <w:r w:rsidRPr="00DF525C">
        <w:t xml:space="preserve">   http://www.creg.info/pdf/Richtlijnen/R1041NL.pdf</w:t>
      </w:r>
    </w:p>
  </w:footnote>
  <w:footnote w:id="22">
    <w:p w14:paraId="309FE8EC" w14:textId="7DBE05C1" w:rsidR="008F1DB1" w:rsidRPr="00DF525C" w:rsidRDefault="008F1DB1" w:rsidP="001035B2">
      <w:pPr>
        <w:pStyle w:val="Voetnoottekst"/>
        <w:jc w:val="left"/>
      </w:pPr>
      <w:r w:rsidRPr="00DF525C">
        <w:rPr>
          <w:rStyle w:val="Voetnootmarkering"/>
        </w:rPr>
        <w:footnoteRef/>
      </w:r>
      <w:r w:rsidRPr="00DF525C">
        <w:t xml:space="preserve">   https://www.ibr-ire.be/nl/regelgeving/rechtsleer/omzendbrieven/Documents/9561_Omzendbrief-2011-5-bijzonder-commissarisverslag.pdf</w:t>
      </w:r>
    </w:p>
  </w:footnote>
  <w:footnote w:id="23">
    <w:p w14:paraId="0FE8787C" w14:textId="5B4A4ABB" w:rsidR="008F1DB1" w:rsidRPr="00DF525C" w:rsidRDefault="008F1DB1">
      <w:pPr>
        <w:pStyle w:val="Voetnoottekst"/>
        <w:rPr>
          <w:lang w:val="nl-BE"/>
        </w:rPr>
      </w:pPr>
      <w:r w:rsidRPr="00DF525C">
        <w:rPr>
          <w:rStyle w:val="Voetnootmarkering"/>
        </w:rPr>
        <w:footnoteRef/>
      </w:r>
      <w:r w:rsidRPr="00DF525C">
        <w:t xml:space="preserve"> </w:t>
      </w:r>
      <w:r w:rsidRPr="00DF525C">
        <w:rPr>
          <w:lang w:val="nl-BE"/>
        </w:rPr>
        <w:t>De federale bijdrage elektriciteit wordt hierbij niet inbegrepen.</w:t>
      </w:r>
    </w:p>
  </w:footnote>
  <w:footnote w:id="24">
    <w:p w14:paraId="4058AA8C" w14:textId="0E9ADC99" w:rsidR="008F1DB1" w:rsidRPr="00DF525C" w:rsidRDefault="008F1DB1">
      <w:pPr>
        <w:pStyle w:val="Voetnoottekst"/>
        <w:rPr>
          <w:lang w:val="nl-BE"/>
        </w:rPr>
      </w:pPr>
      <w:r w:rsidRPr="00DF525C">
        <w:rPr>
          <w:rStyle w:val="Voetnootmarkering"/>
        </w:rPr>
        <w:footnoteRef/>
      </w:r>
      <w:r w:rsidRPr="00DF525C">
        <w:t xml:space="preserve"> Toegevoegd bij beslissing van de VREG van 5 oktober 2015.</w:t>
      </w:r>
    </w:p>
  </w:footnote>
  <w:footnote w:id="25">
    <w:p w14:paraId="7276E4DF" w14:textId="25B8438D" w:rsidR="008F1DB1" w:rsidRPr="00DF525C" w:rsidRDefault="008F1DB1">
      <w:pPr>
        <w:pStyle w:val="Voetnoottekst"/>
        <w:rPr>
          <w:lang w:val="nl-BE"/>
        </w:rPr>
      </w:pPr>
      <w:r w:rsidRPr="00DF525C">
        <w:rPr>
          <w:rStyle w:val="Voetnootmarkering"/>
        </w:rPr>
        <w:footnoteRef/>
      </w:r>
      <w:r w:rsidRPr="00DF525C">
        <w:t xml:space="preserve"> </w:t>
      </w:r>
      <w:r w:rsidRPr="00DF525C">
        <w:rPr>
          <w:lang w:val="nl-BE"/>
        </w:rPr>
        <w:t>Zie par. 10.3 in bijlage 2.</w:t>
      </w:r>
    </w:p>
  </w:footnote>
  <w:footnote w:id="26">
    <w:p w14:paraId="2D4355D3" w14:textId="272E6DFC" w:rsidR="008F1DB1" w:rsidRPr="00DF525C" w:rsidRDefault="008F1DB1">
      <w:pPr>
        <w:pStyle w:val="Voetnoottekst"/>
        <w:rPr>
          <w:lang w:val="nl-BE"/>
        </w:rPr>
      </w:pPr>
      <w:r w:rsidRPr="00DF525C">
        <w:rPr>
          <w:rStyle w:val="Voetnootmarkering"/>
        </w:rPr>
        <w:footnoteRef/>
      </w:r>
      <w:r w:rsidRPr="00DF525C">
        <w:t xml:space="preserve"> Energiedecreet, titel XIV.</w:t>
      </w:r>
    </w:p>
  </w:footnote>
  <w:footnote w:id="27">
    <w:p w14:paraId="4AFA05B6" w14:textId="77777777" w:rsidR="008F1DB1" w:rsidRPr="00DF525C" w:rsidRDefault="008F1DB1" w:rsidP="00451CF8">
      <w:pPr>
        <w:pStyle w:val="Voetnoottekst"/>
      </w:pPr>
      <w:r w:rsidRPr="00DF525C">
        <w:rPr>
          <w:rStyle w:val="Voetnootmarkering"/>
        </w:rPr>
        <w:footnoteRef/>
      </w:r>
      <w:r w:rsidRPr="00DF525C">
        <w:t xml:space="preserve"> Premies zoals vermeld in het Energiebesluit.</w:t>
      </w:r>
    </w:p>
  </w:footnote>
  <w:footnote w:id="28">
    <w:p w14:paraId="736A4CD4" w14:textId="77777777" w:rsidR="008F1DB1" w:rsidRPr="00DF525C" w:rsidRDefault="008F1DB1">
      <w:pPr>
        <w:pStyle w:val="Voetnoottekst"/>
      </w:pPr>
      <w:r w:rsidRPr="00DF525C">
        <w:rPr>
          <w:rStyle w:val="Voetnootmarkering"/>
        </w:rPr>
        <w:footnoteRef/>
      </w:r>
      <w:r w:rsidRPr="00DF525C">
        <w:t xml:space="preserve"> Minimumsteun zoals vermeld in het Energiedecreet.</w:t>
      </w:r>
    </w:p>
  </w:footnote>
  <w:footnote w:id="29">
    <w:p w14:paraId="50124D83" w14:textId="77777777" w:rsidR="008F1DB1" w:rsidRPr="00DF525C" w:rsidRDefault="008F1DB1">
      <w:pPr>
        <w:pStyle w:val="Voetnoottekst"/>
      </w:pPr>
      <w:r w:rsidRPr="00DF525C">
        <w:rPr>
          <w:rStyle w:val="Voetnootmarkering"/>
        </w:rPr>
        <w:footnoteRef/>
      </w:r>
      <w:r w:rsidRPr="00DF525C">
        <w:t xml:space="preserve"> Gratis hoeveelheid elektriciteit zoals vermeld in het Energiedecreet.</w:t>
      </w:r>
    </w:p>
  </w:footnote>
  <w:footnote w:id="30">
    <w:p w14:paraId="0A3C2C3C" w14:textId="0CF915F0" w:rsidR="008F1DB1" w:rsidRPr="00DF525C" w:rsidRDefault="008F1DB1">
      <w:pPr>
        <w:pStyle w:val="Voetnoottekst"/>
        <w:rPr>
          <w:lang w:val="nl-BE"/>
        </w:rPr>
      </w:pPr>
      <w:r w:rsidRPr="00DF525C">
        <w:rPr>
          <w:rStyle w:val="Voetnootmarkering"/>
        </w:rPr>
        <w:footnoteRef/>
      </w:r>
      <w:r w:rsidRPr="00DF525C">
        <w:t xml:space="preserve"> </w:t>
      </w:r>
      <w:r w:rsidRPr="00DF525C">
        <w:rPr>
          <w:lang w:val="nl-BE"/>
        </w:rPr>
        <w:t>Toegevoegd bij beslissing van de VREG van 5 oktober 2015.</w:t>
      </w:r>
    </w:p>
  </w:footnote>
  <w:footnote w:id="31">
    <w:p w14:paraId="06827919" w14:textId="392407A3" w:rsidR="008F1DB1" w:rsidRPr="00DF525C" w:rsidRDefault="008F1DB1">
      <w:pPr>
        <w:pStyle w:val="Voetnoottekst"/>
      </w:pPr>
      <w:r w:rsidRPr="00DF525C">
        <w:rPr>
          <w:rStyle w:val="Voetnootmarkering"/>
        </w:rPr>
        <w:footnoteRef/>
      </w:r>
      <w:r w:rsidRPr="00DF525C">
        <w:t xml:space="preserve"> Actief/passief: naargelang de distributienetbeheerder een regulatoir actief (actiefzijde van de balans) of passief (passiefzijde van de balans) heeft.</w:t>
      </w:r>
    </w:p>
  </w:footnote>
  <w:footnote w:id="32">
    <w:p w14:paraId="4BFF253B" w14:textId="0B2C78D1" w:rsidR="008F1DB1" w:rsidRPr="00DF525C" w:rsidRDefault="008F1DB1">
      <w:pPr>
        <w:pStyle w:val="Voetnoottekst"/>
        <w:rPr>
          <w:lang w:val="nl-BE"/>
        </w:rPr>
      </w:pPr>
      <w:r w:rsidRPr="00DF525C">
        <w:rPr>
          <w:rStyle w:val="Voetnootmarkering"/>
        </w:rPr>
        <w:footnoteRef/>
      </w:r>
      <w:r w:rsidRPr="00DF525C">
        <w:t xml:space="preserve"> </w:t>
      </w:r>
      <w:r w:rsidRPr="00DF525C">
        <w:rPr>
          <w:lang w:val="nl-BE"/>
        </w:rPr>
        <w:t>Geschrapt bij beslissing van de VREG van 5 oktober 2015.</w:t>
      </w:r>
    </w:p>
  </w:footnote>
  <w:footnote w:id="33">
    <w:p w14:paraId="5F024303" w14:textId="7B68229A" w:rsidR="008F1DB1" w:rsidRPr="00DF525C" w:rsidRDefault="008F1DB1">
      <w:pPr>
        <w:pStyle w:val="Voetnoottekst"/>
        <w:rPr>
          <w:lang w:val="nl-BE"/>
        </w:rPr>
      </w:pPr>
      <w:r w:rsidRPr="00DF525C">
        <w:rPr>
          <w:rStyle w:val="Voetnootmarkering"/>
        </w:rPr>
        <w:footnoteRef/>
      </w:r>
      <w:r w:rsidRPr="00DF525C">
        <w:t xml:space="preserve"> Toegevoegd bij beslissing van de VREG van 5 oktober 2015.</w:t>
      </w:r>
    </w:p>
  </w:footnote>
  <w:footnote w:id="34">
    <w:p w14:paraId="21A2E0EA" w14:textId="7BDAFE53" w:rsidR="008F1DB1" w:rsidRPr="00DF525C" w:rsidRDefault="008F1DB1">
      <w:pPr>
        <w:pStyle w:val="Voetnoottekst"/>
      </w:pPr>
      <w:r w:rsidRPr="00DF525C">
        <w:rPr>
          <w:rStyle w:val="Voetnootmarkering"/>
        </w:rPr>
        <w:footnoteRef/>
      </w:r>
      <w:r w:rsidRPr="00DF525C">
        <w:t xml:space="preserve"> </w:t>
      </w:r>
      <w:hyperlink r:id="rId2" w:history="1">
        <w:r w:rsidRPr="00DF525C">
          <w:rPr>
            <w:rStyle w:val="Hyperlink"/>
          </w:rPr>
          <w:t>http://www.vreg.be/nl/juridisch-kader-distributienettarieven</w:t>
        </w:r>
      </w:hyperlink>
      <w:r w:rsidRPr="00DF525C">
        <w:t xml:space="preserve"> </w:t>
      </w:r>
    </w:p>
  </w:footnote>
  <w:footnote w:id="35">
    <w:p w14:paraId="0AF0A826" w14:textId="77777777" w:rsidR="008F1DB1" w:rsidRPr="00DF525C" w:rsidRDefault="008F1DB1" w:rsidP="005155A5">
      <w:pPr>
        <w:pStyle w:val="Voetnoottekst"/>
        <w:rPr>
          <w:lang w:val="nl-BE"/>
        </w:rPr>
      </w:pPr>
      <w:r w:rsidRPr="00DF525C">
        <w:rPr>
          <w:rStyle w:val="Voetnootmarkering"/>
        </w:rPr>
        <w:footnoteRef/>
      </w:r>
      <w:r w:rsidRPr="00DF525C">
        <w:t xml:space="preserve"> Commission wallonne pour l’Energie, v</w:t>
      </w:r>
      <w:r w:rsidRPr="00DF525C">
        <w:rPr>
          <w:lang w:val="nl-BE"/>
        </w:rPr>
        <w:t>oor wat betreft de gewestgrensoverschrijdende distributienetbeheerders.</w:t>
      </w:r>
    </w:p>
  </w:footnote>
  <w:footnote w:id="36">
    <w:p w14:paraId="07E54432" w14:textId="77777777" w:rsidR="008F1DB1" w:rsidRPr="00DF525C" w:rsidRDefault="008F1DB1" w:rsidP="00EB2238">
      <w:pPr>
        <w:pStyle w:val="Voetnoottekst"/>
        <w:rPr>
          <w:lang w:val="nl-BE"/>
        </w:rPr>
      </w:pPr>
      <w:r w:rsidRPr="00DF525C">
        <w:rPr>
          <w:rStyle w:val="Voetnootmarkering"/>
        </w:rPr>
        <w:footnoteRef/>
      </w:r>
      <w:r w:rsidRPr="00DF525C">
        <w:t xml:space="preserve"> Op basis van de evolutie van de c</w:t>
      </w:r>
      <w:r w:rsidRPr="00DF525C">
        <w:rPr>
          <w:lang w:val="nl-BE"/>
        </w:rPr>
        <w:t>onsumptieprijsindex jaar/jaar van de maand augustus.</w:t>
      </w:r>
    </w:p>
  </w:footnote>
  <w:footnote w:id="37">
    <w:p w14:paraId="1AAE7663" w14:textId="1CF0AA8C" w:rsidR="008F1DB1" w:rsidRPr="00DF525C" w:rsidRDefault="008F1DB1">
      <w:pPr>
        <w:pStyle w:val="Voetnoottekst"/>
        <w:rPr>
          <w:lang w:val="nl-BE"/>
        </w:rPr>
      </w:pPr>
      <w:r w:rsidRPr="00DF525C">
        <w:rPr>
          <w:rStyle w:val="Voetnootmarkering"/>
        </w:rPr>
        <w:footnoteRef/>
      </w:r>
      <w:r w:rsidRPr="00DF525C">
        <w:t xml:space="preserve"> </w:t>
      </w:r>
      <w:r w:rsidRPr="00DF525C">
        <w:rPr>
          <w:lang w:val="nl-BE"/>
        </w:rPr>
        <w:t>Toegevoegd bij beslissing van de VREG van 5 oktober 2015.</w:t>
      </w:r>
    </w:p>
  </w:footnote>
  <w:footnote w:id="38">
    <w:p w14:paraId="2C12E2AA" w14:textId="77777777" w:rsidR="008F1DB1" w:rsidRPr="006E0CA6" w:rsidRDefault="008F1DB1" w:rsidP="000D284A">
      <w:pPr>
        <w:pStyle w:val="Voetnoottekst"/>
        <w:rPr>
          <w:rFonts w:ascii="Calibri" w:hAnsi="Calibri"/>
          <w:lang w:val="nl-BE"/>
        </w:rPr>
      </w:pPr>
      <w:r w:rsidRPr="006E0CA6">
        <w:rPr>
          <w:rStyle w:val="Voetnootmarkering"/>
          <w:rFonts w:ascii="Calibri" w:hAnsi="Calibri"/>
        </w:rPr>
        <w:footnoteRef/>
      </w:r>
      <w:r w:rsidRPr="006E0CA6">
        <w:rPr>
          <w:rFonts w:ascii="Calibri" w:hAnsi="Calibri"/>
        </w:rPr>
        <w:t xml:space="preserve"> </w:t>
      </w:r>
      <w:r w:rsidRPr="006E0CA6">
        <w:rPr>
          <w:rFonts w:ascii="Calibri" w:hAnsi="Calibri"/>
          <w:lang w:val="nl-BE"/>
        </w:rPr>
        <w:t>Energiebesluit, Hoofdstuk IV, Afdeling 2, Art. 6.4.2 t.e.m. 6.4.7.</w:t>
      </w:r>
    </w:p>
  </w:footnote>
  <w:footnote w:id="39">
    <w:p w14:paraId="6B8E67FA" w14:textId="77777777" w:rsidR="008F1DB1" w:rsidRPr="003F64A0" w:rsidRDefault="008F1DB1" w:rsidP="000D284A">
      <w:pPr>
        <w:pStyle w:val="Voetnoottekst"/>
        <w:rPr>
          <w:rFonts w:ascii="Calibri" w:hAnsi="Calibri"/>
          <w:lang w:val="nl-BE"/>
        </w:rPr>
      </w:pPr>
      <w:r w:rsidRPr="006E0CA6">
        <w:rPr>
          <w:rStyle w:val="Voetnootmarkering"/>
          <w:rFonts w:ascii="Calibri" w:hAnsi="Calibri"/>
        </w:rPr>
        <w:footnoteRef/>
      </w:r>
      <w:r w:rsidRPr="006E0CA6">
        <w:rPr>
          <w:rFonts w:ascii="Calibri" w:hAnsi="Calibri"/>
        </w:rPr>
        <w:t xml:space="preserve"> </w:t>
      </w:r>
      <w:r w:rsidRPr="006E0CA6">
        <w:rPr>
          <w:rFonts w:ascii="Calibri" w:hAnsi="Calibri"/>
          <w:lang w:val="nl-BE"/>
        </w:rPr>
        <w:t>Voor een meer uitvoerige verantwoording zie VREG, CONS-2016-03.</w:t>
      </w:r>
    </w:p>
  </w:footnote>
  <w:footnote w:id="40">
    <w:p w14:paraId="5137C1F4" w14:textId="77777777" w:rsidR="008F1DB1" w:rsidRPr="006E0CA6" w:rsidRDefault="008F1DB1" w:rsidP="000D284A">
      <w:pPr>
        <w:pStyle w:val="Voetnoottekst"/>
        <w:rPr>
          <w:rFonts w:ascii="Calibri" w:hAnsi="Calibri"/>
        </w:rPr>
      </w:pPr>
      <w:r w:rsidRPr="006E0CA6">
        <w:rPr>
          <w:rStyle w:val="Voetnootmarkering"/>
          <w:rFonts w:ascii="Calibri" w:hAnsi="Calibri"/>
        </w:rPr>
        <w:footnoteRef/>
      </w:r>
      <w:r w:rsidRPr="006E0CA6">
        <w:rPr>
          <w:rFonts w:ascii="Calibri" w:hAnsi="Calibri"/>
        </w:rPr>
        <w:t xml:space="preserve"> </w:t>
      </w:r>
      <w:r w:rsidRPr="006E0CA6">
        <w:rPr>
          <w:rFonts w:ascii="Calibri" w:hAnsi="Calibri"/>
          <w:lang w:val="nl-BE"/>
        </w:rPr>
        <w:t>Berekend als het gemiddelde van de nettoboekwaarde bij het begin van het boekjaar en de nettoboekwaarde op het einde van het boekjaar.</w:t>
      </w:r>
    </w:p>
  </w:footnote>
  <w:footnote w:id="41">
    <w:p w14:paraId="63188947" w14:textId="77777777" w:rsidR="008F1DB1" w:rsidRPr="006E0CA6" w:rsidRDefault="008F1DB1" w:rsidP="000D284A">
      <w:pPr>
        <w:pStyle w:val="Voetnoottekst"/>
        <w:rPr>
          <w:rFonts w:ascii="Calibri" w:hAnsi="Calibri"/>
        </w:rPr>
      </w:pPr>
      <w:r w:rsidRPr="006E0CA6">
        <w:rPr>
          <w:rStyle w:val="Voetnootmarkering"/>
          <w:rFonts w:ascii="Calibri" w:hAnsi="Calibri"/>
        </w:rPr>
        <w:footnoteRef/>
      </w:r>
      <w:r w:rsidRPr="006E0CA6">
        <w:rPr>
          <w:rFonts w:ascii="Calibri" w:hAnsi="Calibri"/>
        </w:rPr>
        <w:t xml:space="preserve"> </w:t>
      </w:r>
      <w:r w:rsidRPr="006E0CA6">
        <w:rPr>
          <w:rFonts w:ascii="Calibri" w:hAnsi="Calibri"/>
          <w:lang w:val="nl-BE"/>
        </w:rPr>
        <w:t>Ibid.</w:t>
      </w:r>
    </w:p>
  </w:footnote>
  <w:footnote w:id="42">
    <w:p w14:paraId="3F574841" w14:textId="77777777" w:rsidR="008F1DB1" w:rsidRPr="006E0CA6" w:rsidRDefault="008F1DB1" w:rsidP="000D284A">
      <w:pPr>
        <w:pStyle w:val="Voetnoottekst"/>
        <w:rPr>
          <w:rFonts w:ascii="Calibri" w:hAnsi="Calibri"/>
        </w:rPr>
      </w:pPr>
      <w:r w:rsidRPr="006E0CA6">
        <w:rPr>
          <w:rStyle w:val="Voetnootmarkering"/>
          <w:rFonts w:ascii="Calibri" w:hAnsi="Calibri"/>
        </w:rPr>
        <w:footnoteRef/>
      </w:r>
      <w:r w:rsidRPr="006E0CA6">
        <w:rPr>
          <w:rFonts w:ascii="Calibri" w:hAnsi="Calibri"/>
        </w:rPr>
        <w:t xml:space="preserve"> Artikel 6.4.5 van het Energiebesluit.</w:t>
      </w:r>
    </w:p>
  </w:footnote>
  <w:footnote w:id="43">
    <w:p w14:paraId="127BA8D4" w14:textId="77777777" w:rsidR="008F1DB1" w:rsidRPr="00E277BA" w:rsidRDefault="008F1DB1" w:rsidP="000D284A">
      <w:pPr>
        <w:pStyle w:val="Voetnoottekst"/>
      </w:pPr>
      <w:r w:rsidRPr="006E0CA6">
        <w:rPr>
          <w:rStyle w:val="Voetnootmarkering"/>
          <w:rFonts w:ascii="Calibri" w:hAnsi="Calibri"/>
        </w:rPr>
        <w:footnoteRef/>
      </w:r>
      <w:r w:rsidRPr="006E0CA6">
        <w:rPr>
          <w:rFonts w:ascii="Calibri" w:hAnsi="Calibri"/>
        </w:rPr>
        <w:t xml:space="preserve"> Exclusief eventuele ontvangsten m.b.t. periodieke distributienettarieven.</w:t>
      </w:r>
    </w:p>
  </w:footnote>
  <w:footnote w:id="44">
    <w:p w14:paraId="2D087DDF" w14:textId="77777777" w:rsidR="008F1DB1" w:rsidRPr="006E0CA6" w:rsidRDefault="008F1DB1" w:rsidP="000D284A">
      <w:pPr>
        <w:pStyle w:val="Voetnoottekst"/>
        <w:rPr>
          <w:rFonts w:ascii="Calibri" w:hAnsi="Calibri"/>
        </w:rPr>
      </w:pPr>
      <w:r w:rsidRPr="006E0CA6">
        <w:rPr>
          <w:rStyle w:val="Voetnootmarkering"/>
          <w:rFonts w:ascii="Calibri" w:hAnsi="Calibri"/>
        </w:rPr>
        <w:footnoteRef/>
      </w:r>
      <w:r w:rsidRPr="006E0CA6">
        <w:rPr>
          <w:rFonts w:ascii="Calibri" w:hAnsi="Calibri"/>
        </w:rPr>
        <w:t xml:space="preserve"> </w:t>
      </w:r>
      <w:r w:rsidRPr="006E0CA6">
        <w:rPr>
          <w:rFonts w:ascii="Calibri" w:hAnsi="Calibri"/>
          <w:lang w:val="nl-BE"/>
        </w:rPr>
        <w:t>Berekend als het gemiddelde van de nettoboekwaarde bij het begin van het boekjaar en de nettoboekwaarde op het einde van het boekjaar.</w:t>
      </w:r>
    </w:p>
  </w:footnote>
  <w:footnote w:id="45">
    <w:p w14:paraId="39D197F9" w14:textId="77777777" w:rsidR="008F1DB1" w:rsidRPr="006E0CA6" w:rsidRDefault="008F1DB1" w:rsidP="000D284A">
      <w:pPr>
        <w:pStyle w:val="Voetnoottekst"/>
        <w:rPr>
          <w:rFonts w:ascii="Calibri" w:hAnsi="Calibri"/>
        </w:rPr>
      </w:pPr>
      <w:r w:rsidRPr="006E0CA6">
        <w:rPr>
          <w:rStyle w:val="Voetnootmarkering"/>
          <w:rFonts w:ascii="Calibri" w:hAnsi="Calibri"/>
        </w:rPr>
        <w:footnoteRef/>
      </w:r>
      <w:r w:rsidRPr="006E0CA6">
        <w:rPr>
          <w:rFonts w:ascii="Calibri" w:hAnsi="Calibri"/>
        </w:rPr>
        <w:t xml:space="preserve"> </w:t>
      </w:r>
      <w:r w:rsidRPr="006E0CA6">
        <w:rPr>
          <w:rFonts w:ascii="Calibri" w:hAnsi="Calibri"/>
          <w:lang w:val="nl-BE"/>
        </w:rPr>
        <w:t>Ibid.</w:t>
      </w:r>
    </w:p>
  </w:footnote>
  <w:footnote w:id="46">
    <w:p w14:paraId="38BFFBA2" w14:textId="77777777" w:rsidR="008F1DB1" w:rsidRPr="006E0CA6" w:rsidRDefault="008F1DB1" w:rsidP="000D284A">
      <w:pPr>
        <w:pStyle w:val="Voetnoottekst"/>
        <w:rPr>
          <w:rFonts w:ascii="Calibri" w:hAnsi="Calibri"/>
        </w:rPr>
      </w:pPr>
      <w:r w:rsidRPr="006E0CA6">
        <w:rPr>
          <w:rStyle w:val="Voetnootmarkering"/>
          <w:rFonts w:ascii="Calibri" w:hAnsi="Calibri"/>
        </w:rPr>
        <w:footnoteRef/>
      </w:r>
      <w:r w:rsidRPr="006E0CA6">
        <w:rPr>
          <w:rFonts w:ascii="Calibri" w:hAnsi="Calibri"/>
        </w:rPr>
        <w:t xml:space="preserve"> Artikel 6.4.5 van het Energiebesluit.</w:t>
      </w:r>
    </w:p>
  </w:footnote>
  <w:footnote w:id="47">
    <w:p w14:paraId="382536F7" w14:textId="77777777" w:rsidR="008F1DB1" w:rsidRPr="00E277BA" w:rsidRDefault="008F1DB1" w:rsidP="000D284A">
      <w:pPr>
        <w:pStyle w:val="Voetnoottekst"/>
      </w:pPr>
      <w:r w:rsidRPr="006E0CA6">
        <w:rPr>
          <w:rStyle w:val="Voetnootmarkering"/>
          <w:rFonts w:ascii="Calibri" w:hAnsi="Calibri"/>
        </w:rPr>
        <w:footnoteRef/>
      </w:r>
      <w:r w:rsidRPr="006E0CA6">
        <w:rPr>
          <w:rFonts w:ascii="Calibri" w:hAnsi="Calibri"/>
        </w:rPr>
        <w:t xml:space="preserve"> Exclusief eventuele ontvangsten m.b.t. periodieke distributienettarieven.</w:t>
      </w:r>
    </w:p>
  </w:footnote>
  <w:footnote w:id="48">
    <w:p w14:paraId="216245C5" w14:textId="25E12B34" w:rsidR="008F1DB1" w:rsidRPr="00E277BA" w:rsidRDefault="008F1DB1">
      <w:pPr>
        <w:pStyle w:val="Voetnoottekst"/>
      </w:pPr>
      <w:r w:rsidRPr="00986AD9">
        <w:rPr>
          <w:rStyle w:val="Voetnootmarkering"/>
        </w:rPr>
        <w:footnoteRef/>
      </w:r>
      <w:r w:rsidRPr="00986AD9">
        <w:t xml:space="preserve"> Toegevoegd bij beslissing van de VREG van </w:t>
      </w:r>
      <w:r w:rsidR="00986AD9" w:rsidRPr="00986AD9">
        <w:t xml:space="preserve">28 juni </w:t>
      </w:r>
      <w:r w:rsidRPr="00986AD9">
        <w:t>2016.</w:t>
      </w:r>
    </w:p>
  </w:footnote>
  <w:footnote w:id="49">
    <w:p w14:paraId="4D28B683" w14:textId="5BE086FC" w:rsidR="008F1DB1" w:rsidRPr="00DF525C" w:rsidRDefault="008F1DB1">
      <w:pPr>
        <w:pStyle w:val="Voetnoottekst"/>
        <w:rPr>
          <w:lang w:val="nl-BE"/>
        </w:rPr>
      </w:pPr>
      <w:r w:rsidRPr="00DF525C">
        <w:rPr>
          <w:rStyle w:val="Voetnootmarkering"/>
        </w:rPr>
        <w:footnoteRef/>
      </w:r>
      <w:r w:rsidRPr="00DF525C">
        <w:t xml:space="preserve"> Maximaal AC-vermogen uitgedrukt in </w:t>
      </w:r>
      <w:r w:rsidRPr="00DF525C">
        <w:rPr>
          <w:lang w:val="nl-BE"/>
        </w:rPr>
        <w:t xml:space="preserve">kVA of, indien niet beschikbaar voor een productie-eenheid, uitgedrukt in kW. </w:t>
      </w:r>
    </w:p>
  </w:footnote>
  <w:footnote w:id="50">
    <w:p w14:paraId="7F7D8DFD" w14:textId="31E39621" w:rsidR="008F1DB1" w:rsidRPr="00DF525C" w:rsidRDefault="008F1DB1">
      <w:pPr>
        <w:pStyle w:val="Voetnoottekst"/>
        <w:rPr>
          <w:lang w:val="nl-BE"/>
        </w:rPr>
      </w:pPr>
      <w:r w:rsidRPr="00DF525C">
        <w:rPr>
          <w:rStyle w:val="Voetnootmarkering"/>
        </w:rPr>
        <w:footnoteRef/>
      </w:r>
      <w:r w:rsidRPr="00DF525C">
        <w:t xml:space="preserve"> </w:t>
      </w:r>
      <w:r w:rsidRPr="00DF525C">
        <w:rPr>
          <w:lang w:val="nl-BE"/>
        </w:rPr>
        <w:t>Toegevoegd bij beslissing van de VREG van 5 oktober 2015.</w:t>
      </w:r>
    </w:p>
  </w:footnote>
  <w:footnote w:id="51">
    <w:p w14:paraId="0AA7610D" w14:textId="77777777" w:rsidR="008F1DB1" w:rsidRPr="00DF525C" w:rsidRDefault="008F1DB1" w:rsidP="006F7C04">
      <w:pPr>
        <w:pStyle w:val="Voetnoottekst"/>
        <w:rPr>
          <w:lang w:val="nl-BE"/>
        </w:rPr>
      </w:pPr>
      <w:r w:rsidRPr="00DF525C">
        <w:rPr>
          <w:rStyle w:val="Voetnootmarkering"/>
        </w:rPr>
        <w:footnoteRef/>
      </w:r>
      <w:r w:rsidRPr="00DF525C">
        <w:t xml:space="preserve"> </w:t>
      </w:r>
      <w:r w:rsidRPr="00DF525C">
        <w:rPr>
          <w:lang w:val="nl-BE"/>
        </w:rPr>
        <w:t>Aangezien 2013 de vertrekbasis is, worden de berekende kWh voor 2014 en 2015 verminderd met 0,7% (door aanpassing omzettingscoëfficiënt m</w:t>
      </w:r>
      <w:r w:rsidRPr="00DF525C">
        <w:rPr>
          <w:vertAlign w:val="superscript"/>
          <w:lang w:val="nl-BE"/>
        </w:rPr>
        <w:t>3</w:t>
      </w:r>
      <w:r w:rsidRPr="00DF525C">
        <w:rPr>
          <w:lang w:val="nl-BE"/>
        </w:rPr>
        <w:t xml:space="preserve"> naar kWh)</w:t>
      </w:r>
    </w:p>
  </w:footnote>
  <w:footnote w:id="52">
    <w:p w14:paraId="6CC00782" w14:textId="51287AD8" w:rsidR="008F1DB1" w:rsidRPr="00DF525C" w:rsidRDefault="008F1DB1">
      <w:pPr>
        <w:pStyle w:val="Voetnoottekst"/>
      </w:pPr>
      <w:r w:rsidRPr="00DF525C">
        <w:rPr>
          <w:rStyle w:val="Voetnootmarkering"/>
        </w:rPr>
        <w:footnoteRef/>
      </w:r>
      <w:r w:rsidRPr="00DF525C">
        <w:t xml:space="preserve"> In de veronderstelling dat de VREG de rekenvolumes niet wijzigt gedurende de reguleringsperiode.</w:t>
      </w:r>
    </w:p>
  </w:footnote>
  <w:footnote w:id="53">
    <w:p w14:paraId="1FEFC8C5" w14:textId="22563512" w:rsidR="008F1DB1" w:rsidRPr="00DF525C" w:rsidRDefault="008F1DB1" w:rsidP="007514A4">
      <w:pPr>
        <w:pStyle w:val="Voetnoottekst"/>
      </w:pPr>
      <w:r w:rsidRPr="00DF525C">
        <w:rPr>
          <w:rStyle w:val="Voetnootmarkering"/>
        </w:rPr>
        <w:footnoteRef/>
      </w:r>
      <w:r w:rsidRPr="00DF525C">
        <w:t xml:space="preserve"> Dit in tegenstelling tot de band van +/- 4% maximale correctie van prijzen die werd voorgesteld in het consultatiedocument over voorstel van tariefmethodologie door de VREG van 7 oktober 2013.</w:t>
      </w:r>
    </w:p>
  </w:footnote>
  <w:footnote w:id="54">
    <w:p w14:paraId="70CD3146" w14:textId="71749E55" w:rsidR="008F1DB1" w:rsidRPr="00DF525C" w:rsidRDefault="008F1DB1">
      <w:pPr>
        <w:pStyle w:val="Voetnoottekst"/>
        <w:rPr>
          <w:lang w:val="nl-BE"/>
        </w:rPr>
      </w:pPr>
      <w:r w:rsidRPr="00DF525C">
        <w:rPr>
          <w:rStyle w:val="Voetnootmarkering"/>
        </w:rPr>
        <w:footnoteRef/>
      </w:r>
      <w:r w:rsidRPr="00DF525C">
        <w:t xml:space="preserve"> </w:t>
      </w:r>
      <w:r w:rsidRPr="00DF525C">
        <w:rPr>
          <w:lang w:val="nl-BE"/>
        </w:rPr>
        <w:t>Toegevoegd bij beslissing van de VREG van 4 december 2015.</w:t>
      </w:r>
    </w:p>
  </w:footnote>
  <w:footnote w:id="55">
    <w:p w14:paraId="4CF5E2B1" w14:textId="77777777" w:rsidR="008F1DB1" w:rsidRPr="00DF525C" w:rsidRDefault="008F1DB1">
      <w:pPr>
        <w:pStyle w:val="Voetnoottekst"/>
      </w:pPr>
      <w:r w:rsidRPr="00DF525C">
        <w:rPr>
          <w:rStyle w:val="Voetnootmarkering"/>
        </w:rPr>
        <w:footnoteRef/>
      </w:r>
      <w:r w:rsidRPr="00DF525C">
        <w:t xml:space="preserve"> Energiedecreet, Art. 4.1.6. 1°.</w:t>
      </w:r>
    </w:p>
  </w:footnote>
  <w:footnote w:id="56">
    <w:p w14:paraId="100671D3" w14:textId="57EA1614" w:rsidR="008F1DB1" w:rsidRPr="00DF525C" w:rsidRDefault="008F1DB1">
      <w:pPr>
        <w:pStyle w:val="Voetnoottekst"/>
      </w:pPr>
      <w:r w:rsidRPr="00DF525C">
        <w:rPr>
          <w:rStyle w:val="Voetnootmarkering"/>
        </w:rPr>
        <w:footnoteRef/>
      </w:r>
      <w:r w:rsidRPr="00DF525C">
        <w:t xml:space="preserve"> “De q-factor voor gas is door de ACM de afgelopen jaren telkens op 0 gezet”, Consultatiedocument Stroom, p. 10, beschikbaar op </w:t>
      </w:r>
      <w:hyperlink r:id="rId3" w:history="1">
        <w:r w:rsidRPr="00DF525C">
          <w:rPr>
            <w:rStyle w:val="Hyperlink"/>
          </w:rPr>
          <w:t>https://www.internetconsultatie.nl/stroom</w:t>
        </w:r>
      </w:hyperlink>
      <w:r w:rsidRPr="00DF525C">
        <w:t>.</w:t>
      </w:r>
    </w:p>
  </w:footnote>
  <w:footnote w:id="57">
    <w:p w14:paraId="6249771A" w14:textId="77777777" w:rsidR="008F1DB1" w:rsidRPr="00DF525C" w:rsidRDefault="008F1DB1">
      <w:pPr>
        <w:pStyle w:val="Voetnoottekst"/>
      </w:pPr>
      <w:r w:rsidRPr="00DF525C">
        <w:rPr>
          <w:rStyle w:val="Voetnootmarkering"/>
        </w:rPr>
        <w:footnoteRef/>
      </w:r>
      <w:r w:rsidRPr="00DF525C">
        <w:t xml:space="preserve"> Energiedecreet, Afdeling IV/1. Vergoedingsplichten van de netbeheerder.</w:t>
      </w:r>
    </w:p>
  </w:footnote>
  <w:footnote w:id="58">
    <w:p w14:paraId="2B5A74B4" w14:textId="590CF811" w:rsidR="008F1DB1" w:rsidRPr="00DF525C" w:rsidRDefault="008F1DB1">
      <w:pPr>
        <w:pStyle w:val="Voetnoottekst"/>
        <w:rPr>
          <w:lang w:val="nl-BE"/>
        </w:rPr>
      </w:pPr>
      <w:r w:rsidRPr="00DF525C">
        <w:rPr>
          <w:rStyle w:val="Voetnootmarkering"/>
        </w:rPr>
        <w:footnoteRef/>
      </w:r>
      <w:r w:rsidRPr="00DF525C">
        <w:t xml:space="preserve"> </w:t>
      </w:r>
      <w:r w:rsidRPr="00DF525C">
        <w:rPr>
          <w:lang w:val="nl-BE"/>
        </w:rPr>
        <w:t>Toegevoegd bij beslissing van de VREG van 4 december 2015.</w:t>
      </w:r>
    </w:p>
  </w:footnote>
  <w:footnote w:id="59">
    <w:p w14:paraId="7B4CF4FE" w14:textId="77777777" w:rsidR="008F1DB1" w:rsidRPr="00DF525C" w:rsidRDefault="008F1DB1" w:rsidP="00DE2FE8">
      <w:pPr>
        <w:pStyle w:val="Voetnoottekst"/>
        <w:rPr>
          <w:lang w:val="nl-BE"/>
        </w:rPr>
      </w:pPr>
      <w:r w:rsidRPr="00DF525C">
        <w:rPr>
          <w:rStyle w:val="Voetnootmarkering"/>
        </w:rPr>
        <w:footnoteRef/>
      </w:r>
      <w:r w:rsidRPr="00DF525C">
        <w:t xml:space="preserve"> </w:t>
      </w:r>
      <w:r w:rsidRPr="00DF525C">
        <w:rPr>
          <w:lang w:val="nl-BE"/>
        </w:rPr>
        <w:t xml:space="preserve">Overeenkomstig Beslissing van de Vlaamse Regulator van de Elektriciteits- en Gasmarkt van 5 juli 2013 met betrekking tot wijziging van de beslissing van de VREG van 5 september 2002 (BESL-2002-14) door uitbreiding van de bevoegdheid van Intergem, Gaselwest, Imewo, Iveka, Sibelgas en Iverlek tot het beheer van het elektriciteitsdistributienet met een spanning tot en met 36 kilovolt (beslissing BESL-2013-10). </w:t>
      </w:r>
    </w:p>
  </w:footnote>
  <w:footnote w:id="60">
    <w:p w14:paraId="525FB42D" w14:textId="77777777" w:rsidR="008F1DB1" w:rsidRPr="00DF525C" w:rsidRDefault="008F1DB1" w:rsidP="00DE2FE8">
      <w:pPr>
        <w:pStyle w:val="Voetnoottekst"/>
      </w:pPr>
      <w:r w:rsidRPr="00DF525C">
        <w:rPr>
          <w:rStyle w:val="Voetnootmarkering"/>
        </w:rPr>
        <w:footnoteRef/>
      </w:r>
      <w:r w:rsidRPr="00DF525C">
        <w:t xml:space="preserve"> Inclusief slimme meters.</w:t>
      </w:r>
    </w:p>
  </w:footnote>
  <w:footnote w:id="61">
    <w:p w14:paraId="5F982050" w14:textId="3BB12794" w:rsidR="008F1DB1" w:rsidRPr="00DF525C" w:rsidRDefault="008F1DB1">
      <w:pPr>
        <w:pStyle w:val="Voetnoottekst"/>
      </w:pPr>
      <w:r w:rsidRPr="00DF525C">
        <w:rPr>
          <w:rStyle w:val="Voetnootmarkering"/>
        </w:rPr>
        <w:footnoteRef/>
      </w:r>
      <w:r w:rsidRPr="00DF525C">
        <w:t xml:space="preserve"> Idem voor klantengroep doorvoer tussen netbeheerders, indien van toepassing.</w:t>
      </w:r>
    </w:p>
  </w:footnote>
  <w:footnote w:id="62">
    <w:p w14:paraId="376B1D47" w14:textId="77777777" w:rsidR="008F1DB1" w:rsidRPr="00DF525C" w:rsidRDefault="008F1DB1">
      <w:pPr>
        <w:pStyle w:val="Voetnoottekst"/>
      </w:pPr>
      <w:r w:rsidRPr="00DF525C">
        <w:rPr>
          <w:rStyle w:val="Voetnootmarkering"/>
        </w:rPr>
        <w:footnoteRef/>
      </w:r>
      <w:r w:rsidRPr="00DF525C">
        <w:t xml:space="preserve"> Het onderschreven vermogen wordt bepaald op basis van een maximaal per kwartier gemeten vermogen zoals afgenomen gedurende de voorbije 12 maanden, inbegrepen de maand van facturatie.</w:t>
      </w:r>
    </w:p>
  </w:footnote>
  <w:footnote w:id="63">
    <w:p w14:paraId="52C690C1" w14:textId="5EC030E8" w:rsidR="008F1DB1" w:rsidRPr="00DF525C" w:rsidRDefault="008F1DB1" w:rsidP="00A34CF5">
      <w:pPr>
        <w:pStyle w:val="Voetnoottekst"/>
      </w:pPr>
      <w:r w:rsidRPr="00DF525C">
        <w:rPr>
          <w:rStyle w:val="Voetnootmarkering"/>
        </w:rPr>
        <w:footnoteRef/>
      </w:r>
      <w:r w:rsidRPr="00DF525C">
        <w:t xml:space="preserve"> De huidige aanvullende bepaling “, behalve wanneer deze productie-eenheden aangesloten zijn op infrastructuurdelen waarvoor het belang van dit type eenheden aanzienlijke bijkomende kosten genereert” werd weggelaten wegens onduidelijk waardoor het niet werd toegepast.</w:t>
      </w:r>
    </w:p>
  </w:footnote>
  <w:footnote w:id="64">
    <w:p w14:paraId="6CC06FA7" w14:textId="2C5B46A7" w:rsidR="008F1DB1" w:rsidRPr="00DF525C" w:rsidRDefault="008F1DB1">
      <w:pPr>
        <w:pStyle w:val="Voetnoottekst"/>
      </w:pPr>
      <w:r w:rsidRPr="00DF525C">
        <w:rPr>
          <w:rStyle w:val="Voetnootmarkering"/>
        </w:rPr>
        <w:footnoteRef/>
      </w:r>
      <w:r w:rsidRPr="00DF525C">
        <w:t xml:space="preserve"> De slimme meters worden beschouwd als jaaropgenomen meters (tarief LS zonder piekmeting).</w:t>
      </w:r>
    </w:p>
  </w:footnote>
  <w:footnote w:id="65">
    <w:p w14:paraId="135596BC" w14:textId="16D5D472" w:rsidR="008F1DB1" w:rsidRPr="00DF525C" w:rsidRDefault="008F1DB1">
      <w:pPr>
        <w:pStyle w:val="Voetnoottekst"/>
        <w:rPr>
          <w:lang w:val="nl-BE"/>
        </w:rPr>
      </w:pPr>
      <w:r w:rsidRPr="00DF525C">
        <w:rPr>
          <w:rStyle w:val="Voetnootmarkering"/>
        </w:rPr>
        <w:footnoteRef/>
      </w:r>
      <w:r w:rsidRPr="00DF525C">
        <w:t xml:space="preserve"> Eventueel in de toekomst uitgebreid volgens Energiedecreet titel XIV; zie ook par. 5.4 pt.2. </w:t>
      </w:r>
    </w:p>
  </w:footnote>
  <w:footnote w:id="66">
    <w:p w14:paraId="6DD71E3F" w14:textId="70C626FD" w:rsidR="008F1DB1" w:rsidRPr="00DF525C" w:rsidRDefault="008F1DB1">
      <w:pPr>
        <w:pStyle w:val="Voetnoottekst"/>
        <w:rPr>
          <w:lang w:val="nl-BE"/>
        </w:rPr>
      </w:pPr>
      <w:r w:rsidRPr="00DF525C">
        <w:rPr>
          <w:rStyle w:val="Voetnootmarkering"/>
        </w:rPr>
        <w:footnoteRef/>
      </w:r>
      <w:r w:rsidRPr="00DF525C">
        <w:t xml:space="preserve"> </w:t>
      </w:r>
      <w:r w:rsidRPr="00DF525C">
        <w:rPr>
          <w:lang w:val="nl-BE"/>
        </w:rPr>
        <w:t>Toegevoegd bij beslissing van de VREG van 5 oktober 2015.</w:t>
      </w:r>
    </w:p>
  </w:footnote>
  <w:footnote w:id="67">
    <w:p w14:paraId="3347C634" w14:textId="5A847E84" w:rsidR="008F1DB1" w:rsidRPr="00DF525C" w:rsidRDefault="008F1DB1">
      <w:pPr>
        <w:pStyle w:val="Voetnoottekst"/>
        <w:rPr>
          <w:lang w:val="nl-BE"/>
        </w:rPr>
      </w:pPr>
      <w:r w:rsidRPr="00DF525C">
        <w:rPr>
          <w:rStyle w:val="Voetnootmarkering"/>
        </w:rPr>
        <w:footnoteRef/>
      </w:r>
      <w:r w:rsidRPr="00DF525C">
        <w:t xml:space="preserve"> Indien het maximaal AC-vermogen niet gekend is in kVA dient het maximaal AC-vermogen uitgedrukt in kW te worden gehanteerd.</w:t>
      </w:r>
    </w:p>
  </w:footnote>
  <w:footnote w:id="68">
    <w:p w14:paraId="50F1EFC3" w14:textId="47D88B72" w:rsidR="008F1DB1" w:rsidRPr="00DF525C" w:rsidRDefault="008F1DB1">
      <w:pPr>
        <w:pStyle w:val="Voetnoottekst"/>
        <w:rPr>
          <w:lang w:val="nl-BE"/>
        </w:rPr>
      </w:pPr>
      <w:r w:rsidRPr="00DF525C">
        <w:rPr>
          <w:rStyle w:val="Voetnootmarkering"/>
        </w:rPr>
        <w:footnoteRef/>
      </w:r>
      <w:r w:rsidRPr="00DF525C">
        <w:t xml:space="preserve"> Toegevoegd bij beslissing van de VREG van 5 oktober 2015.</w:t>
      </w:r>
    </w:p>
  </w:footnote>
  <w:footnote w:id="69">
    <w:p w14:paraId="14B459B1" w14:textId="38D856DA" w:rsidR="008F1DB1" w:rsidRPr="00DF525C" w:rsidRDefault="008F1DB1">
      <w:pPr>
        <w:pStyle w:val="Voetnoottekst"/>
        <w:rPr>
          <w:lang w:val="nl-BE"/>
        </w:rPr>
      </w:pPr>
      <w:r w:rsidRPr="00DF525C">
        <w:rPr>
          <w:rStyle w:val="Voetnootmarkering"/>
        </w:rPr>
        <w:footnoteRef/>
      </w:r>
      <w:r w:rsidRPr="00DF525C">
        <w:t xml:space="preserve"> </w:t>
      </w:r>
      <w:r w:rsidRPr="00DF525C">
        <w:rPr>
          <w:lang w:val="nl-BE"/>
        </w:rPr>
        <w:t>Momenteel gelijk aan 0%.</w:t>
      </w:r>
    </w:p>
  </w:footnote>
  <w:footnote w:id="70">
    <w:p w14:paraId="508ED6C3" w14:textId="6AE016A0" w:rsidR="008F1DB1" w:rsidRPr="00DF525C" w:rsidRDefault="008F1DB1">
      <w:pPr>
        <w:pStyle w:val="Voetnoottekst"/>
        <w:rPr>
          <w:lang w:val="nl-BE"/>
        </w:rPr>
      </w:pPr>
      <w:r w:rsidRPr="00DF525C">
        <w:rPr>
          <w:rStyle w:val="Voetnootmarkering"/>
        </w:rPr>
        <w:footnoteRef/>
      </w:r>
      <w:r w:rsidRPr="00DF525C">
        <w:t xml:space="preserve"> Zie ook par. 10.3 in bijlage 2.</w:t>
      </w:r>
    </w:p>
  </w:footnote>
  <w:footnote w:id="71">
    <w:p w14:paraId="4EB991DD" w14:textId="2949B08D" w:rsidR="008F1DB1" w:rsidRPr="00DF525C" w:rsidRDefault="008F1DB1">
      <w:pPr>
        <w:pStyle w:val="Voetnoottekst"/>
        <w:rPr>
          <w:lang w:val="nl-BE"/>
        </w:rPr>
      </w:pPr>
      <w:r w:rsidRPr="00DF525C">
        <w:rPr>
          <w:rStyle w:val="Voetnootmarkering"/>
        </w:rPr>
        <w:footnoteRef/>
      </w:r>
      <w:r w:rsidRPr="00DF525C">
        <w:t xml:space="preserve"> Toegevoegd bij beslissing van de VREG van 5 oktober 2015.</w:t>
      </w:r>
    </w:p>
  </w:footnote>
  <w:footnote w:id="72">
    <w:p w14:paraId="77C93F8E" w14:textId="77777777" w:rsidR="008F1DB1" w:rsidRPr="00DF525C" w:rsidRDefault="008F1DB1" w:rsidP="00704FCC">
      <w:pPr>
        <w:pStyle w:val="Voetnoottekst"/>
      </w:pPr>
      <w:r w:rsidRPr="00DF525C">
        <w:rPr>
          <w:rStyle w:val="Voetnootmarkering"/>
        </w:rPr>
        <w:footnoteRef/>
      </w:r>
      <w:r w:rsidRPr="00DF525C">
        <w:t xml:space="preserve"> Artikel V.2.4.2 Technisch Reglement Distributie Elektriciteit</w:t>
      </w:r>
    </w:p>
  </w:footnote>
  <w:footnote w:id="73">
    <w:p w14:paraId="5292D5D9" w14:textId="5EBF2C2B" w:rsidR="008F1DB1" w:rsidRPr="00DF525C" w:rsidRDefault="008F1DB1">
      <w:pPr>
        <w:pStyle w:val="Voetnoottekst"/>
        <w:rPr>
          <w:lang w:val="nl-BE"/>
        </w:rPr>
      </w:pPr>
      <w:r w:rsidRPr="00DF525C">
        <w:rPr>
          <w:rStyle w:val="Voetnootmarkering"/>
        </w:rPr>
        <w:footnoteRef/>
      </w:r>
      <w:r w:rsidRPr="00DF525C">
        <w:t xml:space="preserve"> </w:t>
      </w:r>
      <w:r w:rsidRPr="00DF525C">
        <w:rPr>
          <w:lang w:val="nl-BE"/>
        </w:rPr>
        <w:t>Toegevoegd bij beslissing van de VREG van 5 oktober 2015.</w:t>
      </w:r>
    </w:p>
  </w:footnote>
  <w:footnote w:id="74">
    <w:p w14:paraId="1FB3CAF3" w14:textId="15F4771D" w:rsidR="008F1DB1" w:rsidRPr="00DF525C" w:rsidRDefault="008F1DB1">
      <w:pPr>
        <w:pStyle w:val="Voetnoottekst"/>
        <w:rPr>
          <w:lang w:val="nl-BE"/>
        </w:rPr>
      </w:pPr>
      <w:r w:rsidRPr="00DF525C">
        <w:rPr>
          <w:rStyle w:val="Voetnootmarkering"/>
        </w:rPr>
        <w:footnoteRef/>
      </w:r>
      <w:r w:rsidRPr="00DF525C">
        <w:t xml:space="preserve"> Indien het maximaal AC-vermogen niet gekend is in kVA dient het maximaal AC-vermogen uitgedrukt in kW te worden gehanteerd.</w:t>
      </w:r>
    </w:p>
  </w:footnote>
  <w:footnote w:id="75">
    <w:p w14:paraId="716B78A0" w14:textId="0ECC4BFC" w:rsidR="008F1DB1" w:rsidRPr="00DF525C" w:rsidRDefault="008F1DB1">
      <w:pPr>
        <w:pStyle w:val="Voetnoottekst"/>
        <w:rPr>
          <w:lang w:val="nl-BE"/>
        </w:rPr>
      </w:pPr>
      <w:r w:rsidRPr="00DF525C">
        <w:rPr>
          <w:rStyle w:val="Voetnootmarkering"/>
        </w:rPr>
        <w:footnoteRef/>
      </w:r>
      <w:r w:rsidRPr="00DF525C">
        <w:t xml:space="preserve"> </w:t>
      </w:r>
      <w:r w:rsidRPr="00DF525C">
        <w:rPr>
          <w:lang w:val="nl-BE"/>
        </w:rPr>
        <w:t>Toegevoegd bij beslissing van de VREG van 5 oktober 2015.</w:t>
      </w:r>
    </w:p>
  </w:footnote>
  <w:footnote w:id="76">
    <w:p w14:paraId="341F4570" w14:textId="289986FB" w:rsidR="008F1DB1" w:rsidRPr="00DF525C" w:rsidRDefault="008F1DB1">
      <w:pPr>
        <w:pStyle w:val="Voetnoottekst"/>
      </w:pPr>
      <w:r w:rsidRPr="00DF525C">
        <w:rPr>
          <w:rStyle w:val="Voetnootmarkering"/>
        </w:rPr>
        <w:footnoteRef/>
      </w:r>
      <w:r w:rsidRPr="00DF525C">
        <w:t xml:space="preserve"> De slimme meters worden beschouwd als jaaropgenomen meters (m.a.w. niet-telegelezen).</w:t>
      </w:r>
    </w:p>
  </w:footnote>
  <w:footnote w:id="77">
    <w:p w14:paraId="1FE01E70" w14:textId="77777777" w:rsidR="008F1DB1" w:rsidRPr="00DF525C" w:rsidRDefault="008F1DB1" w:rsidP="00203ABF">
      <w:pPr>
        <w:pStyle w:val="Voetnoottekst"/>
        <w:rPr>
          <w:lang w:val="nl-BE"/>
        </w:rPr>
      </w:pPr>
      <w:r w:rsidRPr="00DF525C">
        <w:rPr>
          <w:rStyle w:val="Voetnootmarkering"/>
        </w:rPr>
        <w:footnoteRef/>
      </w:r>
      <w:r w:rsidRPr="00DF525C">
        <w:t xml:space="preserve"> Eventueel in de toekomst uitgebreid volgens Energiedecreet titel XIV; zie ook par. 5.4 pt.2.</w:t>
      </w:r>
    </w:p>
  </w:footnote>
  <w:footnote w:id="78">
    <w:p w14:paraId="7B56C5F9" w14:textId="0E4A5E84" w:rsidR="008F1DB1" w:rsidRPr="00DF525C" w:rsidRDefault="008F1DB1" w:rsidP="00092BB8">
      <w:pPr>
        <w:pStyle w:val="Voetnoottekst"/>
        <w:rPr>
          <w:lang w:val="nl-BE"/>
        </w:rPr>
      </w:pPr>
      <w:r w:rsidRPr="00DF525C">
        <w:rPr>
          <w:rStyle w:val="Voetnootmarkering"/>
        </w:rPr>
        <w:footnoteRef/>
      </w:r>
      <w:r w:rsidRPr="00DF525C">
        <w:t xml:space="preserve"> </w:t>
      </w:r>
      <w:r w:rsidRPr="00DF525C">
        <w:rPr>
          <w:lang w:val="nl-BE"/>
        </w:rPr>
        <w:t>Voetnoot geschrapt bij beslissing van de VREG van 5 oktober 2015.</w:t>
      </w:r>
    </w:p>
  </w:footnote>
  <w:footnote w:id="79">
    <w:p w14:paraId="4AF5C88F" w14:textId="77777777" w:rsidR="008F1DB1" w:rsidRPr="00DF525C" w:rsidRDefault="008F1DB1" w:rsidP="00092BB8">
      <w:pPr>
        <w:pStyle w:val="Voetnoottekst"/>
        <w:rPr>
          <w:lang w:val="nl-BE"/>
        </w:rPr>
      </w:pPr>
      <w:r w:rsidRPr="00DF525C">
        <w:rPr>
          <w:rStyle w:val="Voetnootmarkering"/>
        </w:rPr>
        <w:footnoteRef/>
      </w:r>
      <w:r w:rsidRPr="00DF525C">
        <w:t xml:space="preserve"> Zie ook par. 10.3 in bijlage 2.</w:t>
      </w:r>
    </w:p>
  </w:footnote>
  <w:footnote w:id="80">
    <w:p w14:paraId="7D1C3724" w14:textId="19280EBC" w:rsidR="008F1DB1" w:rsidRPr="00DF525C" w:rsidRDefault="008F1DB1">
      <w:pPr>
        <w:pStyle w:val="Voetnoottekst"/>
        <w:rPr>
          <w:lang w:val="nl-BE"/>
        </w:rPr>
      </w:pPr>
      <w:r w:rsidRPr="00DF525C">
        <w:rPr>
          <w:rStyle w:val="Voetnootmarkering"/>
        </w:rPr>
        <w:footnoteRef/>
      </w:r>
      <w:r w:rsidRPr="00DF525C">
        <w:t xml:space="preserve"> </w:t>
      </w:r>
      <w:r w:rsidRPr="00DF525C">
        <w:rPr>
          <w:lang w:val="nl-BE"/>
        </w:rPr>
        <w:t>Geschrapt bij beslissing van de VREG van 5 oktober 2015.</w:t>
      </w:r>
    </w:p>
  </w:footnote>
  <w:footnote w:id="81">
    <w:p w14:paraId="5102E64A" w14:textId="40F6C8B8" w:rsidR="008F1DB1" w:rsidRPr="00DF525C" w:rsidRDefault="008F1DB1">
      <w:pPr>
        <w:pStyle w:val="Voetnoottekst"/>
        <w:rPr>
          <w:lang w:val="nl-BE"/>
        </w:rPr>
      </w:pPr>
      <w:r w:rsidRPr="00DF525C">
        <w:rPr>
          <w:rStyle w:val="Voetnootmarkering"/>
        </w:rPr>
        <w:footnoteRef/>
      </w:r>
      <w:r w:rsidRPr="00DF525C">
        <w:t xml:space="preserve"> </w:t>
      </w:r>
      <w:r w:rsidRPr="00DF525C">
        <w:rPr>
          <w:lang w:val="nl-BE"/>
        </w:rPr>
        <w:t>Toegevoegd bij beslissing van de VREG van 5 oktober 2015.</w:t>
      </w:r>
    </w:p>
  </w:footnote>
  <w:footnote w:id="82">
    <w:p w14:paraId="2C94AD7B" w14:textId="41D913C6" w:rsidR="008F1DB1" w:rsidRPr="00DF525C" w:rsidRDefault="008F1DB1">
      <w:pPr>
        <w:pStyle w:val="Voetnoottekst"/>
        <w:rPr>
          <w:lang w:val="nl-BE"/>
        </w:rPr>
      </w:pPr>
      <w:r w:rsidRPr="00DF525C">
        <w:rPr>
          <w:rStyle w:val="Voetnootmarkering"/>
        </w:rPr>
        <w:footnoteRef/>
      </w:r>
      <w:r w:rsidRPr="00DF525C">
        <w:t xml:space="preserve"> </w:t>
      </w:r>
      <w:r w:rsidRPr="00DF525C">
        <w:rPr>
          <w:lang w:val="nl-BE"/>
        </w:rPr>
        <w:t>Toegevoegd bij beslissing van de VREG van 5 oktober 2015.</w:t>
      </w:r>
    </w:p>
  </w:footnote>
  <w:footnote w:id="83">
    <w:p w14:paraId="1708B703" w14:textId="17BAA307" w:rsidR="008F1DB1" w:rsidRPr="00DF525C" w:rsidRDefault="008F1DB1">
      <w:pPr>
        <w:pStyle w:val="Voetnoottekst"/>
        <w:rPr>
          <w:lang w:val="nl-BE"/>
        </w:rPr>
      </w:pPr>
      <w:r w:rsidRPr="00DF525C">
        <w:rPr>
          <w:rStyle w:val="Voetnootmarkering"/>
        </w:rPr>
        <w:footnoteRef/>
      </w:r>
      <w:r w:rsidRPr="00DF525C">
        <w:t xml:space="preserve"> </w:t>
      </w:r>
      <w:r w:rsidRPr="00DF525C">
        <w:rPr>
          <w:lang w:val="nl-BE"/>
        </w:rPr>
        <w:t>Geschrapt bij beslissing van de VREG van 5 oktober 2015.</w:t>
      </w:r>
    </w:p>
  </w:footnote>
  <w:footnote w:id="84">
    <w:p w14:paraId="0633210A" w14:textId="3A6EEE27" w:rsidR="008F1DB1" w:rsidRPr="00DF525C" w:rsidRDefault="008F1DB1">
      <w:pPr>
        <w:pStyle w:val="Voetnoottekst"/>
        <w:rPr>
          <w:lang w:val="nl-BE"/>
        </w:rPr>
      </w:pPr>
      <w:r w:rsidRPr="00DF525C">
        <w:rPr>
          <w:rStyle w:val="Voetnootmarkering"/>
        </w:rPr>
        <w:footnoteRef/>
      </w:r>
      <w:r w:rsidRPr="00DF525C">
        <w:t xml:space="preserve"> </w:t>
      </w:r>
      <w:r w:rsidRPr="00DF525C">
        <w:rPr>
          <w:lang w:val="nl-BE"/>
        </w:rPr>
        <w:t>Toegevoegd bij beslissing van de VREG van 5 oktober 2015.</w:t>
      </w:r>
    </w:p>
  </w:footnote>
  <w:footnote w:id="85">
    <w:p w14:paraId="5B29D592" w14:textId="77432C51" w:rsidR="008F1DB1" w:rsidRPr="00DF525C" w:rsidRDefault="008F1DB1">
      <w:pPr>
        <w:pStyle w:val="Voetnoottekst"/>
      </w:pPr>
      <w:r w:rsidRPr="00DF525C">
        <w:rPr>
          <w:rStyle w:val="Voetnootmarkering"/>
        </w:rPr>
        <w:footnoteRef/>
      </w:r>
      <w:r w:rsidRPr="00DF525C">
        <w:t xml:space="preserve"> </w:t>
      </w:r>
      <w:hyperlink r:id="rId4" w:history="1">
        <w:r w:rsidRPr="00DF525C">
          <w:rPr>
            <w:rStyle w:val="Hyperlink"/>
          </w:rPr>
          <w:t>Art. 28, §1, Koninklijk Besluit van 30 januari 2001 tot uitvoering van het Wetboek van Vennootschappen (hierna K.B. W.Venn.</w:t>
        </w:r>
      </w:hyperlink>
      <w:r w:rsidRPr="00DF525C">
        <w:t>)</w:t>
      </w:r>
    </w:p>
  </w:footnote>
  <w:footnote w:id="86">
    <w:p w14:paraId="50D58763" w14:textId="23EA03C8" w:rsidR="008F1DB1" w:rsidRPr="00DF525C" w:rsidRDefault="008F1DB1">
      <w:pPr>
        <w:pStyle w:val="Voetnoottekst"/>
        <w:rPr>
          <w:lang w:val="en-GB"/>
        </w:rPr>
      </w:pPr>
      <w:r w:rsidRPr="00DF525C">
        <w:rPr>
          <w:rStyle w:val="Voetnootmarkering"/>
        </w:rPr>
        <w:footnoteRef/>
      </w:r>
      <w:r w:rsidRPr="00DF525C">
        <w:rPr>
          <w:lang w:val="en-GB"/>
        </w:rPr>
        <w:t xml:space="preserve"> </w:t>
      </w:r>
      <w:hyperlink r:id="rId5" w:history="1">
        <w:r w:rsidRPr="00DF525C">
          <w:rPr>
            <w:rStyle w:val="Hyperlink"/>
            <w:lang w:val="en-GB"/>
          </w:rPr>
          <w:t>Art. 30, K.B. W.Venn</w:t>
        </w:r>
      </w:hyperlink>
      <w:r w:rsidRPr="00DF525C">
        <w:rPr>
          <w:lang w:val="en-GB"/>
        </w:rPr>
        <w:t>.</w:t>
      </w:r>
    </w:p>
  </w:footnote>
  <w:footnote w:id="87">
    <w:p w14:paraId="0EFD405A" w14:textId="38BF3634" w:rsidR="008F1DB1" w:rsidRPr="00DF525C" w:rsidRDefault="008F1DB1">
      <w:pPr>
        <w:pStyle w:val="Voetnoottekst"/>
        <w:rPr>
          <w:lang w:val="en-GB"/>
        </w:rPr>
      </w:pPr>
      <w:r w:rsidRPr="00DF525C">
        <w:rPr>
          <w:rStyle w:val="Voetnootmarkering"/>
        </w:rPr>
        <w:footnoteRef/>
      </w:r>
      <w:r w:rsidRPr="00DF525C">
        <w:rPr>
          <w:lang w:val="en-GB"/>
        </w:rPr>
        <w:t xml:space="preserve"> </w:t>
      </w:r>
      <w:hyperlink r:id="rId6" w:history="1">
        <w:r w:rsidRPr="00DF525C">
          <w:rPr>
            <w:rStyle w:val="Hyperlink"/>
            <w:lang w:val="en-GB"/>
          </w:rPr>
          <w:t>Art. 32, K.B. W.Venn</w:t>
        </w:r>
      </w:hyperlink>
      <w:r w:rsidRPr="00DF525C">
        <w:rPr>
          <w:lang w:val="en-GB"/>
        </w:rPr>
        <w:t>.</w:t>
      </w:r>
    </w:p>
  </w:footnote>
  <w:footnote w:id="88">
    <w:p w14:paraId="378907EB" w14:textId="43086C06" w:rsidR="008F1DB1" w:rsidRPr="00DF525C" w:rsidRDefault="008F1DB1">
      <w:pPr>
        <w:pStyle w:val="Voetnoottekst"/>
        <w:rPr>
          <w:lang w:val="en-GB"/>
        </w:rPr>
      </w:pPr>
      <w:r w:rsidRPr="00DF525C">
        <w:rPr>
          <w:rStyle w:val="Voetnootmarkering"/>
        </w:rPr>
        <w:footnoteRef/>
      </w:r>
      <w:r w:rsidRPr="00DF525C">
        <w:rPr>
          <w:lang w:val="en-GB"/>
        </w:rPr>
        <w:t xml:space="preserve"> </w:t>
      </w:r>
      <w:hyperlink r:id="rId7" w:history="1">
        <w:r w:rsidRPr="00DF525C">
          <w:rPr>
            <w:rStyle w:val="Hyperlink"/>
            <w:lang w:val="en-GB"/>
          </w:rPr>
          <w:t>Art. 33, K.B. W.Venn.</w:t>
        </w:r>
      </w:hyperlink>
    </w:p>
  </w:footnote>
  <w:footnote w:id="89">
    <w:p w14:paraId="61FD8A29" w14:textId="03760354" w:rsidR="008F1DB1" w:rsidRPr="00DF525C" w:rsidRDefault="008F1DB1">
      <w:pPr>
        <w:pStyle w:val="Voetnoottekst"/>
        <w:rPr>
          <w:lang w:val="en-GB"/>
        </w:rPr>
      </w:pPr>
      <w:r w:rsidRPr="00DF525C">
        <w:rPr>
          <w:rStyle w:val="Voetnootmarkering"/>
        </w:rPr>
        <w:footnoteRef/>
      </w:r>
      <w:r w:rsidRPr="00DF525C">
        <w:rPr>
          <w:lang w:val="en-GB"/>
        </w:rPr>
        <w:t xml:space="preserve"> </w:t>
      </w:r>
      <w:hyperlink r:id="rId8" w:history="1">
        <w:r w:rsidRPr="00DF525C">
          <w:rPr>
            <w:rStyle w:val="Hyperlink"/>
            <w:lang w:val="en-GB"/>
          </w:rPr>
          <w:t>Art. 33, K.B. W.Venn.</w:t>
        </w:r>
      </w:hyperlink>
    </w:p>
  </w:footnote>
  <w:footnote w:id="90">
    <w:p w14:paraId="4765B579" w14:textId="0F6D17FC" w:rsidR="008F1DB1" w:rsidRPr="00DF525C" w:rsidRDefault="008F1DB1">
      <w:pPr>
        <w:pStyle w:val="Voetnoottekst"/>
        <w:rPr>
          <w:lang w:val="en-GB"/>
        </w:rPr>
      </w:pPr>
      <w:r w:rsidRPr="00DF525C">
        <w:rPr>
          <w:rStyle w:val="Voetnootmarkering"/>
        </w:rPr>
        <w:footnoteRef/>
      </w:r>
      <w:r w:rsidRPr="00DF525C">
        <w:rPr>
          <w:lang w:val="en-GB"/>
        </w:rPr>
        <w:t xml:space="preserve"> </w:t>
      </w:r>
      <w:hyperlink r:id="rId9" w:history="1">
        <w:r w:rsidRPr="00DF525C">
          <w:rPr>
            <w:rStyle w:val="Hyperlink"/>
            <w:lang w:val="en-GB"/>
          </w:rPr>
          <w:t>Art. 25, § 2, K.B. W.Venn.</w:t>
        </w:r>
      </w:hyperlink>
    </w:p>
  </w:footnote>
  <w:footnote w:id="91">
    <w:p w14:paraId="183C2643" w14:textId="61179AE1" w:rsidR="008F1DB1" w:rsidRPr="00DF525C" w:rsidRDefault="008F1DB1">
      <w:pPr>
        <w:pStyle w:val="Voetnoottekst"/>
      </w:pPr>
      <w:r w:rsidRPr="00DF525C">
        <w:rPr>
          <w:rStyle w:val="Voetnootmarkering"/>
        </w:rPr>
        <w:footnoteRef/>
      </w:r>
      <w:r w:rsidRPr="00DF525C">
        <w:t xml:space="preserve"> </w:t>
      </w:r>
      <w:hyperlink r:id="rId10" w:history="1">
        <w:r w:rsidRPr="00DF525C">
          <w:rPr>
            <w:rStyle w:val="Hyperlink"/>
          </w:rPr>
          <w:t>Hoofdstuk II, K.B. W. Venn.</w:t>
        </w:r>
      </w:hyperlink>
    </w:p>
  </w:footnote>
  <w:footnote w:id="92">
    <w:p w14:paraId="6037E19F" w14:textId="4917F314" w:rsidR="008F1DB1" w:rsidRPr="00AC3CBA" w:rsidRDefault="008F1DB1">
      <w:pPr>
        <w:pStyle w:val="Voetnoottekst"/>
        <w:rPr>
          <w:lang w:val="nl-BE"/>
        </w:rPr>
      </w:pPr>
      <w:r>
        <w:rPr>
          <w:rStyle w:val="Voetnootmarkering"/>
        </w:rPr>
        <w:footnoteRef/>
      </w:r>
      <w:r>
        <w:t xml:space="preserve"> </w:t>
      </w:r>
      <w:r w:rsidR="00D77B09">
        <w:t>De activawaarde bevat</w:t>
      </w:r>
      <w:r w:rsidRPr="00B76E27">
        <w:t xml:space="preserve"> alle investeringen</w:t>
      </w:r>
      <w:r w:rsidR="00D77B09">
        <w:t xml:space="preserve">, inclusief de aansluiting op het elektriciteitsdistributienet, </w:t>
      </w:r>
      <w:r w:rsidRPr="00B76E27">
        <w:t xml:space="preserve">voor het plaatsen </w:t>
      </w:r>
      <w:r w:rsidR="00D77B09">
        <w:t>van een operationeel</w:t>
      </w:r>
      <w:r w:rsidRPr="00B76E27">
        <w:t xml:space="preserve"> oplaadpunt.</w:t>
      </w:r>
      <w:r w:rsidR="00D77B09">
        <w:t xml:space="preserve"> Hierbij kan bijvoorbeeld een laadpaal één of meerdere oplaadpunten bevatten waarbij de activawaarde van deze laadpaal over deze oplaadpunten dient te worden gespreid.</w:t>
      </w:r>
    </w:p>
  </w:footnote>
  <w:footnote w:id="93">
    <w:p w14:paraId="523E0B4D" w14:textId="3E81092B" w:rsidR="008F1DB1" w:rsidRPr="00BC6649" w:rsidRDefault="008F1DB1">
      <w:pPr>
        <w:pStyle w:val="Voetnoottekst"/>
      </w:pPr>
      <w:r w:rsidRPr="007556C1">
        <w:rPr>
          <w:rStyle w:val="Voetnootmarkering"/>
        </w:rPr>
        <w:footnoteRef/>
      </w:r>
      <w:r w:rsidRPr="007556C1">
        <w:t xml:space="preserve"> Toegevoegd bij beslissing van de VREG van </w:t>
      </w:r>
      <w:r w:rsidR="007556C1" w:rsidRPr="007556C1">
        <w:t xml:space="preserve">28 juni </w:t>
      </w:r>
      <w:r w:rsidRPr="007556C1">
        <w:t>2016.</w:t>
      </w:r>
    </w:p>
  </w:footnote>
  <w:footnote w:id="94">
    <w:p w14:paraId="27852022" w14:textId="77777777" w:rsidR="008F1DB1" w:rsidRPr="00DF525C" w:rsidRDefault="008F1DB1" w:rsidP="00147C94">
      <w:pPr>
        <w:pStyle w:val="Voetnoottekst"/>
      </w:pPr>
      <w:r w:rsidRPr="00DF525C">
        <w:rPr>
          <w:rStyle w:val="Voetnootmarkering"/>
        </w:rPr>
        <w:footnoteRef/>
      </w:r>
      <w:r w:rsidRPr="00DF525C">
        <w:t xml:space="preserve"> In het verleden was er een jaarlijkse indexatie van de waarde van de gereguleerde vaste activa. Deze praktijk werd beëindigd en onder toezicht van de CREG werd nadien een éénmalige herwaarderingsmeerwaarde aan deze activa toegekend.</w:t>
      </w:r>
    </w:p>
  </w:footnote>
  <w:footnote w:id="95">
    <w:p w14:paraId="3A47E0EE" w14:textId="113FA482" w:rsidR="008F1DB1" w:rsidRPr="00E277BA" w:rsidRDefault="008F1DB1">
      <w:pPr>
        <w:pStyle w:val="Voetnoottekst"/>
      </w:pPr>
      <w:r w:rsidRPr="007556C1">
        <w:rPr>
          <w:rStyle w:val="Voetnootmarkering"/>
        </w:rPr>
        <w:footnoteRef/>
      </w:r>
      <w:r w:rsidRPr="007556C1">
        <w:t xml:space="preserve"> Toegevoegd bij beslissing van de VREG van </w:t>
      </w:r>
      <w:r w:rsidR="007556C1" w:rsidRPr="007556C1">
        <w:t xml:space="preserve">28 juni </w:t>
      </w:r>
      <w:r w:rsidRPr="007556C1">
        <w:t>2016.</w:t>
      </w:r>
    </w:p>
  </w:footnote>
  <w:footnote w:id="96">
    <w:p w14:paraId="4124B27B" w14:textId="196A87F7" w:rsidR="008F1DB1" w:rsidRPr="00DF525C" w:rsidRDefault="008F1DB1">
      <w:pPr>
        <w:pStyle w:val="Voetnoottekst"/>
        <w:rPr>
          <w:lang w:val="nl-BE"/>
        </w:rPr>
      </w:pPr>
      <w:r w:rsidRPr="00DF525C">
        <w:rPr>
          <w:rStyle w:val="Voetnootmarkering"/>
        </w:rPr>
        <w:footnoteRef/>
      </w:r>
      <w:r w:rsidRPr="00DF525C">
        <w:t xml:space="preserve"> </w:t>
      </w:r>
      <w:r w:rsidRPr="00DF525C">
        <w:rPr>
          <w:lang w:val="nl-BE"/>
        </w:rPr>
        <w:t>De VREG brengt de distributienetbeheerders onmiddellijk op de hoogte van de publicatie.</w:t>
      </w:r>
    </w:p>
  </w:footnote>
  <w:footnote w:id="97">
    <w:p w14:paraId="794D9D69" w14:textId="5369CA3C" w:rsidR="008F1DB1" w:rsidRPr="00DF525C" w:rsidRDefault="008F1DB1">
      <w:pPr>
        <w:pStyle w:val="Voetnoottekst"/>
        <w:rPr>
          <w:lang w:val="nl-BE"/>
        </w:rPr>
      </w:pPr>
      <w:r w:rsidRPr="00DF525C">
        <w:rPr>
          <w:rStyle w:val="Voetnootmarkering"/>
        </w:rPr>
        <w:footnoteRef/>
      </w:r>
      <w:r w:rsidRPr="00DF525C">
        <w:t xml:space="preserve"> </w:t>
      </w:r>
      <w:r w:rsidRPr="00DF525C">
        <w:rPr>
          <w:lang w:val="nl-BE"/>
        </w:rPr>
        <w:t>Geschrapt bij beslissing van de VREG van 5 oktober 2015.</w:t>
      </w:r>
    </w:p>
  </w:footnote>
  <w:footnote w:id="98">
    <w:p w14:paraId="548F1E7E" w14:textId="685EDA2B" w:rsidR="008F1DB1" w:rsidRPr="00DF525C" w:rsidRDefault="008F1DB1">
      <w:pPr>
        <w:pStyle w:val="Voetnoottekst"/>
        <w:rPr>
          <w:lang w:val="nl-BE"/>
        </w:rPr>
      </w:pPr>
      <w:r w:rsidRPr="00DF525C">
        <w:rPr>
          <w:rStyle w:val="Voetnootmarkering"/>
        </w:rPr>
        <w:footnoteRef/>
      </w:r>
      <w:r w:rsidRPr="00DF525C">
        <w:t xml:space="preserve"> </w:t>
      </w:r>
      <w:r w:rsidRPr="00DF525C">
        <w:rPr>
          <w:lang w:val="nl-BE"/>
        </w:rPr>
        <w:t>Toegevoegd bij beslissing van de VREG van 5 oktober 2015.</w:t>
      </w:r>
    </w:p>
  </w:footnote>
  <w:footnote w:id="99">
    <w:p w14:paraId="1FFE4DF4" w14:textId="77777777" w:rsidR="008F1DB1" w:rsidRPr="00DF525C" w:rsidRDefault="008F1DB1" w:rsidP="009327F0">
      <w:pPr>
        <w:pStyle w:val="Voetnoottekst"/>
        <w:rPr>
          <w:lang w:val="nl-BE"/>
        </w:rPr>
      </w:pPr>
      <w:r w:rsidRPr="00DF525C">
        <w:rPr>
          <w:rStyle w:val="Voetnootmarkering"/>
        </w:rPr>
        <w:footnoteRef/>
      </w:r>
      <w:r w:rsidRPr="00DF525C">
        <w:t xml:space="preserve"> </w:t>
      </w:r>
      <w:r w:rsidRPr="00DF525C">
        <w:rPr>
          <w:lang w:val="nl-BE"/>
        </w:rPr>
        <w:t>Geschrapt bij beslissing van de VREG van 5 oktober 2015.</w:t>
      </w:r>
    </w:p>
  </w:footnote>
  <w:footnote w:id="100">
    <w:p w14:paraId="53420268" w14:textId="77777777" w:rsidR="008F1DB1" w:rsidRPr="00DF525C" w:rsidRDefault="008F1DB1" w:rsidP="009327F0">
      <w:pPr>
        <w:pStyle w:val="Voetnoottekst"/>
        <w:rPr>
          <w:lang w:val="nl-BE"/>
        </w:rPr>
      </w:pPr>
      <w:r w:rsidRPr="00DF525C">
        <w:rPr>
          <w:rStyle w:val="Voetnootmarkering"/>
        </w:rPr>
        <w:footnoteRef/>
      </w:r>
      <w:r w:rsidRPr="00DF525C">
        <w:t xml:space="preserve"> </w:t>
      </w:r>
      <w:r w:rsidRPr="00DF525C">
        <w:rPr>
          <w:lang w:val="nl-BE"/>
        </w:rPr>
        <w:t>Toegevoegd bij beslissing van de VREG van 5 oktober 2015.</w:t>
      </w:r>
    </w:p>
  </w:footnote>
  <w:footnote w:id="101">
    <w:p w14:paraId="311065A8" w14:textId="0EE83F54" w:rsidR="008F1DB1" w:rsidRPr="00DF525C" w:rsidRDefault="008F1DB1">
      <w:pPr>
        <w:pStyle w:val="Voetnoottekst"/>
      </w:pPr>
      <w:r w:rsidRPr="00DF525C">
        <w:rPr>
          <w:rStyle w:val="Voetnootmarkering"/>
        </w:rPr>
        <w:footnoteRef/>
      </w:r>
      <w:r w:rsidRPr="00DF525C">
        <w:t xml:space="preserve"> Voetnoot </w:t>
      </w:r>
      <w:r w:rsidRPr="00DF525C">
        <w:rPr>
          <w:lang w:val="nl-BE"/>
        </w:rPr>
        <w:t>geschrapt bij beslissing van de VREG van 5 oktober 2015.</w:t>
      </w:r>
    </w:p>
  </w:footnote>
  <w:footnote w:id="102">
    <w:p w14:paraId="01F96D74" w14:textId="77777777" w:rsidR="008F1DB1" w:rsidRPr="00DF525C" w:rsidRDefault="008F1DB1" w:rsidP="009B4861">
      <w:pPr>
        <w:pStyle w:val="Voetnoottekst"/>
        <w:rPr>
          <w:lang w:val="nl-BE"/>
        </w:rPr>
      </w:pPr>
      <w:r w:rsidRPr="00DF525C">
        <w:rPr>
          <w:rStyle w:val="Voetnootmarkering"/>
        </w:rPr>
        <w:footnoteRef/>
      </w:r>
      <w:r w:rsidRPr="00DF525C">
        <w:t xml:space="preserve"> </w:t>
      </w:r>
      <w:r w:rsidRPr="00DF525C">
        <w:rPr>
          <w:lang w:val="nl-BE"/>
        </w:rPr>
        <w:t>Geschrapt bij beslissing van de VREG van 5 oktober 2015.</w:t>
      </w:r>
    </w:p>
  </w:footnote>
  <w:footnote w:id="103">
    <w:p w14:paraId="58E8BBCD" w14:textId="77777777" w:rsidR="008F1DB1" w:rsidRPr="00DF525C" w:rsidRDefault="008F1DB1" w:rsidP="009B4861">
      <w:pPr>
        <w:pStyle w:val="Voetnoottekst"/>
        <w:rPr>
          <w:lang w:val="nl-BE"/>
        </w:rPr>
      </w:pPr>
      <w:r w:rsidRPr="00DF525C">
        <w:rPr>
          <w:rStyle w:val="Voetnootmarkering"/>
        </w:rPr>
        <w:footnoteRef/>
      </w:r>
      <w:r w:rsidRPr="00DF525C">
        <w:t xml:space="preserve"> </w:t>
      </w:r>
      <w:r w:rsidRPr="00DF525C">
        <w:rPr>
          <w:lang w:val="nl-BE"/>
        </w:rPr>
        <w:t>Toegevoegd bij beslissing van de VREG van 5 oktober 2015.</w:t>
      </w:r>
    </w:p>
  </w:footnote>
  <w:footnote w:id="104">
    <w:p w14:paraId="0D242E79" w14:textId="77777777" w:rsidR="008F1DB1" w:rsidRPr="00DF525C" w:rsidRDefault="008F1DB1" w:rsidP="009B4861">
      <w:pPr>
        <w:pStyle w:val="Voetnoottekst"/>
        <w:rPr>
          <w:lang w:val="nl-BE"/>
        </w:rPr>
      </w:pPr>
      <w:r w:rsidRPr="00DF525C">
        <w:rPr>
          <w:rStyle w:val="Voetnootmarkering"/>
        </w:rPr>
        <w:footnoteRef/>
      </w:r>
      <w:r w:rsidRPr="00DF525C">
        <w:t xml:space="preserve"> </w:t>
      </w:r>
      <w:r w:rsidRPr="00DF525C">
        <w:rPr>
          <w:lang w:val="nl-BE"/>
        </w:rPr>
        <w:t>Geschrapt bij beslissing van de VREG van 5 oktober 2015.</w:t>
      </w:r>
    </w:p>
  </w:footnote>
  <w:footnote w:id="105">
    <w:p w14:paraId="40178849" w14:textId="77777777" w:rsidR="008F1DB1" w:rsidRPr="00DF525C" w:rsidRDefault="008F1DB1" w:rsidP="009B4861">
      <w:pPr>
        <w:pStyle w:val="Voetnoottekst"/>
        <w:rPr>
          <w:lang w:val="nl-BE"/>
        </w:rPr>
      </w:pPr>
      <w:r w:rsidRPr="00DF525C">
        <w:rPr>
          <w:rStyle w:val="Voetnootmarkering"/>
        </w:rPr>
        <w:footnoteRef/>
      </w:r>
      <w:r w:rsidRPr="00DF525C">
        <w:t xml:space="preserve"> </w:t>
      </w:r>
      <w:r w:rsidRPr="00DF525C">
        <w:rPr>
          <w:lang w:val="nl-BE"/>
        </w:rPr>
        <w:t>Toegevoegd bij beslissing van de VREG van 5 oktober 2015.</w:t>
      </w:r>
    </w:p>
  </w:footnote>
  <w:footnote w:id="106">
    <w:p w14:paraId="3DE9966A" w14:textId="5B97CCA1" w:rsidR="008F1DB1" w:rsidRPr="00DF525C" w:rsidRDefault="008F1DB1">
      <w:pPr>
        <w:pStyle w:val="Voetnoottekst"/>
        <w:rPr>
          <w:lang w:val="nl-BE"/>
        </w:rPr>
      </w:pPr>
      <w:r w:rsidRPr="00DF525C">
        <w:rPr>
          <w:rStyle w:val="Voetnootmarkering"/>
        </w:rPr>
        <w:footnoteRef/>
      </w:r>
      <w:r w:rsidRPr="00DF525C">
        <w:t xml:space="preserve"> </w:t>
      </w:r>
      <w:r w:rsidRPr="00DF525C">
        <w:rPr>
          <w:lang w:val="nl-BE"/>
        </w:rPr>
        <w:t>Toegevoegd bij beslissing van de VREG van 5 oktober 2015.</w:t>
      </w:r>
    </w:p>
  </w:footnote>
  <w:footnote w:id="107">
    <w:p w14:paraId="78977DDD" w14:textId="77777777" w:rsidR="008F1DB1" w:rsidRPr="00DF525C" w:rsidRDefault="008F1DB1" w:rsidP="00856C79">
      <w:pPr>
        <w:pStyle w:val="Voetnoottekst"/>
        <w:rPr>
          <w:lang w:val="nl-BE"/>
        </w:rPr>
      </w:pPr>
      <w:r w:rsidRPr="00DF525C">
        <w:rPr>
          <w:rStyle w:val="Voetnootmarkering"/>
        </w:rPr>
        <w:footnoteRef/>
      </w:r>
      <w:r w:rsidRPr="00DF525C">
        <w:t xml:space="preserve"> </w:t>
      </w:r>
      <w:r w:rsidRPr="00DF525C">
        <w:rPr>
          <w:lang w:val="nl-BE"/>
        </w:rPr>
        <w:t>Geschrapt bij beslissing van de VREG van 5 oktober 2015.</w:t>
      </w:r>
    </w:p>
  </w:footnote>
  <w:footnote w:id="108">
    <w:p w14:paraId="66C48B9B" w14:textId="77777777" w:rsidR="008F1DB1" w:rsidRPr="00DF525C" w:rsidRDefault="008F1DB1" w:rsidP="00856C79">
      <w:pPr>
        <w:pStyle w:val="Voetnoottekst"/>
        <w:rPr>
          <w:lang w:val="nl-BE"/>
        </w:rPr>
      </w:pPr>
      <w:r w:rsidRPr="00DF525C">
        <w:rPr>
          <w:rStyle w:val="Voetnootmarkering"/>
        </w:rPr>
        <w:footnoteRef/>
      </w:r>
      <w:r w:rsidRPr="00DF525C">
        <w:t xml:space="preserve"> </w:t>
      </w:r>
      <w:r w:rsidRPr="00DF525C">
        <w:rPr>
          <w:lang w:val="nl-BE"/>
        </w:rPr>
        <w:t>Toegevoegd bij beslissing van de VREG van 5 oktober 2015.</w:t>
      </w:r>
    </w:p>
  </w:footnote>
  <w:footnote w:id="109">
    <w:p w14:paraId="520CFC79" w14:textId="464817BA" w:rsidR="008F1DB1" w:rsidRPr="00DF525C" w:rsidRDefault="008F1DB1">
      <w:pPr>
        <w:pStyle w:val="Voetnoottekst"/>
        <w:rPr>
          <w:lang w:val="nl-BE"/>
        </w:rPr>
      </w:pPr>
      <w:r w:rsidRPr="00DF525C">
        <w:rPr>
          <w:rStyle w:val="Voetnootmarkering"/>
        </w:rPr>
        <w:footnoteRef/>
      </w:r>
      <w:r w:rsidRPr="00DF525C">
        <w:t xml:space="preserve"> </w:t>
      </w:r>
      <w:r w:rsidRPr="00DF525C">
        <w:rPr>
          <w:lang w:val="nl-BE"/>
        </w:rPr>
        <w:t>Toegevoegd bij beslissing van de VREG van 5 oktober 2015.</w:t>
      </w:r>
    </w:p>
  </w:footnote>
  <w:footnote w:id="110">
    <w:p w14:paraId="43BA0B70" w14:textId="77777777" w:rsidR="008F1DB1" w:rsidRPr="00DF525C" w:rsidRDefault="008F1DB1" w:rsidP="00867610">
      <w:pPr>
        <w:pStyle w:val="Voetnoottekst"/>
        <w:rPr>
          <w:lang w:val="nl-BE"/>
        </w:rPr>
      </w:pPr>
      <w:r w:rsidRPr="00DF525C">
        <w:rPr>
          <w:rStyle w:val="Voetnootmarkering"/>
        </w:rPr>
        <w:footnoteRef/>
      </w:r>
      <w:r w:rsidRPr="00DF525C">
        <w:rPr>
          <w:lang w:val="nl-BE"/>
        </w:rPr>
        <w:t xml:space="preserve">  Art. 13.1.2 §3 van het Energiedecreet stelt dat de marktpartij aan wie een vraag is gericht door de VREG om gegevens en inlichtingen te verstrekken verplicht is om binnen de door de VREG gestelde termijn alle medewerking te verlenen.</w:t>
      </w:r>
    </w:p>
  </w:footnote>
  <w:footnote w:id="111">
    <w:p w14:paraId="5355A379" w14:textId="77777777" w:rsidR="008F1DB1" w:rsidRPr="00DF525C" w:rsidRDefault="008F1DB1" w:rsidP="00867610">
      <w:pPr>
        <w:pStyle w:val="Voetnoottekst"/>
        <w:rPr>
          <w:lang w:val="nl-BE"/>
        </w:rPr>
      </w:pPr>
      <w:r w:rsidRPr="00DF525C">
        <w:rPr>
          <w:rStyle w:val="Voetnootmarkering"/>
        </w:rPr>
        <w:footnoteRef/>
      </w:r>
      <w:r w:rsidRPr="00DF525C">
        <w:t xml:space="preserve"> </w:t>
      </w:r>
      <w:r w:rsidRPr="00DF525C">
        <w:rPr>
          <w:lang w:val="nl-BE"/>
        </w:rPr>
        <w:t>M.a.w. bijvoorbeeld, indien er een probleem zou zijn bij een overgang op 1 juli van voorlopige naar definitieve distributienettarieven, blijven de voorlopige distributienettarieven van juni van kracht tot het einde van het jaar.</w:t>
      </w:r>
    </w:p>
  </w:footnote>
  <w:footnote w:id="112">
    <w:p w14:paraId="6CA73A7D" w14:textId="77777777" w:rsidR="008F1DB1" w:rsidRPr="00DF525C" w:rsidRDefault="008F1DB1" w:rsidP="0042124D">
      <w:pPr>
        <w:pStyle w:val="Voetnoottekst"/>
        <w:rPr>
          <w:lang w:val="nl-BE"/>
        </w:rPr>
      </w:pPr>
      <w:r w:rsidRPr="00DF525C">
        <w:rPr>
          <w:rStyle w:val="Voetnootmarkering"/>
        </w:rPr>
        <w:footnoteRef/>
      </w:r>
      <w:r w:rsidRPr="00DF525C">
        <w:t xml:space="preserve"> </w:t>
      </w:r>
      <w:r w:rsidRPr="00DF525C">
        <w:rPr>
          <w:lang w:val="nl-BE"/>
        </w:rPr>
        <w:t>Geschrapt bij beslissing van de VREG van 5 oktober 2015.</w:t>
      </w:r>
    </w:p>
  </w:footnote>
  <w:footnote w:id="113">
    <w:p w14:paraId="667BBA5B" w14:textId="77777777" w:rsidR="008F1DB1" w:rsidRPr="00DF525C" w:rsidRDefault="008F1DB1" w:rsidP="0042124D">
      <w:pPr>
        <w:pStyle w:val="Voetnoottekst"/>
        <w:rPr>
          <w:lang w:val="nl-BE"/>
        </w:rPr>
      </w:pPr>
      <w:r w:rsidRPr="00DF525C">
        <w:rPr>
          <w:rStyle w:val="Voetnootmarkering"/>
        </w:rPr>
        <w:footnoteRef/>
      </w:r>
      <w:r w:rsidRPr="00DF525C">
        <w:t xml:space="preserve"> </w:t>
      </w:r>
      <w:r w:rsidRPr="00DF525C">
        <w:rPr>
          <w:lang w:val="nl-BE"/>
        </w:rPr>
        <w:t>Toegevoegd bij beslissing van de VREG van 5 oktober 2015.</w:t>
      </w:r>
    </w:p>
  </w:footnote>
  <w:footnote w:id="114">
    <w:p w14:paraId="2298C1EF" w14:textId="77777777" w:rsidR="008F1DB1" w:rsidRPr="00DF525C" w:rsidRDefault="008F1DB1" w:rsidP="006E008E">
      <w:pPr>
        <w:pStyle w:val="Voetnoottekst"/>
        <w:rPr>
          <w:lang w:val="nl-BE"/>
        </w:rPr>
      </w:pPr>
      <w:r w:rsidRPr="00DF525C">
        <w:footnoteRef/>
      </w:r>
      <w:r w:rsidRPr="00DF525C">
        <w:t xml:space="preserve"> Het Wetboek van Vennootschappen onderscheidt drie soorten splitsingen, te weten de splitsing door overneming (art. 673 W. Venn.), de splitsing door oprichting van nieuwe vennootschappen (art. 674 W. Venn.) en de splitsing door combinatie van overneming en oprichting van nieuwe vennootschappen of de gemengde splitsing (art. 675 W. Venn.).</w:t>
      </w:r>
    </w:p>
  </w:footnote>
  <w:footnote w:id="115">
    <w:p w14:paraId="5954B5D4" w14:textId="77777777" w:rsidR="008F1DB1" w:rsidRPr="00DF525C" w:rsidRDefault="008F1DB1" w:rsidP="006E008E">
      <w:pPr>
        <w:pStyle w:val="Voetnoottekst"/>
        <w:rPr>
          <w:lang w:val="nl-BE"/>
        </w:rPr>
      </w:pPr>
      <w:r w:rsidRPr="00DF525C">
        <w:rPr>
          <w:rStyle w:val="Voetnootmarkering"/>
        </w:rPr>
        <w:footnoteRef/>
      </w:r>
      <w:r w:rsidRPr="00DF525C">
        <w:t xml:space="preserve"> Artikel 677 Wetboek van Vennootschappen</w:t>
      </w:r>
    </w:p>
  </w:footnote>
  <w:footnote w:id="116">
    <w:p w14:paraId="21D07536" w14:textId="77777777" w:rsidR="008F1DB1" w:rsidRPr="00DF525C" w:rsidRDefault="008F1DB1" w:rsidP="006E008E">
      <w:pPr>
        <w:pStyle w:val="Voetnoottekst"/>
        <w:rPr>
          <w:lang w:val="nl-BE"/>
        </w:rPr>
      </w:pPr>
      <w:r w:rsidRPr="00DF525C">
        <w:rPr>
          <w:rStyle w:val="Voetnootmarkering"/>
        </w:rPr>
        <w:footnoteRef/>
      </w:r>
      <w:r w:rsidRPr="00DF525C">
        <w:t xml:space="preserve"> </w:t>
      </w:r>
      <w:r w:rsidRPr="00DF525C">
        <w:rPr>
          <w:lang w:val="nl-BE"/>
        </w:rPr>
        <w:t>Art. 728, alinea 2, 9° in het geval van een (partiële) splitsing door overneming; Art. 743, alinea 2, 9° in het geval van een (partiële) splitsing door oprichting nieuwe vennootschappen.</w:t>
      </w:r>
    </w:p>
  </w:footnote>
  <w:footnote w:id="117">
    <w:p w14:paraId="552D615F" w14:textId="77777777" w:rsidR="008F1DB1" w:rsidRPr="00DF525C" w:rsidRDefault="008F1DB1" w:rsidP="006E008E">
      <w:pPr>
        <w:pStyle w:val="Voetnoottekst"/>
        <w:rPr>
          <w:lang w:val="nl-BE"/>
        </w:rPr>
      </w:pPr>
      <w:r w:rsidRPr="00DF525C">
        <w:rPr>
          <w:rStyle w:val="Voetnootmarkering"/>
        </w:rPr>
        <w:footnoteRef/>
      </w:r>
      <w:r w:rsidRPr="00DF525C">
        <w:t xml:space="preserve"> </w:t>
      </w:r>
      <w:r w:rsidRPr="00DF525C">
        <w:rPr>
          <w:lang w:val="nl-BE"/>
        </w:rPr>
        <w:t>Art. 731 in het geval van een (partiële) splitsing door overneming; Art. 746 in het geval van een (partiële) splitsing door oprichting nieuwe vennootschappen.</w:t>
      </w:r>
    </w:p>
  </w:footnote>
  <w:footnote w:id="118">
    <w:p w14:paraId="03593EF1" w14:textId="39F40FE2" w:rsidR="008F1DB1" w:rsidRPr="00DF525C" w:rsidRDefault="008F1DB1">
      <w:pPr>
        <w:pStyle w:val="Voetnoottekst"/>
        <w:rPr>
          <w:lang w:val="nl-BE"/>
        </w:rPr>
      </w:pPr>
      <w:r w:rsidRPr="00DF525C">
        <w:rPr>
          <w:rStyle w:val="Voetnootmarkering"/>
        </w:rPr>
        <w:footnoteRef/>
      </w:r>
      <w:r w:rsidRPr="00DF525C">
        <w:t xml:space="preserve"> </w:t>
      </w:r>
      <w:r w:rsidRPr="00DF525C">
        <w:rPr>
          <w:lang w:val="nl-BE"/>
        </w:rPr>
        <w:t>Toegevoegd bij beslissing van de VREG van 4 december 2015.</w:t>
      </w:r>
    </w:p>
  </w:footnote>
  <w:footnote w:id="119">
    <w:p w14:paraId="56CB5D5E" w14:textId="21448679" w:rsidR="008F1DB1" w:rsidRPr="009A7B37" w:rsidRDefault="008F1DB1">
      <w:pPr>
        <w:pStyle w:val="Voetnoottekst"/>
        <w:rPr>
          <w:lang w:val="nl-BE"/>
        </w:rPr>
      </w:pPr>
      <w:r w:rsidRPr="00DF525C">
        <w:rPr>
          <w:rStyle w:val="Voetnootmarkering"/>
        </w:rPr>
        <w:footnoteRef/>
      </w:r>
      <w:r w:rsidRPr="00DF525C">
        <w:t xml:space="preserve"> </w:t>
      </w:r>
      <w:r w:rsidRPr="00DF525C">
        <w:rPr>
          <w:lang w:val="nl-BE"/>
        </w:rPr>
        <w:t>Toegevoegd bij beslissing van de VREG van 5 oktober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88" w:type="dxa"/>
      <w:tblBorders>
        <w:bottom w:val="single" w:sz="4" w:space="0" w:color="auto"/>
      </w:tblBorders>
      <w:tblLayout w:type="fixed"/>
      <w:tblLook w:val="01E0" w:firstRow="1" w:lastRow="1" w:firstColumn="1" w:lastColumn="1" w:noHBand="0" w:noVBand="0"/>
    </w:tblPr>
    <w:tblGrid>
      <w:gridCol w:w="2268"/>
      <w:gridCol w:w="5070"/>
      <w:gridCol w:w="1950"/>
    </w:tblGrid>
    <w:tr w:rsidR="008F1DB1" w14:paraId="0902AC72" w14:textId="77777777" w:rsidTr="00B224B2">
      <w:trPr>
        <w:trHeight w:val="1135"/>
      </w:trPr>
      <w:tc>
        <w:tcPr>
          <w:tcW w:w="2268" w:type="dxa"/>
          <w:shd w:val="clear" w:color="auto" w:fill="auto"/>
          <w:vAlign w:val="center"/>
        </w:tcPr>
        <w:p w14:paraId="6022C169" w14:textId="77777777" w:rsidR="008F1DB1" w:rsidRPr="00CA2432" w:rsidRDefault="008F1DB1" w:rsidP="00CA2432">
          <w:pPr>
            <w:pStyle w:val="Koptekst"/>
            <w:jc w:val="center"/>
            <w:rPr>
              <w:sz w:val="4"/>
              <w:szCs w:val="4"/>
            </w:rPr>
          </w:pPr>
          <w:r>
            <w:rPr>
              <w:noProof/>
              <w:sz w:val="28"/>
              <w:szCs w:val="28"/>
              <w:lang w:val="nl-BE" w:eastAsia="nl-BE"/>
            </w:rPr>
            <w:drawing>
              <wp:inline distT="0" distB="0" distL="0" distR="0" wp14:anchorId="318E4F77" wp14:editId="3CA12941">
                <wp:extent cx="905933" cy="608674"/>
                <wp:effectExtent l="0" t="0" r="8890" b="127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640" cy="611836"/>
                        </a:xfrm>
                        <a:prstGeom prst="rect">
                          <a:avLst/>
                        </a:prstGeom>
                        <a:noFill/>
                        <a:ln>
                          <a:noFill/>
                        </a:ln>
                      </pic:spPr>
                    </pic:pic>
                  </a:graphicData>
                </a:graphic>
              </wp:inline>
            </w:drawing>
          </w:r>
        </w:p>
      </w:tc>
      <w:tc>
        <w:tcPr>
          <w:tcW w:w="5070" w:type="dxa"/>
          <w:shd w:val="clear" w:color="auto" w:fill="auto"/>
          <w:vAlign w:val="bottom"/>
        </w:tcPr>
        <w:p w14:paraId="0350EB02" w14:textId="77777777" w:rsidR="008F1DB1" w:rsidRDefault="008F1DB1" w:rsidP="007D247E">
          <w:pPr>
            <w:tabs>
              <w:tab w:val="left" w:pos="1247"/>
            </w:tabs>
            <w:jc w:val="left"/>
          </w:pPr>
          <w:r>
            <w:t>Tariefmethodologie reguleringsperiode 2015-2016</w:t>
          </w:r>
        </w:p>
        <w:p w14:paraId="5695DF8C" w14:textId="14079E4F" w:rsidR="008F1DB1" w:rsidRPr="008C36B4" w:rsidRDefault="008F1DB1" w:rsidP="007D247E">
          <w:pPr>
            <w:tabs>
              <w:tab w:val="left" w:pos="1247"/>
            </w:tabs>
            <w:jc w:val="left"/>
          </w:pPr>
        </w:p>
      </w:tc>
      <w:tc>
        <w:tcPr>
          <w:tcW w:w="1950" w:type="dxa"/>
          <w:shd w:val="clear" w:color="auto" w:fill="auto"/>
          <w:vAlign w:val="bottom"/>
        </w:tcPr>
        <w:p w14:paraId="0B4ACEC2" w14:textId="77777777" w:rsidR="008F1DB1" w:rsidRPr="007F26AD" w:rsidRDefault="008F1DB1" w:rsidP="007D247E">
          <w:pPr>
            <w:tabs>
              <w:tab w:val="left" w:pos="1247"/>
            </w:tabs>
            <w:jc w:val="left"/>
          </w:pPr>
          <w:r w:rsidRPr="007F26AD">
            <w:t>30 september 2014</w:t>
          </w:r>
        </w:p>
        <w:p w14:paraId="01327D6F" w14:textId="525468F1" w:rsidR="008F1DB1" w:rsidRPr="007F26AD" w:rsidRDefault="008F1DB1" w:rsidP="007D247E">
          <w:pPr>
            <w:tabs>
              <w:tab w:val="left" w:pos="1247"/>
            </w:tabs>
            <w:jc w:val="left"/>
          </w:pPr>
        </w:p>
      </w:tc>
    </w:tr>
  </w:tbl>
  <w:p w14:paraId="469E4FD5" w14:textId="77777777" w:rsidR="008F1DB1" w:rsidRPr="00834448" w:rsidRDefault="008F1DB1" w:rsidP="00C31DF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BB695C2"/>
    <w:lvl w:ilvl="0">
      <w:start w:val="1"/>
      <w:numFmt w:val="decimal"/>
      <w:pStyle w:val="Lijstnummering5"/>
      <w:lvlText w:val="%1."/>
      <w:lvlJc w:val="left"/>
      <w:pPr>
        <w:tabs>
          <w:tab w:val="num" w:pos="1786"/>
        </w:tabs>
        <w:ind w:left="1786" w:hanging="357"/>
      </w:pPr>
      <w:rPr>
        <w:rFonts w:hint="default"/>
      </w:rPr>
    </w:lvl>
  </w:abstractNum>
  <w:abstractNum w:abstractNumId="1">
    <w:nsid w:val="FFFFFF7D"/>
    <w:multiLevelType w:val="singleLevel"/>
    <w:tmpl w:val="43CC5280"/>
    <w:lvl w:ilvl="0">
      <w:start w:val="1"/>
      <w:numFmt w:val="decimal"/>
      <w:pStyle w:val="Lijstnummering4"/>
      <w:lvlText w:val="%1."/>
      <w:lvlJc w:val="left"/>
      <w:pPr>
        <w:tabs>
          <w:tab w:val="num" w:pos="1429"/>
        </w:tabs>
        <w:ind w:left="1429" w:hanging="357"/>
      </w:pPr>
      <w:rPr>
        <w:rFonts w:hint="default"/>
      </w:rPr>
    </w:lvl>
  </w:abstractNum>
  <w:abstractNum w:abstractNumId="2">
    <w:nsid w:val="FFFFFF7E"/>
    <w:multiLevelType w:val="singleLevel"/>
    <w:tmpl w:val="81BA5544"/>
    <w:lvl w:ilvl="0">
      <w:start w:val="1"/>
      <w:numFmt w:val="decimal"/>
      <w:pStyle w:val="Lijstnummering3"/>
      <w:lvlText w:val="%1."/>
      <w:lvlJc w:val="left"/>
      <w:pPr>
        <w:tabs>
          <w:tab w:val="num" w:pos="1074"/>
        </w:tabs>
        <w:ind w:left="1074" w:hanging="360"/>
      </w:pPr>
      <w:rPr>
        <w:rFonts w:hint="default"/>
      </w:rPr>
    </w:lvl>
  </w:abstractNum>
  <w:abstractNum w:abstractNumId="3">
    <w:nsid w:val="FFFFFF7F"/>
    <w:multiLevelType w:val="singleLevel"/>
    <w:tmpl w:val="575CF4C2"/>
    <w:lvl w:ilvl="0">
      <w:start w:val="1"/>
      <w:numFmt w:val="decimal"/>
      <w:pStyle w:val="Lijstnummering2"/>
      <w:lvlText w:val="%1."/>
      <w:lvlJc w:val="left"/>
      <w:pPr>
        <w:tabs>
          <w:tab w:val="num" w:pos="717"/>
        </w:tabs>
        <w:ind w:left="717" w:hanging="360"/>
      </w:pPr>
      <w:rPr>
        <w:rFonts w:hint="default"/>
      </w:rPr>
    </w:lvl>
  </w:abstractNum>
  <w:abstractNum w:abstractNumId="4">
    <w:nsid w:val="FFFFFF81"/>
    <w:multiLevelType w:val="singleLevel"/>
    <w:tmpl w:val="0E2CFC5E"/>
    <w:lvl w:ilvl="0">
      <w:start w:val="1"/>
      <w:numFmt w:val="bullet"/>
      <w:pStyle w:val="Lijstopsomteken4"/>
      <w:lvlText w:val=""/>
      <w:lvlJc w:val="left"/>
      <w:pPr>
        <w:tabs>
          <w:tab w:val="num" w:pos="1429"/>
        </w:tabs>
        <w:ind w:left="1429" w:hanging="357"/>
      </w:pPr>
      <w:rPr>
        <w:rFonts w:ascii="Symbol" w:hAnsi="Symbol" w:hint="default"/>
        <w:sz w:val="20"/>
        <w:szCs w:val="20"/>
      </w:rPr>
    </w:lvl>
  </w:abstractNum>
  <w:abstractNum w:abstractNumId="5">
    <w:nsid w:val="FFFFFF82"/>
    <w:multiLevelType w:val="singleLevel"/>
    <w:tmpl w:val="2F12393A"/>
    <w:lvl w:ilvl="0">
      <w:start w:val="1"/>
      <w:numFmt w:val="bullet"/>
      <w:pStyle w:val="Lijstopsomteken3"/>
      <w:lvlText w:val=""/>
      <w:lvlJc w:val="left"/>
      <w:pPr>
        <w:tabs>
          <w:tab w:val="num" w:pos="1074"/>
        </w:tabs>
        <w:ind w:left="1074" w:hanging="360"/>
      </w:pPr>
      <w:rPr>
        <w:rFonts w:ascii="Symbol" w:hAnsi="Symbol" w:hint="default"/>
        <w:sz w:val="22"/>
        <w:szCs w:val="22"/>
      </w:rPr>
    </w:lvl>
  </w:abstractNum>
  <w:abstractNum w:abstractNumId="6">
    <w:nsid w:val="FFFFFF83"/>
    <w:multiLevelType w:val="singleLevel"/>
    <w:tmpl w:val="37C25ABC"/>
    <w:lvl w:ilvl="0">
      <w:start w:val="1"/>
      <w:numFmt w:val="bullet"/>
      <w:pStyle w:val="Lijstopsomteken2"/>
      <w:lvlText w:val="o"/>
      <w:lvlJc w:val="left"/>
      <w:pPr>
        <w:tabs>
          <w:tab w:val="num" w:pos="720"/>
        </w:tabs>
        <w:ind w:left="720" w:hanging="360"/>
      </w:pPr>
      <w:rPr>
        <w:rFonts w:ascii="Courier New" w:hAnsi="Courier New" w:hint="default"/>
        <w:sz w:val="22"/>
        <w:szCs w:val="22"/>
      </w:rPr>
    </w:lvl>
  </w:abstractNum>
  <w:abstractNum w:abstractNumId="7">
    <w:nsid w:val="FFFFFF88"/>
    <w:multiLevelType w:val="singleLevel"/>
    <w:tmpl w:val="A1164556"/>
    <w:lvl w:ilvl="0">
      <w:start w:val="1"/>
      <w:numFmt w:val="decimal"/>
      <w:pStyle w:val="Lijstnummering"/>
      <w:lvlText w:val="%1."/>
      <w:lvlJc w:val="left"/>
      <w:pPr>
        <w:tabs>
          <w:tab w:val="num" w:pos="360"/>
        </w:tabs>
        <w:ind w:left="360" w:hanging="360"/>
      </w:pPr>
    </w:lvl>
  </w:abstractNum>
  <w:abstractNum w:abstractNumId="8">
    <w:nsid w:val="FFFFFF89"/>
    <w:multiLevelType w:val="singleLevel"/>
    <w:tmpl w:val="55A02DDC"/>
    <w:lvl w:ilvl="0">
      <w:start w:val="1"/>
      <w:numFmt w:val="bullet"/>
      <w:pStyle w:val="Lijstopsomteken"/>
      <w:lvlText w:val=""/>
      <w:lvlJc w:val="left"/>
      <w:pPr>
        <w:tabs>
          <w:tab w:val="num" w:pos="360"/>
        </w:tabs>
        <w:ind w:left="360" w:hanging="360"/>
      </w:pPr>
      <w:rPr>
        <w:rFonts w:ascii="Symbol" w:hAnsi="Symbol" w:hint="default"/>
        <w:sz w:val="24"/>
        <w:szCs w:val="24"/>
      </w:rPr>
    </w:lvl>
  </w:abstractNum>
  <w:abstractNum w:abstractNumId="9">
    <w:nsid w:val="01BE0DFF"/>
    <w:multiLevelType w:val="multilevel"/>
    <w:tmpl w:val="ECE6C2F4"/>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0">
    <w:nsid w:val="026E7541"/>
    <w:multiLevelType w:val="multilevel"/>
    <w:tmpl w:val="840663A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04817BB6"/>
    <w:multiLevelType w:val="hybridMultilevel"/>
    <w:tmpl w:val="AD9817B2"/>
    <w:lvl w:ilvl="0" w:tplc="5650C958">
      <w:start w:val="10"/>
      <w:numFmt w:val="bullet"/>
      <w:lvlText w:val="-"/>
      <w:lvlJc w:val="left"/>
      <w:pPr>
        <w:ind w:left="720" w:hanging="360"/>
      </w:pPr>
      <w:rPr>
        <w:rFonts w:ascii="Tahoma" w:eastAsia="Times New Roman" w:hAnsi="Tahoma" w:cs="Tahoma"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nsid w:val="0A645F25"/>
    <w:multiLevelType w:val="hybridMultilevel"/>
    <w:tmpl w:val="37DEA5A4"/>
    <w:lvl w:ilvl="0" w:tplc="A27035B2">
      <w:start w:val="8"/>
      <w:numFmt w:val="decimal"/>
      <w:lvlText w:val="%1."/>
      <w:lvlJc w:val="left"/>
      <w:pPr>
        <w:ind w:left="720" w:hanging="360"/>
      </w:pPr>
      <w:rPr>
        <w:rFonts w:hint="default"/>
      </w:rPr>
    </w:lvl>
    <w:lvl w:ilvl="1" w:tplc="0813000F">
      <w:start w:val="1"/>
      <w:numFmt w:val="decimal"/>
      <w:lvlText w:val="%2."/>
      <w:lvlJc w:val="left"/>
      <w:pPr>
        <w:ind w:left="1440" w:hanging="360"/>
      </w:pPr>
      <w:rPr>
        <w:rFonts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nsid w:val="0ADB349B"/>
    <w:multiLevelType w:val="hybridMultilevel"/>
    <w:tmpl w:val="71241494"/>
    <w:lvl w:ilvl="0" w:tplc="0813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nsid w:val="0E4C2D88"/>
    <w:multiLevelType w:val="multilevel"/>
    <w:tmpl w:val="0813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BC14925"/>
    <w:multiLevelType w:val="hybridMultilevel"/>
    <w:tmpl w:val="8476466C"/>
    <w:lvl w:ilvl="0" w:tplc="0813000F">
      <w:start w:val="1"/>
      <w:numFmt w:val="decimal"/>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nsid w:val="2DAF4B40"/>
    <w:multiLevelType w:val="hybridMultilevel"/>
    <w:tmpl w:val="9C96C2B0"/>
    <w:lvl w:ilvl="0" w:tplc="250ECC14">
      <w:numFmt w:val="bullet"/>
      <w:lvlText w:val="-"/>
      <w:lvlJc w:val="left"/>
      <w:pPr>
        <w:ind w:left="720" w:hanging="360"/>
      </w:pPr>
      <w:rPr>
        <w:rFonts w:ascii="Tahoma" w:eastAsia="Times New Roman" w:hAnsi="Tahoma" w:cs="Tahoma"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30283574"/>
    <w:multiLevelType w:val="hybridMultilevel"/>
    <w:tmpl w:val="39A269CC"/>
    <w:lvl w:ilvl="0" w:tplc="0813000F">
      <w:start w:val="1"/>
      <w:numFmt w:val="decimal"/>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nsid w:val="30B66A73"/>
    <w:multiLevelType w:val="multilevel"/>
    <w:tmpl w:val="57E0A2C6"/>
    <w:styleLink w:val="Nummering-meerdereniveaus"/>
    <w:lvl w:ilvl="0">
      <w:start w:val="1"/>
      <w:numFmt w:val="decimal"/>
      <w:lvlText w:val="%1."/>
      <w:lvlJc w:val="left"/>
      <w:pPr>
        <w:tabs>
          <w:tab w:val="num" w:pos="360"/>
        </w:tabs>
        <w:ind w:left="360" w:hanging="360"/>
      </w:pPr>
      <w:rPr>
        <w:rFonts w:ascii="Tahoma" w:hAnsi="Tahoma"/>
      </w:rPr>
    </w:lvl>
    <w:lvl w:ilvl="1">
      <w:start w:val="1"/>
      <w:numFmt w:val="decimal"/>
      <w:lvlText w:val="%1.%2."/>
      <w:lvlJc w:val="left"/>
      <w:pPr>
        <w:tabs>
          <w:tab w:val="num" w:pos="851"/>
        </w:tabs>
        <w:ind w:left="851" w:hanging="491"/>
      </w:pPr>
      <w:rPr>
        <w:rFonts w:hint="default"/>
      </w:rPr>
    </w:lvl>
    <w:lvl w:ilvl="2">
      <w:start w:val="1"/>
      <w:numFmt w:val="decimal"/>
      <w:lvlText w:val="%1.%2.%3."/>
      <w:lvlJc w:val="left"/>
      <w:pPr>
        <w:tabs>
          <w:tab w:val="num" w:pos="1474"/>
        </w:tabs>
        <w:ind w:left="1474" w:hanging="623"/>
      </w:pPr>
      <w:rPr>
        <w:rFonts w:hint="default"/>
      </w:rPr>
    </w:lvl>
    <w:lvl w:ilvl="3">
      <w:start w:val="1"/>
      <w:numFmt w:val="decimal"/>
      <w:lvlText w:val="%1.%2.%3.%4."/>
      <w:lvlJc w:val="left"/>
      <w:pPr>
        <w:tabs>
          <w:tab w:val="num" w:pos="2325"/>
        </w:tabs>
        <w:ind w:left="2325" w:hanging="851"/>
      </w:pPr>
      <w:rPr>
        <w:rFonts w:hint="default"/>
      </w:rPr>
    </w:lvl>
    <w:lvl w:ilvl="4">
      <w:start w:val="1"/>
      <w:numFmt w:val="decimal"/>
      <w:lvlText w:val="%1.%2.%3.%4.%5."/>
      <w:lvlJc w:val="left"/>
      <w:pPr>
        <w:tabs>
          <w:tab w:val="num" w:pos="3345"/>
        </w:tabs>
        <w:ind w:left="3345" w:hanging="1020"/>
      </w:pPr>
      <w:rPr>
        <w:rFonts w:hint="default"/>
      </w:rPr>
    </w:lvl>
    <w:lvl w:ilvl="5">
      <w:start w:val="1"/>
      <w:numFmt w:val="decimal"/>
      <w:lvlText w:val="%1.%2.%3.%4.%5.%6."/>
      <w:lvlJc w:val="left"/>
      <w:pPr>
        <w:tabs>
          <w:tab w:val="num" w:pos="4593"/>
        </w:tabs>
        <w:ind w:left="4593" w:hanging="1248"/>
      </w:pPr>
      <w:rPr>
        <w:rFonts w:hint="default"/>
      </w:rPr>
    </w:lvl>
    <w:lvl w:ilvl="6">
      <w:start w:val="1"/>
      <w:numFmt w:val="decimal"/>
      <w:lvlText w:val="%1.%2.%3.%4.%5.%6.%7."/>
      <w:lvlJc w:val="left"/>
      <w:pPr>
        <w:tabs>
          <w:tab w:val="num" w:pos="6010"/>
        </w:tabs>
        <w:ind w:left="6010" w:hanging="1417"/>
      </w:pPr>
      <w:rPr>
        <w:rFonts w:hint="default"/>
      </w:rPr>
    </w:lvl>
    <w:lvl w:ilvl="7">
      <w:start w:val="1"/>
      <w:numFmt w:val="decimal"/>
      <w:lvlText w:val="%1.%2.%3.%4.%5.%6.%7.%8."/>
      <w:lvlJc w:val="left"/>
      <w:pPr>
        <w:tabs>
          <w:tab w:val="num" w:pos="7569"/>
        </w:tabs>
        <w:ind w:left="7569" w:hanging="1559"/>
      </w:pPr>
      <w:rPr>
        <w:rFonts w:hint="default"/>
      </w:rPr>
    </w:lvl>
    <w:lvl w:ilvl="8">
      <w:start w:val="1"/>
      <w:numFmt w:val="decimal"/>
      <w:lvlText w:val="%1.%2.%3.%4.%5.%6.%7.%8.%9."/>
      <w:lvlJc w:val="left"/>
      <w:pPr>
        <w:tabs>
          <w:tab w:val="num" w:pos="8505"/>
        </w:tabs>
        <w:ind w:left="7569" w:firstLine="0"/>
      </w:pPr>
      <w:rPr>
        <w:rFonts w:hint="default"/>
      </w:rPr>
    </w:lvl>
  </w:abstractNum>
  <w:abstractNum w:abstractNumId="19">
    <w:nsid w:val="325D4749"/>
    <w:multiLevelType w:val="hybridMultilevel"/>
    <w:tmpl w:val="5164BC8C"/>
    <w:lvl w:ilvl="0" w:tplc="08130001">
      <w:start w:val="1"/>
      <w:numFmt w:val="bullet"/>
      <w:lvlText w:val=""/>
      <w:lvlJc w:val="left"/>
      <w:pPr>
        <w:ind w:left="1440" w:hanging="360"/>
      </w:pPr>
      <w:rPr>
        <w:rFonts w:ascii="Symbol" w:hAnsi="Symbol" w:hint="default"/>
      </w:r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20">
    <w:nsid w:val="34915A04"/>
    <w:multiLevelType w:val="hybridMultilevel"/>
    <w:tmpl w:val="2EBE7EF8"/>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nsid w:val="35FD59DB"/>
    <w:multiLevelType w:val="hybridMultilevel"/>
    <w:tmpl w:val="C59ECAC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nsid w:val="3BF9107E"/>
    <w:multiLevelType w:val="multilevel"/>
    <w:tmpl w:val="C92084BC"/>
    <w:styleLink w:val="Nummering-Linksuitgelijnd"/>
    <w:lvl w:ilvl="0">
      <w:start w:val="1"/>
      <w:numFmt w:val="decimal"/>
      <w:lvlText w:val="%1."/>
      <w:lvlJc w:val="left"/>
      <w:pPr>
        <w:tabs>
          <w:tab w:val="num" w:pos="360"/>
        </w:tabs>
        <w:ind w:left="360" w:hanging="360"/>
      </w:pPr>
      <w:rPr>
        <w:rFonts w:ascii="Tahoma" w:hAnsi="Tahoma" w:hint="default"/>
        <w:dstrike w:val="0"/>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5F32D76"/>
    <w:multiLevelType w:val="multilevel"/>
    <w:tmpl w:val="3C9E02F4"/>
    <w:styleLink w:val="OpmaakprofielMetopsommingstekensSymbolsymbool12ptLinks0cm"/>
    <w:lvl w:ilvl="0">
      <w:start w:val="1"/>
      <w:numFmt w:val="bullet"/>
      <w:lvlText w:val=""/>
      <w:lvlJc w:val="left"/>
      <w:pPr>
        <w:tabs>
          <w:tab w:val="num" w:pos="357"/>
        </w:tabs>
        <w:ind w:left="357" w:hanging="35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4AAC7DD5"/>
    <w:multiLevelType w:val="hybridMultilevel"/>
    <w:tmpl w:val="E1A4D0AC"/>
    <w:lvl w:ilvl="0" w:tplc="43F46ACE">
      <w:start w:val="1"/>
      <w:numFmt w:val="bullet"/>
      <w:pStyle w:val="Lijstopsomteken5"/>
      <w:lvlText w:val=""/>
      <w:lvlJc w:val="left"/>
      <w:pPr>
        <w:tabs>
          <w:tab w:val="num" w:pos="1786"/>
        </w:tabs>
        <w:ind w:left="1786" w:hanging="357"/>
      </w:pPr>
      <w:rPr>
        <w:rFonts w:ascii="Wingdings" w:hAnsi="Wingdings" w:hint="default"/>
        <w:sz w:val="28"/>
        <w:szCs w:val="28"/>
      </w:rPr>
    </w:lvl>
    <w:lvl w:ilvl="1" w:tplc="04130003" w:tentative="1">
      <w:start w:val="1"/>
      <w:numFmt w:val="bullet"/>
      <w:lvlText w:val="o"/>
      <w:lvlJc w:val="left"/>
      <w:pPr>
        <w:tabs>
          <w:tab w:val="num" w:pos="2866"/>
        </w:tabs>
        <w:ind w:left="2866" w:hanging="360"/>
      </w:pPr>
      <w:rPr>
        <w:rFonts w:ascii="Courier New" w:hAnsi="Courier New" w:cs="Courier New" w:hint="default"/>
      </w:rPr>
    </w:lvl>
    <w:lvl w:ilvl="2" w:tplc="04130005" w:tentative="1">
      <w:start w:val="1"/>
      <w:numFmt w:val="bullet"/>
      <w:lvlText w:val=""/>
      <w:lvlJc w:val="left"/>
      <w:pPr>
        <w:tabs>
          <w:tab w:val="num" w:pos="3586"/>
        </w:tabs>
        <w:ind w:left="3586" w:hanging="360"/>
      </w:pPr>
      <w:rPr>
        <w:rFonts w:ascii="Wingdings" w:hAnsi="Wingdings" w:hint="default"/>
      </w:rPr>
    </w:lvl>
    <w:lvl w:ilvl="3" w:tplc="04130001" w:tentative="1">
      <w:start w:val="1"/>
      <w:numFmt w:val="bullet"/>
      <w:lvlText w:val=""/>
      <w:lvlJc w:val="left"/>
      <w:pPr>
        <w:tabs>
          <w:tab w:val="num" w:pos="4306"/>
        </w:tabs>
        <w:ind w:left="4306" w:hanging="360"/>
      </w:pPr>
      <w:rPr>
        <w:rFonts w:ascii="Symbol" w:hAnsi="Symbol" w:hint="default"/>
      </w:rPr>
    </w:lvl>
    <w:lvl w:ilvl="4" w:tplc="04130003" w:tentative="1">
      <w:start w:val="1"/>
      <w:numFmt w:val="bullet"/>
      <w:lvlText w:val="o"/>
      <w:lvlJc w:val="left"/>
      <w:pPr>
        <w:tabs>
          <w:tab w:val="num" w:pos="5026"/>
        </w:tabs>
        <w:ind w:left="5026" w:hanging="360"/>
      </w:pPr>
      <w:rPr>
        <w:rFonts w:ascii="Courier New" w:hAnsi="Courier New" w:cs="Courier New" w:hint="default"/>
      </w:rPr>
    </w:lvl>
    <w:lvl w:ilvl="5" w:tplc="04130005" w:tentative="1">
      <w:start w:val="1"/>
      <w:numFmt w:val="bullet"/>
      <w:lvlText w:val=""/>
      <w:lvlJc w:val="left"/>
      <w:pPr>
        <w:tabs>
          <w:tab w:val="num" w:pos="5746"/>
        </w:tabs>
        <w:ind w:left="5746" w:hanging="360"/>
      </w:pPr>
      <w:rPr>
        <w:rFonts w:ascii="Wingdings" w:hAnsi="Wingdings" w:hint="default"/>
      </w:rPr>
    </w:lvl>
    <w:lvl w:ilvl="6" w:tplc="04130001" w:tentative="1">
      <w:start w:val="1"/>
      <w:numFmt w:val="bullet"/>
      <w:lvlText w:val=""/>
      <w:lvlJc w:val="left"/>
      <w:pPr>
        <w:tabs>
          <w:tab w:val="num" w:pos="6466"/>
        </w:tabs>
        <w:ind w:left="6466" w:hanging="360"/>
      </w:pPr>
      <w:rPr>
        <w:rFonts w:ascii="Symbol" w:hAnsi="Symbol" w:hint="default"/>
      </w:rPr>
    </w:lvl>
    <w:lvl w:ilvl="7" w:tplc="04130003" w:tentative="1">
      <w:start w:val="1"/>
      <w:numFmt w:val="bullet"/>
      <w:lvlText w:val="o"/>
      <w:lvlJc w:val="left"/>
      <w:pPr>
        <w:tabs>
          <w:tab w:val="num" w:pos="7186"/>
        </w:tabs>
        <w:ind w:left="7186" w:hanging="360"/>
      </w:pPr>
      <w:rPr>
        <w:rFonts w:ascii="Courier New" w:hAnsi="Courier New" w:cs="Courier New" w:hint="default"/>
      </w:rPr>
    </w:lvl>
    <w:lvl w:ilvl="8" w:tplc="04130005" w:tentative="1">
      <w:start w:val="1"/>
      <w:numFmt w:val="bullet"/>
      <w:lvlText w:val=""/>
      <w:lvlJc w:val="left"/>
      <w:pPr>
        <w:tabs>
          <w:tab w:val="num" w:pos="7906"/>
        </w:tabs>
        <w:ind w:left="7906" w:hanging="360"/>
      </w:pPr>
      <w:rPr>
        <w:rFonts w:ascii="Wingdings" w:hAnsi="Wingdings" w:hint="default"/>
      </w:rPr>
    </w:lvl>
  </w:abstractNum>
  <w:abstractNum w:abstractNumId="25">
    <w:nsid w:val="57D832F2"/>
    <w:multiLevelType w:val="multilevel"/>
    <w:tmpl w:val="324CFBE0"/>
    <w:lvl w:ilvl="0">
      <w:start w:val="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6">
    <w:nsid w:val="596E2A3C"/>
    <w:multiLevelType w:val="hybridMultilevel"/>
    <w:tmpl w:val="A8ECD7A2"/>
    <w:lvl w:ilvl="0" w:tplc="E5B6FB4E">
      <w:numFmt w:val="bullet"/>
      <w:lvlText w:val="-"/>
      <w:lvlJc w:val="left"/>
      <w:pPr>
        <w:ind w:left="720" w:hanging="360"/>
      </w:pPr>
      <w:rPr>
        <w:rFonts w:ascii="Tahoma" w:eastAsia="Times New Roman" w:hAnsi="Tahoma" w:cs="Tahoma" w:hint="default"/>
      </w:rPr>
    </w:lvl>
    <w:lvl w:ilvl="1" w:tplc="08090001">
      <w:start w:val="1"/>
      <w:numFmt w:val="bullet"/>
      <w:lvlText w:val=""/>
      <w:lvlJc w:val="left"/>
      <w:pPr>
        <w:ind w:left="1440" w:hanging="360"/>
      </w:pPr>
      <w:rPr>
        <w:rFonts w:ascii="Symbol" w:hAnsi="Symbol"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nsid w:val="5EE12D8D"/>
    <w:multiLevelType w:val="hybridMultilevel"/>
    <w:tmpl w:val="8B443398"/>
    <w:lvl w:ilvl="0" w:tplc="E5B6FB4E">
      <w:numFmt w:val="bullet"/>
      <w:lvlText w:val="-"/>
      <w:lvlJc w:val="left"/>
      <w:pPr>
        <w:ind w:left="720" w:hanging="360"/>
      </w:pPr>
      <w:rPr>
        <w:rFonts w:ascii="Tahoma" w:eastAsia="Times New Roman" w:hAnsi="Tahoma" w:cs="Tahoma"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nsid w:val="684A3186"/>
    <w:multiLevelType w:val="hybridMultilevel"/>
    <w:tmpl w:val="71241494"/>
    <w:lvl w:ilvl="0" w:tplc="0813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nsid w:val="6AD70F1D"/>
    <w:multiLevelType w:val="multilevel"/>
    <w:tmpl w:val="C86A2FAE"/>
    <w:styleLink w:val="Opsommingstekens-meerdereniveaus"/>
    <w:lvl w:ilvl="0">
      <w:start w:val="1"/>
      <w:numFmt w:val="bullet"/>
      <w:lvlText w:val=""/>
      <w:lvlJc w:val="left"/>
      <w:pPr>
        <w:tabs>
          <w:tab w:val="num" w:pos="357"/>
        </w:tabs>
        <w:ind w:left="357" w:hanging="357"/>
      </w:pPr>
      <w:rPr>
        <w:rFonts w:ascii="Symbol" w:hAnsi="Symbol" w:hint="default"/>
        <w:color w:val="auto"/>
        <w:position w:val="-2"/>
        <w:sz w:val="24"/>
        <w:szCs w:val="24"/>
      </w:rPr>
    </w:lvl>
    <w:lvl w:ilvl="1">
      <w:start w:val="1"/>
      <w:numFmt w:val="bullet"/>
      <w:lvlText w:val="o"/>
      <w:lvlJc w:val="left"/>
      <w:pPr>
        <w:tabs>
          <w:tab w:val="num" w:pos="714"/>
        </w:tabs>
        <w:ind w:left="714" w:hanging="357"/>
      </w:pPr>
      <w:rPr>
        <w:rFonts w:ascii="Courier New" w:hAnsi="Courier New" w:hint="default"/>
      </w:rPr>
    </w:lvl>
    <w:lvl w:ilvl="2">
      <w:start w:val="1"/>
      <w:numFmt w:val="bullet"/>
      <w:lvlText w:val=""/>
      <w:lvlJc w:val="left"/>
      <w:pPr>
        <w:tabs>
          <w:tab w:val="num" w:pos="1072"/>
        </w:tabs>
        <w:ind w:left="1072" w:hanging="358"/>
      </w:pPr>
      <w:rPr>
        <w:rFonts w:ascii="Symbol" w:hAnsi="Symbol"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
      <w:lvlJc w:val="left"/>
      <w:pPr>
        <w:tabs>
          <w:tab w:val="num" w:pos="1786"/>
        </w:tabs>
        <w:ind w:left="1786" w:hanging="357"/>
      </w:pPr>
      <w:rPr>
        <w:rFonts w:ascii="Wingdings" w:hAnsi="Wingdings" w:hint="default"/>
        <w:position w:val="-4"/>
        <w:sz w:val="28"/>
        <w:szCs w:val="28"/>
      </w:rPr>
    </w:lvl>
    <w:lvl w:ilvl="5">
      <w:start w:val="1"/>
      <w:numFmt w:val="bullet"/>
      <w:lvlText w:val=""/>
      <w:lvlJc w:val="left"/>
      <w:pPr>
        <w:tabs>
          <w:tab w:val="num" w:pos="2143"/>
        </w:tabs>
        <w:ind w:left="2143" w:hanging="357"/>
      </w:pPr>
      <w:rPr>
        <w:rFonts w:ascii="Wingdings" w:hAnsi="Wingdings" w:hint="default"/>
        <w:position w:val="-4"/>
        <w:sz w:val="30"/>
        <w:szCs w:val="30"/>
      </w:rPr>
    </w:lvl>
    <w:lvl w:ilvl="6">
      <w:start w:val="1"/>
      <w:numFmt w:val="bullet"/>
      <w:lvlText w:val=""/>
      <w:lvlJc w:val="left"/>
      <w:pPr>
        <w:tabs>
          <w:tab w:val="num" w:pos="2500"/>
        </w:tabs>
        <w:ind w:left="2500" w:hanging="357"/>
      </w:pPr>
      <w:rPr>
        <w:rFonts w:ascii="Symbol" w:hAnsi="Symbol" w:hint="default"/>
        <w:sz w:val="22"/>
      </w:rPr>
    </w:lvl>
    <w:lvl w:ilvl="7">
      <w:start w:val="1"/>
      <w:numFmt w:val="bullet"/>
      <w:lvlText w:val="o"/>
      <w:lvlJc w:val="left"/>
      <w:pPr>
        <w:tabs>
          <w:tab w:val="num" w:pos="2858"/>
        </w:tabs>
        <w:ind w:left="2858" w:hanging="358"/>
      </w:pPr>
      <w:rPr>
        <w:rFonts w:ascii="Courier New" w:hAnsi="Courier New" w:hint="default"/>
        <w:sz w:val="18"/>
        <w:szCs w:val="18"/>
      </w:rPr>
    </w:lvl>
    <w:lvl w:ilvl="8">
      <w:start w:val="1"/>
      <w:numFmt w:val="bullet"/>
      <w:lvlText w:val=""/>
      <w:lvlJc w:val="left"/>
      <w:pPr>
        <w:tabs>
          <w:tab w:val="num" w:pos="3215"/>
        </w:tabs>
        <w:ind w:left="3215" w:hanging="357"/>
      </w:pPr>
      <w:rPr>
        <w:rFonts w:ascii="Symbol" w:hAnsi="Symbol" w:hint="default"/>
        <w:sz w:val="20"/>
      </w:rPr>
    </w:lvl>
  </w:abstractNum>
  <w:abstractNum w:abstractNumId="30">
    <w:nsid w:val="6BF03776"/>
    <w:multiLevelType w:val="hybridMultilevel"/>
    <w:tmpl w:val="71241494"/>
    <w:lvl w:ilvl="0" w:tplc="0813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nsid w:val="6F293577"/>
    <w:multiLevelType w:val="hybridMultilevel"/>
    <w:tmpl w:val="37DEA5A4"/>
    <w:lvl w:ilvl="0" w:tplc="A27035B2">
      <w:start w:val="8"/>
      <w:numFmt w:val="decimal"/>
      <w:lvlText w:val="%1."/>
      <w:lvlJc w:val="left"/>
      <w:pPr>
        <w:ind w:left="720" w:hanging="360"/>
      </w:pPr>
      <w:rPr>
        <w:rFonts w:hint="default"/>
      </w:rPr>
    </w:lvl>
    <w:lvl w:ilvl="1" w:tplc="0813000F">
      <w:start w:val="1"/>
      <w:numFmt w:val="decimal"/>
      <w:lvlText w:val="%2."/>
      <w:lvlJc w:val="left"/>
      <w:pPr>
        <w:ind w:left="1440" w:hanging="360"/>
      </w:pPr>
      <w:rPr>
        <w:rFonts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nsid w:val="7BE25FAD"/>
    <w:multiLevelType w:val="hybridMultilevel"/>
    <w:tmpl w:val="7DC2037C"/>
    <w:lvl w:ilvl="0" w:tplc="EABA9974">
      <w:start w:val="6"/>
      <w:numFmt w:val="bullet"/>
      <w:lvlText w:val="-"/>
      <w:lvlJc w:val="left"/>
      <w:pPr>
        <w:ind w:left="720" w:hanging="360"/>
      </w:pPr>
      <w:rPr>
        <w:rFonts w:ascii="Tahoma" w:eastAsia="Times New Roman" w:hAnsi="Tahoma" w:cs="Tahom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4"/>
  </w:num>
  <w:num w:numId="5">
    <w:abstractNumId w:val="24"/>
  </w:num>
  <w:num w:numId="6">
    <w:abstractNumId w:val="7"/>
  </w:num>
  <w:num w:numId="7">
    <w:abstractNumId w:val="3"/>
  </w:num>
  <w:num w:numId="8">
    <w:abstractNumId w:val="2"/>
  </w:num>
  <w:num w:numId="9">
    <w:abstractNumId w:val="1"/>
  </w:num>
  <w:num w:numId="10">
    <w:abstractNumId w:val="0"/>
  </w:num>
  <w:num w:numId="11">
    <w:abstractNumId w:val="18"/>
  </w:num>
  <w:num w:numId="12">
    <w:abstractNumId w:val="22"/>
  </w:num>
  <w:num w:numId="13">
    <w:abstractNumId w:val="23"/>
  </w:num>
  <w:num w:numId="14">
    <w:abstractNumId w:val="29"/>
  </w:num>
  <w:num w:numId="15">
    <w:abstractNumId w:val="31"/>
  </w:num>
  <w:num w:numId="16">
    <w:abstractNumId w:val="10"/>
  </w:num>
  <w:num w:numId="17">
    <w:abstractNumId w:val="17"/>
  </w:num>
  <w:num w:numId="18">
    <w:abstractNumId w:val="14"/>
  </w:num>
  <w:num w:numId="19">
    <w:abstractNumId w:val="27"/>
  </w:num>
  <w:num w:numId="20">
    <w:abstractNumId w:val="26"/>
  </w:num>
  <w:num w:numId="21">
    <w:abstractNumId w:val="15"/>
  </w:num>
  <w:num w:numId="22">
    <w:abstractNumId w:val="21"/>
  </w:num>
  <w:num w:numId="23">
    <w:abstractNumId w:val="19"/>
  </w:num>
  <w:num w:numId="24">
    <w:abstractNumId w:val="25"/>
  </w:num>
  <w:num w:numId="25">
    <w:abstractNumId w:val="11"/>
  </w:num>
  <w:num w:numId="26">
    <w:abstractNumId w:val="16"/>
  </w:num>
  <w:num w:numId="27">
    <w:abstractNumId w:val="28"/>
  </w:num>
  <w:num w:numId="28">
    <w:abstractNumId w:val="13"/>
  </w:num>
  <w:num w:numId="29">
    <w:abstractNumId w:val="30"/>
  </w:num>
  <w:num w:numId="30">
    <w:abstractNumId w:val="12"/>
  </w:num>
  <w:num w:numId="31">
    <w:abstractNumId w:val="20"/>
  </w:num>
  <w:num w:numId="32">
    <w:abstractNumId w:val="32"/>
  </w:num>
  <w:num w:numId="33">
    <w:abstractNumId w:val="10"/>
  </w:num>
  <w:num w:numId="34">
    <w:abstractNumId w:val="9"/>
  </w:num>
  <w:num w:numId="35">
    <w:abstractNumId w:val="9"/>
  </w:num>
  <w:num w:numId="36">
    <w:abstractNumId w:val="9"/>
  </w:num>
  <w:num w:numId="37">
    <w:abstractNumId w:val="9"/>
  </w:num>
  <w:num w:numId="38">
    <w:abstractNumId w:val="9"/>
  </w:num>
  <w:num w:numId="39">
    <w:abstractNumId w:val="9"/>
  </w:num>
  <w:num w:numId="40">
    <w:abstractNumId w:val="9"/>
  </w:num>
  <w:num w:numId="41">
    <w:abstractNumId w:val="9"/>
  </w:num>
  <w:num w:numId="42">
    <w:abstractNumId w:val="9"/>
  </w:num>
  <w:num w:numId="43">
    <w:abstractNumId w:val="9"/>
  </w:num>
  <w:num w:numId="44">
    <w:abstractNumId w:val="9"/>
  </w:num>
  <w:numIdMacAtCleanup w:val="3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M">
    <w15:presenceInfo w15:providerId="None" w15:userId="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EBD"/>
    <w:rsid w:val="0000031D"/>
    <w:rsid w:val="00000470"/>
    <w:rsid w:val="000004B7"/>
    <w:rsid w:val="000009D5"/>
    <w:rsid w:val="00000D12"/>
    <w:rsid w:val="0000126B"/>
    <w:rsid w:val="000013A6"/>
    <w:rsid w:val="000021C8"/>
    <w:rsid w:val="00002507"/>
    <w:rsid w:val="00002AA7"/>
    <w:rsid w:val="00002B54"/>
    <w:rsid w:val="00002D63"/>
    <w:rsid w:val="00003783"/>
    <w:rsid w:val="0000383F"/>
    <w:rsid w:val="00003B4A"/>
    <w:rsid w:val="00003EA3"/>
    <w:rsid w:val="0000405A"/>
    <w:rsid w:val="00004079"/>
    <w:rsid w:val="00004ED4"/>
    <w:rsid w:val="0000507A"/>
    <w:rsid w:val="00005204"/>
    <w:rsid w:val="00006832"/>
    <w:rsid w:val="00006A51"/>
    <w:rsid w:val="00006A63"/>
    <w:rsid w:val="00007B06"/>
    <w:rsid w:val="00007B52"/>
    <w:rsid w:val="00007DA0"/>
    <w:rsid w:val="00010B14"/>
    <w:rsid w:val="00010C02"/>
    <w:rsid w:val="00011004"/>
    <w:rsid w:val="000114D0"/>
    <w:rsid w:val="000117D1"/>
    <w:rsid w:val="000118E7"/>
    <w:rsid w:val="00011998"/>
    <w:rsid w:val="00011C2F"/>
    <w:rsid w:val="00011E54"/>
    <w:rsid w:val="00012D0B"/>
    <w:rsid w:val="000134B7"/>
    <w:rsid w:val="00013535"/>
    <w:rsid w:val="00013B35"/>
    <w:rsid w:val="00013FCD"/>
    <w:rsid w:val="00014184"/>
    <w:rsid w:val="00014449"/>
    <w:rsid w:val="00014A1D"/>
    <w:rsid w:val="00014ACA"/>
    <w:rsid w:val="000156B0"/>
    <w:rsid w:val="00015C0A"/>
    <w:rsid w:val="00015D79"/>
    <w:rsid w:val="00016221"/>
    <w:rsid w:val="00016D6B"/>
    <w:rsid w:val="00016E2A"/>
    <w:rsid w:val="000170D2"/>
    <w:rsid w:val="00017184"/>
    <w:rsid w:val="00017905"/>
    <w:rsid w:val="00017C46"/>
    <w:rsid w:val="00020020"/>
    <w:rsid w:val="00020F86"/>
    <w:rsid w:val="0002140D"/>
    <w:rsid w:val="000217A9"/>
    <w:rsid w:val="0002207E"/>
    <w:rsid w:val="000223D0"/>
    <w:rsid w:val="000229D9"/>
    <w:rsid w:val="00022FE3"/>
    <w:rsid w:val="00023190"/>
    <w:rsid w:val="00023243"/>
    <w:rsid w:val="0002364E"/>
    <w:rsid w:val="00023E3A"/>
    <w:rsid w:val="00023F5B"/>
    <w:rsid w:val="000240B7"/>
    <w:rsid w:val="0002452F"/>
    <w:rsid w:val="000245F1"/>
    <w:rsid w:val="00024711"/>
    <w:rsid w:val="0002507C"/>
    <w:rsid w:val="000250DE"/>
    <w:rsid w:val="00025135"/>
    <w:rsid w:val="00025D4B"/>
    <w:rsid w:val="00025E46"/>
    <w:rsid w:val="00025FC3"/>
    <w:rsid w:val="000260BA"/>
    <w:rsid w:val="00026568"/>
    <w:rsid w:val="00026961"/>
    <w:rsid w:val="000278A9"/>
    <w:rsid w:val="00027957"/>
    <w:rsid w:val="00027B06"/>
    <w:rsid w:val="00027DCB"/>
    <w:rsid w:val="000308CB"/>
    <w:rsid w:val="00030E7D"/>
    <w:rsid w:val="000312B8"/>
    <w:rsid w:val="000321B8"/>
    <w:rsid w:val="000322D9"/>
    <w:rsid w:val="000329F5"/>
    <w:rsid w:val="00033256"/>
    <w:rsid w:val="000332F2"/>
    <w:rsid w:val="000337DF"/>
    <w:rsid w:val="000338D0"/>
    <w:rsid w:val="00033CE7"/>
    <w:rsid w:val="00033DB9"/>
    <w:rsid w:val="000343E7"/>
    <w:rsid w:val="0003443B"/>
    <w:rsid w:val="0003450C"/>
    <w:rsid w:val="00034641"/>
    <w:rsid w:val="0003466E"/>
    <w:rsid w:val="00034BE5"/>
    <w:rsid w:val="00034BFE"/>
    <w:rsid w:val="00034E06"/>
    <w:rsid w:val="00035453"/>
    <w:rsid w:val="00035A7C"/>
    <w:rsid w:val="0003615C"/>
    <w:rsid w:val="00036840"/>
    <w:rsid w:val="00037127"/>
    <w:rsid w:val="00037D3D"/>
    <w:rsid w:val="00037E11"/>
    <w:rsid w:val="00037EE9"/>
    <w:rsid w:val="00040236"/>
    <w:rsid w:val="0004024F"/>
    <w:rsid w:val="0004088A"/>
    <w:rsid w:val="00040A7D"/>
    <w:rsid w:val="00040E82"/>
    <w:rsid w:val="00040FC3"/>
    <w:rsid w:val="000411B5"/>
    <w:rsid w:val="0004157A"/>
    <w:rsid w:val="00041B52"/>
    <w:rsid w:val="00041F34"/>
    <w:rsid w:val="00041F79"/>
    <w:rsid w:val="00041F8E"/>
    <w:rsid w:val="00042862"/>
    <w:rsid w:val="00043B8D"/>
    <w:rsid w:val="00043BE2"/>
    <w:rsid w:val="00043BE5"/>
    <w:rsid w:val="00043CC5"/>
    <w:rsid w:val="00044187"/>
    <w:rsid w:val="000449C3"/>
    <w:rsid w:val="00044DC5"/>
    <w:rsid w:val="00044E28"/>
    <w:rsid w:val="00044EBD"/>
    <w:rsid w:val="00045292"/>
    <w:rsid w:val="00045478"/>
    <w:rsid w:val="000456BE"/>
    <w:rsid w:val="0004582E"/>
    <w:rsid w:val="00045956"/>
    <w:rsid w:val="00045DDE"/>
    <w:rsid w:val="00045EFA"/>
    <w:rsid w:val="00045FB1"/>
    <w:rsid w:val="0004646E"/>
    <w:rsid w:val="00046CFF"/>
    <w:rsid w:val="00046F4B"/>
    <w:rsid w:val="00047029"/>
    <w:rsid w:val="00047253"/>
    <w:rsid w:val="0004739B"/>
    <w:rsid w:val="0004743C"/>
    <w:rsid w:val="00047C87"/>
    <w:rsid w:val="00047CEB"/>
    <w:rsid w:val="00050009"/>
    <w:rsid w:val="00050732"/>
    <w:rsid w:val="0005089A"/>
    <w:rsid w:val="00050C12"/>
    <w:rsid w:val="00050ED9"/>
    <w:rsid w:val="000510F1"/>
    <w:rsid w:val="00051434"/>
    <w:rsid w:val="00051CCF"/>
    <w:rsid w:val="0005203B"/>
    <w:rsid w:val="00052716"/>
    <w:rsid w:val="000531A9"/>
    <w:rsid w:val="00053470"/>
    <w:rsid w:val="000538D1"/>
    <w:rsid w:val="00053CE6"/>
    <w:rsid w:val="00054AD4"/>
    <w:rsid w:val="00054C7F"/>
    <w:rsid w:val="00054D65"/>
    <w:rsid w:val="00055112"/>
    <w:rsid w:val="00055597"/>
    <w:rsid w:val="00055808"/>
    <w:rsid w:val="00055821"/>
    <w:rsid w:val="00055924"/>
    <w:rsid w:val="00055DEC"/>
    <w:rsid w:val="00055F61"/>
    <w:rsid w:val="000563CC"/>
    <w:rsid w:val="000568DC"/>
    <w:rsid w:val="00056918"/>
    <w:rsid w:val="00056A17"/>
    <w:rsid w:val="0005762D"/>
    <w:rsid w:val="0005781C"/>
    <w:rsid w:val="000603E6"/>
    <w:rsid w:val="00060C94"/>
    <w:rsid w:val="00060D39"/>
    <w:rsid w:val="0006104F"/>
    <w:rsid w:val="0006118B"/>
    <w:rsid w:val="00061191"/>
    <w:rsid w:val="000613C0"/>
    <w:rsid w:val="000613C3"/>
    <w:rsid w:val="0006181B"/>
    <w:rsid w:val="00061826"/>
    <w:rsid w:val="00061DE0"/>
    <w:rsid w:val="0006219D"/>
    <w:rsid w:val="00062285"/>
    <w:rsid w:val="00062921"/>
    <w:rsid w:val="0006305D"/>
    <w:rsid w:val="0006348D"/>
    <w:rsid w:val="00063529"/>
    <w:rsid w:val="0006454A"/>
    <w:rsid w:val="00064B3F"/>
    <w:rsid w:val="00064CA5"/>
    <w:rsid w:val="00064FE2"/>
    <w:rsid w:val="0006539B"/>
    <w:rsid w:val="000653B6"/>
    <w:rsid w:val="00065629"/>
    <w:rsid w:val="00066084"/>
    <w:rsid w:val="000661E2"/>
    <w:rsid w:val="00066434"/>
    <w:rsid w:val="000666D0"/>
    <w:rsid w:val="00067123"/>
    <w:rsid w:val="00067595"/>
    <w:rsid w:val="000676D7"/>
    <w:rsid w:val="00067A79"/>
    <w:rsid w:val="00070026"/>
    <w:rsid w:val="00070535"/>
    <w:rsid w:val="00070609"/>
    <w:rsid w:val="00070A9D"/>
    <w:rsid w:val="00070C9C"/>
    <w:rsid w:val="00070CDF"/>
    <w:rsid w:val="00071CAA"/>
    <w:rsid w:val="00072796"/>
    <w:rsid w:val="00072907"/>
    <w:rsid w:val="00072E6F"/>
    <w:rsid w:val="00073434"/>
    <w:rsid w:val="00073622"/>
    <w:rsid w:val="00073861"/>
    <w:rsid w:val="00073956"/>
    <w:rsid w:val="000744BF"/>
    <w:rsid w:val="000748D0"/>
    <w:rsid w:val="000748FD"/>
    <w:rsid w:val="00074FF3"/>
    <w:rsid w:val="00075470"/>
    <w:rsid w:val="000754BF"/>
    <w:rsid w:val="00075FD0"/>
    <w:rsid w:val="00076C1D"/>
    <w:rsid w:val="00076F1A"/>
    <w:rsid w:val="00076F9D"/>
    <w:rsid w:val="000770D9"/>
    <w:rsid w:val="000770F6"/>
    <w:rsid w:val="00077262"/>
    <w:rsid w:val="000777AC"/>
    <w:rsid w:val="00080387"/>
    <w:rsid w:val="000808A1"/>
    <w:rsid w:val="00080AA3"/>
    <w:rsid w:val="00080CED"/>
    <w:rsid w:val="00080D6E"/>
    <w:rsid w:val="000813AC"/>
    <w:rsid w:val="00081A66"/>
    <w:rsid w:val="00081A69"/>
    <w:rsid w:val="00081DA1"/>
    <w:rsid w:val="0008204A"/>
    <w:rsid w:val="00082734"/>
    <w:rsid w:val="00082E96"/>
    <w:rsid w:val="00083469"/>
    <w:rsid w:val="00083F43"/>
    <w:rsid w:val="000841C6"/>
    <w:rsid w:val="00084418"/>
    <w:rsid w:val="00084B7E"/>
    <w:rsid w:val="00084EAF"/>
    <w:rsid w:val="00085005"/>
    <w:rsid w:val="000852E2"/>
    <w:rsid w:val="00085EE9"/>
    <w:rsid w:val="00085F38"/>
    <w:rsid w:val="0008640A"/>
    <w:rsid w:val="000868B4"/>
    <w:rsid w:val="0008699A"/>
    <w:rsid w:val="00086F7F"/>
    <w:rsid w:val="00087E7A"/>
    <w:rsid w:val="0009022F"/>
    <w:rsid w:val="00090954"/>
    <w:rsid w:val="00090A37"/>
    <w:rsid w:val="00090FC7"/>
    <w:rsid w:val="00091861"/>
    <w:rsid w:val="00092610"/>
    <w:rsid w:val="00092BB8"/>
    <w:rsid w:val="00092E99"/>
    <w:rsid w:val="000930C1"/>
    <w:rsid w:val="000937A6"/>
    <w:rsid w:val="000937E3"/>
    <w:rsid w:val="000938D2"/>
    <w:rsid w:val="00094175"/>
    <w:rsid w:val="000946DE"/>
    <w:rsid w:val="00094ACC"/>
    <w:rsid w:val="00094B90"/>
    <w:rsid w:val="0009520E"/>
    <w:rsid w:val="0009542E"/>
    <w:rsid w:val="000955B3"/>
    <w:rsid w:val="00096182"/>
    <w:rsid w:val="000961AA"/>
    <w:rsid w:val="0009647C"/>
    <w:rsid w:val="00096D47"/>
    <w:rsid w:val="00096D90"/>
    <w:rsid w:val="00096F23"/>
    <w:rsid w:val="00096F41"/>
    <w:rsid w:val="00097598"/>
    <w:rsid w:val="00097C6F"/>
    <w:rsid w:val="00097F16"/>
    <w:rsid w:val="000A1548"/>
    <w:rsid w:val="000A18D6"/>
    <w:rsid w:val="000A1CF4"/>
    <w:rsid w:val="000A1E7F"/>
    <w:rsid w:val="000A200B"/>
    <w:rsid w:val="000A2712"/>
    <w:rsid w:val="000A30A1"/>
    <w:rsid w:val="000A39A4"/>
    <w:rsid w:val="000A403D"/>
    <w:rsid w:val="000A568D"/>
    <w:rsid w:val="000A569C"/>
    <w:rsid w:val="000A589E"/>
    <w:rsid w:val="000A5B2D"/>
    <w:rsid w:val="000A6991"/>
    <w:rsid w:val="000A6A58"/>
    <w:rsid w:val="000A7E48"/>
    <w:rsid w:val="000B08A5"/>
    <w:rsid w:val="000B0A7F"/>
    <w:rsid w:val="000B0E5B"/>
    <w:rsid w:val="000B1EEF"/>
    <w:rsid w:val="000B3271"/>
    <w:rsid w:val="000B3895"/>
    <w:rsid w:val="000B4252"/>
    <w:rsid w:val="000B42C1"/>
    <w:rsid w:val="000B46D5"/>
    <w:rsid w:val="000B4F4B"/>
    <w:rsid w:val="000B540B"/>
    <w:rsid w:val="000B5465"/>
    <w:rsid w:val="000B5946"/>
    <w:rsid w:val="000B5BB0"/>
    <w:rsid w:val="000B5DD0"/>
    <w:rsid w:val="000B5F22"/>
    <w:rsid w:val="000B6611"/>
    <w:rsid w:val="000B668E"/>
    <w:rsid w:val="000B7E43"/>
    <w:rsid w:val="000C03DF"/>
    <w:rsid w:val="000C06B0"/>
    <w:rsid w:val="000C08B7"/>
    <w:rsid w:val="000C0AAC"/>
    <w:rsid w:val="000C0AC5"/>
    <w:rsid w:val="000C0BF2"/>
    <w:rsid w:val="000C13DF"/>
    <w:rsid w:val="000C1713"/>
    <w:rsid w:val="000C1730"/>
    <w:rsid w:val="000C1B0C"/>
    <w:rsid w:val="000C1C97"/>
    <w:rsid w:val="000C23F3"/>
    <w:rsid w:val="000C2C29"/>
    <w:rsid w:val="000C3138"/>
    <w:rsid w:val="000C3179"/>
    <w:rsid w:val="000C3C44"/>
    <w:rsid w:val="000C3DD5"/>
    <w:rsid w:val="000C3F37"/>
    <w:rsid w:val="000C4A85"/>
    <w:rsid w:val="000C4AE8"/>
    <w:rsid w:val="000C51E6"/>
    <w:rsid w:val="000C5A03"/>
    <w:rsid w:val="000C5FAE"/>
    <w:rsid w:val="000C6074"/>
    <w:rsid w:val="000C615E"/>
    <w:rsid w:val="000C6FE1"/>
    <w:rsid w:val="000C789A"/>
    <w:rsid w:val="000C7D78"/>
    <w:rsid w:val="000C7F8C"/>
    <w:rsid w:val="000D009D"/>
    <w:rsid w:val="000D038A"/>
    <w:rsid w:val="000D0B2B"/>
    <w:rsid w:val="000D0D89"/>
    <w:rsid w:val="000D2517"/>
    <w:rsid w:val="000D2719"/>
    <w:rsid w:val="000D284A"/>
    <w:rsid w:val="000D2AB7"/>
    <w:rsid w:val="000D2B0E"/>
    <w:rsid w:val="000D2C0D"/>
    <w:rsid w:val="000D43D4"/>
    <w:rsid w:val="000D449A"/>
    <w:rsid w:val="000D46CF"/>
    <w:rsid w:val="000D4E9F"/>
    <w:rsid w:val="000D5111"/>
    <w:rsid w:val="000D51A6"/>
    <w:rsid w:val="000D5425"/>
    <w:rsid w:val="000D5478"/>
    <w:rsid w:val="000D5AAC"/>
    <w:rsid w:val="000D5FB8"/>
    <w:rsid w:val="000D6132"/>
    <w:rsid w:val="000D65B0"/>
    <w:rsid w:val="000D671B"/>
    <w:rsid w:val="000D71FA"/>
    <w:rsid w:val="000D73D3"/>
    <w:rsid w:val="000D758A"/>
    <w:rsid w:val="000D79FF"/>
    <w:rsid w:val="000D7CD2"/>
    <w:rsid w:val="000D7E39"/>
    <w:rsid w:val="000E042E"/>
    <w:rsid w:val="000E0B7C"/>
    <w:rsid w:val="000E12F0"/>
    <w:rsid w:val="000E1344"/>
    <w:rsid w:val="000E2176"/>
    <w:rsid w:val="000E248E"/>
    <w:rsid w:val="000E266A"/>
    <w:rsid w:val="000E26C5"/>
    <w:rsid w:val="000E30B4"/>
    <w:rsid w:val="000E3947"/>
    <w:rsid w:val="000E3E34"/>
    <w:rsid w:val="000E4117"/>
    <w:rsid w:val="000E413E"/>
    <w:rsid w:val="000E463C"/>
    <w:rsid w:val="000E4DE1"/>
    <w:rsid w:val="000E536B"/>
    <w:rsid w:val="000E5992"/>
    <w:rsid w:val="000E5B61"/>
    <w:rsid w:val="000E5FCE"/>
    <w:rsid w:val="000E624E"/>
    <w:rsid w:val="000E6374"/>
    <w:rsid w:val="000E6BEF"/>
    <w:rsid w:val="000E6D5C"/>
    <w:rsid w:val="000E6E22"/>
    <w:rsid w:val="000E6EFB"/>
    <w:rsid w:val="000E7381"/>
    <w:rsid w:val="000E7764"/>
    <w:rsid w:val="000E7948"/>
    <w:rsid w:val="000E7BF2"/>
    <w:rsid w:val="000E7DD0"/>
    <w:rsid w:val="000F0102"/>
    <w:rsid w:val="000F031D"/>
    <w:rsid w:val="000F0396"/>
    <w:rsid w:val="000F0738"/>
    <w:rsid w:val="000F07A6"/>
    <w:rsid w:val="000F0848"/>
    <w:rsid w:val="000F09D9"/>
    <w:rsid w:val="000F0E8B"/>
    <w:rsid w:val="000F16ED"/>
    <w:rsid w:val="000F1832"/>
    <w:rsid w:val="000F20F6"/>
    <w:rsid w:val="000F258D"/>
    <w:rsid w:val="000F28E3"/>
    <w:rsid w:val="000F2B7E"/>
    <w:rsid w:val="000F2B87"/>
    <w:rsid w:val="000F3F61"/>
    <w:rsid w:val="000F40F1"/>
    <w:rsid w:val="000F519E"/>
    <w:rsid w:val="000F5537"/>
    <w:rsid w:val="000F5A05"/>
    <w:rsid w:val="000F5EC1"/>
    <w:rsid w:val="000F5FBA"/>
    <w:rsid w:val="000F6059"/>
    <w:rsid w:val="000F6447"/>
    <w:rsid w:val="000F66E4"/>
    <w:rsid w:val="000F68AC"/>
    <w:rsid w:val="000F6AD4"/>
    <w:rsid w:val="000F6C9A"/>
    <w:rsid w:val="000F6F32"/>
    <w:rsid w:val="000F76C7"/>
    <w:rsid w:val="000F7948"/>
    <w:rsid w:val="000F7E19"/>
    <w:rsid w:val="00100197"/>
    <w:rsid w:val="001019F9"/>
    <w:rsid w:val="00101E21"/>
    <w:rsid w:val="00102F8E"/>
    <w:rsid w:val="00103034"/>
    <w:rsid w:val="001030D1"/>
    <w:rsid w:val="001035B2"/>
    <w:rsid w:val="001038E7"/>
    <w:rsid w:val="00103BA6"/>
    <w:rsid w:val="001040C4"/>
    <w:rsid w:val="0010437E"/>
    <w:rsid w:val="00104431"/>
    <w:rsid w:val="001048EB"/>
    <w:rsid w:val="00104C27"/>
    <w:rsid w:val="001051D7"/>
    <w:rsid w:val="00105228"/>
    <w:rsid w:val="001058E9"/>
    <w:rsid w:val="00107152"/>
    <w:rsid w:val="00110367"/>
    <w:rsid w:val="001108AA"/>
    <w:rsid w:val="00110A98"/>
    <w:rsid w:val="00110F26"/>
    <w:rsid w:val="00110F56"/>
    <w:rsid w:val="00111BC2"/>
    <w:rsid w:val="00111DDA"/>
    <w:rsid w:val="0011227D"/>
    <w:rsid w:val="00112852"/>
    <w:rsid w:val="00112E44"/>
    <w:rsid w:val="00112F68"/>
    <w:rsid w:val="0011340B"/>
    <w:rsid w:val="0011341B"/>
    <w:rsid w:val="00113456"/>
    <w:rsid w:val="001136D9"/>
    <w:rsid w:val="00113B2B"/>
    <w:rsid w:val="00113CA5"/>
    <w:rsid w:val="0011425D"/>
    <w:rsid w:val="0011461F"/>
    <w:rsid w:val="00115334"/>
    <w:rsid w:val="0011560F"/>
    <w:rsid w:val="0011603E"/>
    <w:rsid w:val="001166C2"/>
    <w:rsid w:val="001167FD"/>
    <w:rsid w:val="0011699A"/>
    <w:rsid w:val="00116B86"/>
    <w:rsid w:val="001174A0"/>
    <w:rsid w:val="00117775"/>
    <w:rsid w:val="001179DC"/>
    <w:rsid w:val="00117AE6"/>
    <w:rsid w:val="00120C4D"/>
    <w:rsid w:val="00120DA5"/>
    <w:rsid w:val="00120E1C"/>
    <w:rsid w:val="001214D4"/>
    <w:rsid w:val="00121662"/>
    <w:rsid w:val="00121832"/>
    <w:rsid w:val="00121AF4"/>
    <w:rsid w:val="0012274A"/>
    <w:rsid w:val="00122AC4"/>
    <w:rsid w:val="00122C0E"/>
    <w:rsid w:val="001230B8"/>
    <w:rsid w:val="00123216"/>
    <w:rsid w:val="001234EA"/>
    <w:rsid w:val="00123E96"/>
    <w:rsid w:val="00124759"/>
    <w:rsid w:val="00124A6D"/>
    <w:rsid w:val="00124ABC"/>
    <w:rsid w:val="00124BB0"/>
    <w:rsid w:val="00124D04"/>
    <w:rsid w:val="001260B7"/>
    <w:rsid w:val="001264F3"/>
    <w:rsid w:val="0012652A"/>
    <w:rsid w:val="001265C7"/>
    <w:rsid w:val="00126642"/>
    <w:rsid w:val="001266CE"/>
    <w:rsid w:val="001266DA"/>
    <w:rsid w:val="0012684D"/>
    <w:rsid w:val="001268CB"/>
    <w:rsid w:val="001269FB"/>
    <w:rsid w:val="00126A65"/>
    <w:rsid w:val="00126F8D"/>
    <w:rsid w:val="00127A2C"/>
    <w:rsid w:val="00127B02"/>
    <w:rsid w:val="00130374"/>
    <w:rsid w:val="00130749"/>
    <w:rsid w:val="00130DDA"/>
    <w:rsid w:val="00130E4D"/>
    <w:rsid w:val="00130F8F"/>
    <w:rsid w:val="00131835"/>
    <w:rsid w:val="00131A76"/>
    <w:rsid w:val="00131D5D"/>
    <w:rsid w:val="00131DF7"/>
    <w:rsid w:val="00131ED5"/>
    <w:rsid w:val="001321EF"/>
    <w:rsid w:val="00132786"/>
    <w:rsid w:val="001333C1"/>
    <w:rsid w:val="00133696"/>
    <w:rsid w:val="00134C85"/>
    <w:rsid w:val="00134E11"/>
    <w:rsid w:val="00134F0B"/>
    <w:rsid w:val="00135580"/>
    <w:rsid w:val="001359CA"/>
    <w:rsid w:val="001363D9"/>
    <w:rsid w:val="00136C07"/>
    <w:rsid w:val="00136C15"/>
    <w:rsid w:val="00137058"/>
    <w:rsid w:val="001372E6"/>
    <w:rsid w:val="00137655"/>
    <w:rsid w:val="00137879"/>
    <w:rsid w:val="001403CB"/>
    <w:rsid w:val="0014057B"/>
    <w:rsid w:val="001406B8"/>
    <w:rsid w:val="00140717"/>
    <w:rsid w:val="00140AEA"/>
    <w:rsid w:val="00140B73"/>
    <w:rsid w:val="00140BEC"/>
    <w:rsid w:val="00140CF7"/>
    <w:rsid w:val="00140EA3"/>
    <w:rsid w:val="00141441"/>
    <w:rsid w:val="00141A71"/>
    <w:rsid w:val="00141E03"/>
    <w:rsid w:val="00142073"/>
    <w:rsid w:val="001426D5"/>
    <w:rsid w:val="0014278A"/>
    <w:rsid w:val="00143DC2"/>
    <w:rsid w:val="00143F6D"/>
    <w:rsid w:val="0014425C"/>
    <w:rsid w:val="0014448D"/>
    <w:rsid w:val="001449A0"/>
    <w:rsid w:val="00144BB2"/>
    <w:rsid w:val="0014576F"/>
    <w:rsid w:val="001458FF"/>
    <w:rsid w:val="00145BFB"/>
    <w:rsid w:val="00145E07"/>
    <w:rsid w:val="00145ECC"/>
    <w:rsid w:val="00146580"/>
    <w:rsid w:val="00146811"/>
    <w:rsid w:val="0014686C"/>
    <w:rsid w:val="00147C94"/>
    <w:rsid w:val="00147F0B"/>
    <w:rsid w:val="001503D8"/>
    <w:rsid w:val="00150804"/>
    <w:rsid w:val="00151729"/>
    <w:rsid w:val="00151B6E"/>
    <w:rsid w:val="00151E30"/>
    <w:rsid w:val="00151ED0"/>
    <w:rsid w:val="001520CB"/>
    <w:rsid w:val="00152295"/>
    <w:rsid w:val="00152764"/>
    <w:rsid w:val="001529CA"/>
    <w:rsid w:val="00152B59"/>
    <w:rsid w:val="00152FA0"/>
    <w:rsid w:val="001534B2"/>
    <w:rsid w:val="00153916"/>
    <w:rsid w:val="00153FE7"/>
    <w:rsid w:val="001543CE"/>
    <w:rsid w:val="00154610"/>
    <w:rsid w:val="00154833"/>
    <w:rsid w:val="00154AA3"/>
    <w:rsid w:val="00154B29"/>
    <w:rsid w:val="00154C51"/>
    <w:rsid w:val="00154D2C"/>
    <w:rsid w:val="00154FD6"/>
    <w:rsid w:val="00155119"/>
    <w:rsid w:val="0015537A"/>
    <w:rsid w:val="00155480"/>
    <w:rsid w:val="001556FB"/>
    <w:rsid w:val="0015573F"/>
    <w:rsid w:val="00155A09"/>
    <w:rsid w:val="00155A9D"/>
    <w:rsid w:val="00155FFB"/>
    <w:rsid w:val="00156226"/>
    <w:rsid w:val="00156391"/>
    <w:rsid w:val="001563FE"/>
    <w:rsid w:val="001564B1"/>
    <w:rsid w:val="00156B8F"/>
    <w:rsid w:val="00157AC2"/>
    <w:rsid w:val="00157FAC"/>
    <w:rsid w:val="00160146"/>
    <w:rsid w:val="00160381"/>
    <w:rsid w:val="001615CD"/>
    <w:rsid w:val="00161ED3"/>
    <w:rsid w:val="001621D9"/>
    <w:rsid w:val="00162CDC"/>
    <w:rsid w:val="00163317"/>
    <w:rsid w:val="00163A5E"/>
    <w:rsid w:val="00163A6F"/>
    <w:rsid w:val="00163B74"/>
    <w:rsid w:val="0016400F"/>
    <w:rsid w:val="001643F7"/>
    <w:rsid w:val="00165054"/>
    <w:rsid w:val="001653BF"/>
    <w:rsid w:val="001655BA"/>
    <w:rsid w:val="001656CE"/>
    <w:rsid w:val="001658D7"/>
    <w:rsid w:val="00165E28"/>
    <w:rsid w:val="00166034"/>
    <w:rsid w:val="001660AD"/>
    <w:rsid w:val="001661AC"/>
    <w:rsid w:val="001661C6"/>
    <w:rsid w:val="001661E4"/>
    <w:rsid w:val="001663D2"/>
    <w:rsid w:val="001665D1"/>
    <w:rsid w:val="001667E1"/>
    <w:rsid w:val="001668EE"/>
    <w:rsid w:val="00166BB2"/>
    <w:rsid w:val="00166BE0"/>
    <w:rsid w:val="00166E01"/>
    <w:rsid w:val="001677A5"/>
    <w:rsid w:val="00167939"/>
    <w:rsid w:val="00170235"/>
    <w:rsid w:val="00170256"/>
    <w:rsid w:val="00170367"/>
    <w:rsid w:val="0017091B"/>
    <w:rsid w:val="0017147B"/>
    <w:rsid w:val="00171F40"/>
    <w:rsid w:val="0017201C"/>
    <w:rsid w:val="001723C1"/>
    <w:rsid w:val="00172C3B"/>
    <w:rsid w:val="0017329B"/>
    <w:rsid w:val="00173433"/>
    <w:rsid w:val="001734CE"/>
    <w:rsid w:val="00173ABA"/>
    <w:rsid w:val="0017416A"/>
    <w:rsid w:val="00174667"/>
    <w:rsid w:val="00174672"/>
    <w:rsid w:val="00174933"/>
    <w:rsid w:val="00174C2D"/>
    <w:rsid w:val="00174F55"/>
    <w:rsid w:val="00175159"/>
    <w:rsid w:val="00175170"/>
    <w:rsid w:val="00175E22"/>
    <w:rsid w:val="00175ED7"/>
    <w:rsid w:val="00176227"/>
    <w:rsid w:val="0017636D"/>
    <w:rsid w:val="00176716"/>
    <w:rsid w:val="00176846"/>
    <w:rsid w:val="00176C31"/>
    <w:rsid w:val="00176CE1"/>
    <w:rsid w:val="001771AF"/>
    <w:rsid w:val="00177225"/>
    <w:rsid w:val="00177AC1"/>
    <w:rsid w:val="00177BCD"/>
    <w:rsid w:val="00180010"/>
    <w:rsid w:val="00180295"/>
    <w:rsid w:val="00180AF1"/>
    <w:rsid w:val="00180E7F"/>
    <w:rsid w:val="001823EE"/>
    <w:rsid w:val="001832CD"/>
    <w:rsid w:val="00183360"/>
    <w:rsid w:val="00183906"/>
    <w:rsid w:val="00183A7D"/>
    <w:rsid w:val="0018400F"/>
    <w:rsid w:val="00184C5F"/>
    <w:rsid w:val="00184D9A"/>
    <w:rsid w:val="00184F22"/>
    <w:rsid w:val="00184FB0"/>
    <w:rsid w:val="00185431"/>
    <w:rsid w:val="00185C4B"/>
    <w:rsid w:val="00185CA6"/>
    <w:rsid w:val="00185EDA"/>
    <w:rsid w:val="00185FC0"/>
    <w:rsid w:val="00187393"/>
    <w:rsid w:val="00187A58"/>
    <w:rsid w:val="00187DB1"/>
    <w:rsid w:val="00190671"/>
    <w:rsid w:val="00190A1C"/>
    <w:rsid w:val="00190B0B"/>
    <w:rsid w:val="00190F50"/>
    <w:rsid w:val="001917A8"/>
    <w:rsid w:val="00191BB9"/>
    <w:rsid w:val="00191E30"/>
    <w:rsid w:val="0019231C"/>
    <w:rsid w:val="00192544"/>
    <w:rsid w:val="001925FD"/>
    <w:rsid w:val="00192686"/>
    <w:rsid w:val="0019281B"/>
    <w:rsid w:val="0019295A"/>
    <w:rsid w:val="00192FF6"/>
    <w:rsid w:val="001930B1"/>
    <w:rsid w:val="00193432"/>
    <w:rsid w:val="0019376F"/>
    <w:rsid w:val="00193D77"/>
    <w:rsid w:val="00193FF4"/>
    <w:rsid w:val="00194201"/>
    <w:rsid w:val="001942F3"/>
    <w:rsid w:val="001944DA"/>
    <w:rsid w:val="00194936"/>
    <w:rsid w:val="001949D5"/>
    <w:rsid w:val="00194B17"/>
    <w:rsid w:val="00194D0D"/>
    <w:rsid w:val="00194F6E"/>
    <w:rsid w:val="00194FA2"/>
    <w:rsid w:val="00195DA6"/>
    <w:rsid w:val="00196043"/>
    <w:rsid w:val="00197002"/>
    <w:rsid w:val="001970D0"/>
    <w:rsid w:val="0019733A"/>
    <w:rsid w:val="0019789C"/>
    <w:rsid w:val="0019789F"/>
    <w:rsid w:val="00197F93"/>
    <w:rsid w:val="001A01FB"/>
    <w:rsid w:val="001A049B"/>
    <w:rsid w:val="001A0B92"/>
    <w:rsid w:val="001A11D4"/>
    <w:rsid w:val="001A19E0"/>
    <w:rsid w:val="001A1D00"/>
    <w:rsid w:val="001A21C2"/>
    <w:rsid w:val="001A2664"/>
    <w:rsid w:val="001A269A"/>
    <w:rsid w:val="001A2A9C"/>
    <w:rsid w:val="001A2E2B"/>
    <w:rsid w:val="001A31A4"/>
    <w:rsid w:val="001A34F7"/>
    <w:rsid w:val="001A354B"/>
    <w:rsid w:val="001A3B8E"/>
    <w:rsid w:val="001A3D04"/>
    <w:rsid w:val="001A3D9C"/>
    <w:rsid w:val="001A3DEE"/>
    <w:rsid w:val="001A46AA"/>
    <w:rsid w:val="001A480D"/>
    <w:rsid w:val="001A5AFA"/>
    <w:rsid w:val="001A5BF1"/>
    <w:rsid w:val="001A63FE"/>
    <w:rsid w:val="001A6601"/>
    <w:rsid w:val="001A6980"/>
    <w:rsid w:val="001A69D0"/>
    <w:rsid w:val="001A6E0D"/>
    <w:rsid w:val="001A720D"/>
    <w:rsid w:val="001A78D7"/>
    <w:rsid w:val="001A7A10"/>
    <w:rsid w:val="001A7C53"/>
    <w:rsid w:val="001B030C"/>
    <w:rsid w:val="001B0ACE"/>
    <w:rsid w:val="001B0CFD"/>
    <w:rsid w:val="001B0E30"/>
    <w:rsid w:val="001B141A"/>
    <w:rsid w:val="001B1BC7"/>
    <w:rsid w:val="001B1BDD"/>
    <w:rsid w:val="001B1C78"/>
    <w:rsid w:val="001B1E6F"/>
    <w:rsid w:val="001B2185"/>
    <w:rsid w:val="001B2436"/>
    <w:rsid w:val="001B24FD"/>
    <w:rsid w:val="001B2667"/>
    <w:rsid w:val="001B27D3"/>
    <w:rsid w:val="001B30CD"/>
    <w:rsid w:val="001B3548"/>
    <w:rsid w:val="001B359C"/>
    <w:rsid w:val="001B36C8"/>
    <w:rsid w:val="001B3905"/>
    <w:rsid w:val="001B4225"/>
    <w:rsid w:val="001B423E"/>
    <w:rsid w:val="001B4251"/>
    <w:rsid w:val="001B43CE"/>
    <w:rsid w:val="001B4AF7"/>
    <w:rsid w:val="001B5AAD"/>
    <w:rsid w:val="001B5BBB"/>
    <w:rsid w:val="001B5F61"/>
    <w:rsid w:val="001B6510"/>
    <w:rsid w:val="001B65D2"/>
    <w:rsid w:val="001B70B2"/>
    <w:rsid w:val="001B7360"/>
    <w:rsid w:val="001B73EF"/>
    <w:rsid w:val="001B7B40"/>
    <w:rsid w:val="001C0C55"/>
    <w:rsid w:val="001C0E04"/>
    <w:rsid w:val="001C0E9D"/>
    <w:rsid w:val="001C12A6"/>
    <w:rsid w:val="001C14BC"/>
    <w:rsid w:val="001C16D2"/>
    <w:rsid w:val="001C172A"/>
    <w:rsid w:val="001C1A11"/>
    <w:rsid w:val="001C1B27"/>
    <w:rsid w:val="001C2AC3"/>
    <w:rsid w:val="001C2B3E"/>
    <w:rsid w:val="001C2D76"/>
    <w:rsid w:val="001C2E84"/>
    <w:rsid w:val="001C30AF"/>
    <w:rsid w:val="001C3564"/>
    <w:rsid w:val="001C3C74"/>
    <w:rsid w:val="001C3C92"/>
    <w:rsid w:val="001C42E1"/>
    <w:rsid w:val="001C511D"/>
    <w:rsid w:val="001C5371"/>
    <w:rsid w:val="001C54D1"/>
    <w:rsid w:val="001C5931"/>
    <w:rsid w:val="001C5DED"/>
    <w:rsid w:val="001C5E76"/>
    <w:rsid w:val="001C64AA"/>
    <w:rsid w:val="001C6C7F"/>
    <w:rsid w:val="001C7A19"/>
    <w:rsid w:val="001C7F13"/>
    <w:rsid w:val="001C7F53"/>
    <w:rsid w:val="001D060D"/>
    <w:rsid w:val="001D0AAE"/>
    <w:rsid w:val="001D0B7C"/>
    <w:rsid w:val="001D0EB1"/>
    <w:rsid w:val="001D1023"/>
    <w:rsid w:val="001D1469"/>
    <w:rsid w:val="001D1612"/>
    <w:rsid w:val="001D1D5F"/>
    <w:rsid w:val="001D2390"/>
    <w:rsid w:val="001D2AB5"/>
    <w:rsid w:val="001D2AFC"/>
    <w:rsid w:val="001D2D9B"/>
    <w:rsid w:val="001D2E7B"/>
    <w:rsid w:val="001D36AC"/>
    <w:rsid w:val="001D38DE"/>
    <w:rsid w:val="001D3A07"/>
    <w:rsid w:val="001D44C4"/>
    <w:rsid w:val="001D48DF"/>
    <w:rsid w:val="001D4C55"/>
    <w:rsid w:val="001D53E8"/>
    <w:rsid w:val="001D63DA"/>
    <w:rsid w:val="001D6533"/>
    <w:rsid w:val="001D66F5"/>
    <w:rsid w:val="001D6EF4"/>
    <w:rsid w:val="001D73E6"/>
    <w:rsid w:val="001D7BE1"/>
    <w:rsid w:val="001E06F5"/>
    <w:rsid w:val="001E15BA"/>
    <w:rsid w:val="001E1699"/>
    <w:rsid w:val="001E18E8"/>
    <w:rsid w:val="001E19FA"/>
    <w:rsid w:val="001E1D25"/>
    <w:rsid w:val="001E2238"/>
    <w:rsid w:val="001E2867"/>
    <w:rsid w:val="001E2B55"/>
    <w:rsid w:val="001E2CA2"/>
    <w:rsid w:val="001E3124"/>
    <w:rsid w:val="001E4343"/>
    <w:rsid w:val="001E4CCE"/>
    <w:rsid w:val="001E4FEF"/>
    <w:rsid w:val="001E5034"/>
    <w:rsid w:val="001E5164"/>
    <w:rsid w:val="001E51A0"/>
    <w:rsid w:val="001E5242"/>
    <w:rsid w:val="001E5267"/>
    <w:rsid w:val="001E54DD"/>
    <w:rsid w:val="001E622B"/>
    <w:rsid w:val="001E640F"/>
    <w:rsid w:val="001E6B0E"/>
    <w:rsid w:val="001E6DD0"/>
    <w:rsid w:val="001E700E"/>
    <w:rsid w:val="001E715B"/>
    <w:rsid w:val="001E7194"/>
    <w:rsid w:val="001E7350"/>
    <w:rsid w:val="001E7B00"/>
    <w:rsid w:val="001E7D01"/>
    <w:rsid w:val="001F013A"/>
    <w:rsid w:val="001F0ACC"/>
    <w:rsid w:val="001F0B27"/>
    <w:rsid w:val="001F13B4"/>
    <w:rsid w:val="001F1B8A"/>
    <w:rsid w:val="001F1C2B"/>
    <w:rsid w:val="001F1FCE"/>
    <w:rsid w:val="001F22B0"/>
    <w:rsid w:val="001F2627"/>
    <w:rsid w:val="001F2778"/>
    <w:rsid w:val="001F3E44"/>
    <w:rsid w:val="001F4903"/>
    <w:rsid w:val="001F4A3B"/>
    <w:rsid w:val="001F4B34"/>
    <w:rsid w:val="001F4E80"/>
    <w:rsid w:val="001F4F13"/>
    <w:rsid w:val="001F52B5"/>
    <w:rsid w:val="001F5362"/>
    <w:rsid w:val="001F5623"/>
    <w:rsid w:val="001F590E"/>
    <w:rsid w:val="001F59B1"/>
    <w:rsid w:val="001F59F8"/>
    <w:rsid w:val="001F5F91"/>
    <w:rsid w:val="001F645E"/>
    <w:rsid w:val="001F6CF9"/>
    <w:rsid w:val="001F777D"/>
    <w:rsid w:val="001F7A48"/>
    <w:rsid w:val="0020008E"/>
    <w:rsid w:val="0020045D"/>
    <w:rsid w:val="00200BD8"/>
    <w:rsid w:val="0020116D"/>
    <w:rsid w:val="002013FB"/>
    <w:rsid w:val="0020152E"/>
    <w:rsid w:val="00201AAA"/>
    <w:rsid w:val="00201DD0"/>
    <w:rsid w:val="002023CD"/>
    <w:rsid w:val="00202C1B"/>
    <w:rsid w:val="00202EEF"/>
    <w:rsid w:val="00202FBE"/>
    <w:rsid w:val="002032BA"/>
    <w:rsid w:val="002035ED"/>
    <w:rsid w:val="00203ABF"/>
    <w:rsid w:val="0020409D"/>
    <w:rsid w:val="002046E0"/>
    <w:rsid w:val="002049C3"/>
    <w:rsid w:val="00205B38"/>
    <w:rsid w:val="00205DDE"/>
    <w:rsid w:val="00206155"/>
    <w:rsid w:val="002061BF"/>
    <w:rsid w:val="00206205"/>
    <w:rsid w:val="0020633D"/>
    <w:rsid w:val="002077D4"/>
    <w:rsid w:val="00207C72"/>
    <w:rsid w:val="00210203"/>
    <w:rsid w:val="0021024D"/>
    <w:rsid w:val="002102DF"/>
    <w:rsid w:val="00210637"/>
    <w:rsid w:val="00210A28"/>
    <w:rsid w:val="00210E2F"/>
    <w:rsid w:val="002115A6"/>
    <w:rsid w:val="00211603"/>
    <w:rsid w:val="002118BF"/>
    <w:rsid w:val="002119A2"/>
    <w:rsid w:val="00211E99"/>
    <w:rsid w:val="00212030"/>
    <w:rsid w:val="002120C2"/>
    <w:rsid w:val="002135CF"/>
    <w:rsid w:val="00213AC0"/>
    <w:rsid w:val="00213C12"/>
    <w:rsid w:val="00214657"/>
    <w:rsid w:val="00214874"/>
    <w:rsid w:val="00214BB5"/>
    <w:rsid w:val="00215478"/>
    <w:rsid w:val="002154C2"/>
    <w:rsid w:val="002156D9"/>
    <w:rsid w:val="00215ABE"/>
    <w:rsid w:val="00215CD9"/>
    <w:rsid w:val="00215D31"/>
    <w:rsid w:val="0021617F"/>
    <w:rsid w:val="002161F9"/>
    <w:rsid w:val="002168A6"/>
    <w:rsid w:val="00216B4F"/>
    <w:rsid w:val="00216FD4"/>
    <w:rsid w:val="00217629"/>
    <w:rsid w:val="00217779"/>
    <w:rsid w:val="002178D9"/>
    <w:rsid w:val="00217B19"/>
    <w:rsid w:val="00217FFE"/>
    <w:rsid w:val="002203A0"/>
    <w:rsid w:val="002204ED"/>
    <w:rsid w:val="00220563"/>
    <w:rsid w:val="002206A9"/>
    <w:rsid w:val="0022094C"/>
    <w:rsid w:val="00220F31"/>
    <w:rsid w:val="00221100"/>
    <w:rsid w:val="0022170D"/>
    <w:rsid w:val="00221B8D"/>
    <w:rsid w:val="0022216C"/>
    <w:rsid w:val="002221ED"/>
    <w:rsid w:val="002229DA"/>
    <w:rsid w:val="00222E32"/>
    <w:rsid w:val="00223001"/>
    <w:rsid w:val="00223128"/>
    <w:rsid w:val="0022383E"/>
    <w:rsid w:val="00223B67"/>
    <w:rsid w:val="002241CF"/>
    <w:rsid w:val="002243C2"/>
    <w:rsid w:val="00224433"/>
    <w:rsid w:val="002249CD"/>
    <w:rsid w:val="00224D3E"/>
    <w:rsid w:val="00225224"/>
    <w:rsid w:val="00225503"/>
    <w:rsid w:val="0022550B"/>
    <w:rsid w:val="002255E8"/>
    <w:rsid w:val="0022575E"/>
    <w:rsid w:val="00225A01"/>
    <w:rsid w:val="00225A92"/>
    <w:rsid w:val="002264A3"/>
    <w:rsid w:val="002269D6"/>
    <w:rsid w:val="00226AB2"/>
    <w:rsid w:val="00226F40"/>
    <w:rsid w:val="002301EC"/>
    <w:rsid w:val="00230253"/>
    <w:rsid w:val="0023047C"/>
    <w:rsid w:val="00230BAB"/>
    <w:rsid w:val="00231DFB"/>
    <w:rsid w:val="00231E72"/>
    <w:rsid w:val="002323A0"/>
    <w:rsid w:val="00232660"/>
    <w:rsid w:val="002339F2"/>
    <w:rsid w:val="002346B1"/>
    <w:rsid w:val="002348D7"/>
    <w:rsid w:val="00234AAC"/>
    <w:rsid w:val="002354BA"/>
    <w:rsid w:val="00235789"/>
    <w:rsid w:val="00235BB4"/>
    <w:rsid w:val="00235F37"/>
    <w:rsid w:val="00236308"/>
    <w:rsid w:val="00236650"/>
    <w:rsid w:val="0023676B"/>
    <w:rsid w:val="0023731C"/>
    <w:rsid w:val="0023760C"/>
    <w:rsid w:val="002376BB"/>
    <w:rsid w:val="00237B68"/>
    <w:rsid w:val="0024007B"/>
    <w:rsid w:val="0024022E"/>
    <w:rsid w:val="00241505"/>
    <w:rsid w:val="00241726"/>
    <w:rsid w:val="002417F4"/>
    <w:rsid w:val="00241E5C"/>
    <w:rsid w:val="00241F0D"/>
    <w:rsid w:val="00242BBD"/>
    <w:rsid w:val="0024387E"/>
    <w:rsid w:val="002448AE"/>
    <w:rsid w:val="00244997"/>
    <w:rsid w:val="00245C9B"/>
    <w:rsid w:val="00245E9F"/>
    <w:rsid w:val="00245F4A"/>
    <w:rsid w:val="002469F2"/>
    <w:rsid w:val="00246AFB"/>
    <w:rsid w:val="00246B2E"/>
    <w:rsid w:val="00246E51"/>
    <w:rsid w:val="00247184"/>
    <w:rsid w:val="00247289"/>
    <w:rsid w:val="0024768B"/>
    <w:rsid w:val="002477B9"/>
    <w:rsid w:val="002478E5"/>
    <w:rsid w:val="00247E00"/>
    <w:rsid w:val="002506F4"/>
    <w:rsid w:val="00250CD5"/>
    <w:rsid w:val="00250FE1"/>
    <w:rsid w:val="002519EB"/>
    <w:rsid w:val="00251DB5"/>
    <w:rsid w:val="00251FA0"/>
    <w:rsid w:val="0025225E"/>
    <w:rsid w:val="00252AF5"/>
    <w:rsid w:val="00252F31"/>
    <w:rsid w:val="002530FB"/>
    <w:rsid w:val="00253364"/>
    <w:rsid w:val="002537B5"/>
    <w:rsid w:val="00253A61"/>
    <w:rsid w:val="00253BA0"/>
    <w:rsid w:val="00254369"/>
    <w:rsid w:val="00254503"/>
    <w:rsid w:val="002549C5"/>
    <w:rsid w:val="0025560C"/>
    <w:rsid w:val="002556FB"/>
    <w:rsid w:val="002558D0"/>
    <w:rsid w:val="00255B04"/>
    <w:rsid w:val="00256075"/>
    <w:rsid w:val="002561D1"/>
    <w:rsid w:val="002564DD"/>
    <w:rsid w:val="002567AE"/>
    <w:rsid w:val="0025703E"/>
    <w:rsid w:val="002574EC"/>
    <w:rsid w:val="00257C00"/>
    <w:rsid w:val="00257D0E"/>
    <w:rsid w:val="00257FAF"/>
    <w:rsid w:val="00260208"/>
    <w:rsid w:val="00260290"/>
    <w:rsid w:val="00260E23"/>
    <w:rsid w:val="00261350"/>
    <w:rsid w:val="002615E0"/>
    <w:rsid w:val="002617F9"/>
    <w:rsid w:val="00261A22"/>
    <w:rsid w:val="002622A3"/>
    <w:rsid w:val="00262CB1"/>
    <w:rsid w:val="00262D2D"/>
    <w:rsid w:val="00262F02"/>
    <w:rsid w:val="00262F62"/>
    <w:rsid w:val="00264958"/>
    <w:rsid w:val="00264A68"/>
    <w:rsid w:val="00265B85"/>
    <w:rsid w:val="002664C3"/>
    <w:rsid w:val="002665DF"/>
    <w:rsid w:val="00266F25"/>
    <w:rsid w:val="00266FC7"/>
    <w:rsid w:val="00267830"/>
    <w:rsid w:val="00270060"/>
    <w:rsid w:val="00270C17"/>
    <w:rsid w:val="00270EAE"/>
    <w:rsid w:val="00270F09"/>
    <w:rsid w:val="00271AFD"/>
    <w:rsid w:val="00272418"/>
    <w:rsid w:val="00272654"/>
    <w:rsid w:val="00274068"/>
    <w:rsid w:val="00274246"/>
    <w:rsid w:val="0027425D"/>
    <w:rsid w:val="002755F2"/>
    <w:rsid w:val="00275950"/>
    <w:rsid w:val="00275A6A"/>
    <w:rsid w:val="00275D4C"/>
    <w:rsid w:val="00275EDC"/>
    <w:rsid w:val="00276781"/>
    <w:rsid w:val="00276B12"/>
    <w:rsid w:val="00276B89"/>
    <w:rsid w:val="00276FA2"/>
    <w:rsid w:val="002770D4"/>
    <w:rsid w:val="002776BD"/>
    <w:rsid w:val="00277D89"/>
    <w:rsid w:val="00280478"/>
    <w:rsid w:val="00280580"/>
    <w:rsid w:val="002805E5"/>
    <w:rsid w:val="00280692"/>
    <w:rsid w:val="00280C4A"/>
    <w:rsid w:val="00281406"/>
    <w:rsid w:val="00281BFD"/>
    <w:rsid w:val="00282157"/>
    <w:rsid w:val="00282459"/>
    <w:rsid w:val="002826DF"/>
    <w:rsid w:val="00282A07"/>
    <w:rsid w:val="00282E84"/>
    <w:rsid w:val="00282F10"/>
    <w:rsid w:val="00283570"/>
    <w:rsid w:val="0028357E"/>
    <w:rsid w:val="00283702"/>
    <w:rsid w:val="00283B43"/>
    <w:rsid w:val="00283E47"/>
    <w:rsid w:val="00283E83"/>
    <w:rsid w:val="00284D07"/>
    <w:rsid w:val="0028559E"/>
    <w:rsid w:val="0028618A"/>
    <w:rsid w:val="00286290"/>
    <w:rsid w:val="00286337"/>
    <w:rsid w:val="00286F2A"/>
    <w:rsid w:val="002876A4"/>
    <w:rsid w:val="00291FA1"/>
    <w:rsid w:val="00292109"/>
    <w:rsid w:val="0029229F"/>
    <w:rsid w:val="002922CF"/>
    <w:rsid w:val="002923B3"/>
    <w:rsid w:val="00292B29"/>
    <w:rsid w:val="00292BA6"/>
    <w:rsid w:val="00292FE2"/>
    <w:rsid w:val="0029338E"/>
    <w:rsid w:val="00293971"/>
    <w:rsid w:val="0029397A"/>
    <w:rsid w:val="00294014"/>
    <w:rsid w:val="00294996"/>
    <w:rsid w:val="00294C4A"/>
    <w:rsid w:val="00295073"/>
    <w:rsid w:val="00295485"/>
    <w:rsid w:val="00295513"/>
    <w:rsid w:val="0029560E"/>
    <w:rsid w:val="0029567A"/>
    <w:rsid w:val="0029599F"/>
    <w:rsid w:val="0029625B"/>
    <w:rsid w:val="0029657C"/>
    <w:rsid w:val="00296B54"/>
    <w:rsid w:val="00297073"/>
    <w:rsid w:val="00297BC8"/>
    <w:rsid w:val="00297EDF"/>
    <w:rsid w:val="002A0327"/>
    <w:rsid w:val="002A07D9"/>
    <w:rsid w:val="002A08D1"/>
    <w:rsid w:val="002A0A21"/>
    <w:rsid w:val="002A0EA5"/>
    <w:rsid w:val="002A0EB0"/>
    <w:rsid w:val="002A1102"/>
    <w:rsid w:val="002A17DB"/>
    <w:rsid w:val="002A19DE"/>
    <w:rsid w:val="002A1DCA"/>
    <w:rsid w:val="002A2313"/>
    <w:rsid w:val="002A254E"/>
    <w:rsid w:val="002A2E6D"/>
    <w:rsid w:val="002A327C"/>
    <w:rsid w:val="002A349F"/>
    <w:rsid w:val="002A390C"/>
    <w:rsid w:val="002A40BB"/>
    <w:rsid w:val="002A4C33"/>
    <w:rsid w:val="002A4EB9"/>
    <w:rsid w:val="002A4F0A"/>
    <w:rsid w:val="002A6EF7"/>
    <w:rsid w:val="002A6F32"/>
    <w:rsid w:val="002A6F8A"/>
    <w:rsid w:val="002A70D3"/>
    <w:rsid w:val="002A74DB"/>
    <w:rsid w:val="002A794E"/>
    <w:rsid w:val="002B0162"/>
    <w:rsid w:val="002B0176"/>
    <w:rsid w:val="002B02CB"/>
    <w:rsid w:val="002B03D7"/>
    <w:rsid w:val="002B05FE"/>
    <w:rsid w:val="002B06FE"/>
    <w:rsid w:val="002B07BB"/>
    <w:rsid w:val="002B0D42"/>
    <w:rsid w:val="002B15E3"/>
    <w:rsid w:val="002B1DC5"/>
    <w:rsid w:val="002B2148"/>
    <w:rsid w:val="002B253A"/>
    <w:rsid w:val="002B2680"/>
    <w:rsid w:val="002B286B"/>
    <w:rsid w:val="002B325B"/>
    <w:rsid w:val="002B39E0"/>
    <w:rsid w:val="002B3F11"/>
    <w:rsid w:val="002B476F"/>
    <w:rsid w:val="002B47DE"/>
    <w:rsid w:val="002B4EB7"/>
    <w:rsid w:val="002B5902"/>
    <w:rsid w:val="002B5A01"/>
    <w:rsid w:val="002B5D92"/>
    <w:rsid w:val="002B5F30"/>
    <w:rsid w:val="002B6419"/>
    <w:rsid w:val="002B6C5A"/>
    <w:rsid w:val="002B6E23"/>
    <w:rsid w:val="002B7335"/>
    <w:rsid w:val="002B75C5"/>
    <w:rsid w:val="002B770F"/>
    <w:rsid w:val="002B7C09"/>
    <w:rsid w:val="002B7C29"/>
    <w:rsid w:val="002B7D53"/>
    <w:rsid w:val="002B7E44"/>
    <w:rsid w:val="002C015D"/>
    <w:rsid w:val="002C0759"/>
    <w:rsid w:val="002C0A1F"/>
    <w:rsid w:val="002C0AF4"/>
    <w:rsid w:val="002C1125"/>
    <w:rsid w:val="002C1546"/>
    <w:rsid w:val="002C1876"/>
    <w:rsid w:val="002C1D8B"/>
    <w:rsid w:val="002C2255"/>
    <w:rsid w:val="002C245A"/>
    <w:rsid w:val="002C2841"/>
    <w:rsid w:val="002C2F73"/>
    <w:rsid w:val="002C30F5"/>
    <w:rsid w:val="002C35A9"/>
    <w:rsid w:val="002C36A7"/>
    <w:rsid w:val="002C42BE"/>
    <w:rsid w:val="002C4C37"/>
    <w:rsid w:val="002C4D88"/>
    <w:rsid w:val="002C56B2"/>
    <w:rsid w:val="002C62EA"/>
    <w:rsid w:val="002C6523"/>
    <w:rsid w:val="002C674D"/>
    <w:rsid w:val="002C6827"/>
    <w:rsid w:val="002C6DC0"/>
    <w:rsid w:val="002C6E1F"/>
    <w:rsid w:val="002C70E7"/>
    <w:rsid w:val="002C72E8"/>
    <w:rsid w:val="002C7816"/>
    <w:rsid w:val="002C781D"/>
    <w:rsid w:val="002C79D0"/>
    <w:rsid w:val="002C7E5A"/>
    <w:rsid w:val="002D009D"/>
    <w:rsid w:val="002D0B38"/>
    <w:rsid w:val="002D0D62"/>
    <w:rsid w:val="002D11BE"/>
    <w:rsid w:val="002D1E13"/>
    <w:rsid w:val="002D1E67"/>
    <w:rsid w:val="002D22E0"/>
    <w:rsid w:val="002D22E1"/>
    <w:rsid w:val="002D248C"/>
    <w:rsid w:val="002D2B7A"/>
    <w:rsid w:val="002D2E31"/>
    <w:rsid w:val="002D303D"/>
    <w:rsid w:val="002D319B"/>
    <w:rsid w:val="002D348F"/>
    <w:rsid w:val="002D3948"/>
    <w:rsid w:val="002D3997"/>
    <w:rsid w:val="002D3D08"/>
    <w:rsid w:val="002D43B5"/>
    <w:rsid w:val="002D4879"/>
    <w:rsid w:val="002D4DCC"/>
    <w:rsid w:val="002D4EF3"/>
    <w:rsid w:val="002D51AA"/>
    <w:rsid w:val="002D5CFA"/>
    <w:rsid w:val="002D5F35"/>
    <w:rsid w:val="002D5FCA"/>
    <w:rsid w:val="002D695F"/>
    <w:rsid w:val="002D6994"/>
    <w:rsid w:val="002D6B22"/>
    <w:rsid w:val="002D7218"/>
    <w:rsid w:val="002D738B"/>
    <w:rsid w:val="002D7607"/>
    <w:rsid w:val="002D79C0"/>
    <w:rsid w:val="002D7AC9"/>
    <w:rsid w:val="002E093A"/>
    <w:rsid w:val="002E0973"/>
    <w:rsid w:val="002E2245"/>
    <w:rsid w:val="002E251D"/>
    <w:rsid w:val="002E2652"/>
    <w:rsid w:val="002E268A"/>
    <w:rsid w:val="002E2D9C"/>
    <w:rsid w:val="002E2F68"/>
    <w:rsid w:val="002E3139"/>
    <w:rsid w:val="002E325F"/>
    <w:rsid w:val="002E3A11"/>
    <w:rsid w:val="002E40A0"/>
    <w:rsid w:val="002E42A4"/>
    <w:rsid w:val="002E48F3"/>
    <w:rsid w:val="002E497C"/>
    <w:rsid w:val="002E49C7"/>
    <w:rsid w:val="002E4C77"/>
    <w:rsid w:val="002E4D3F"/>
    <w:rsid w:val="002E5532"/>
    <w:rsid w:val="002E5697"/>
    <w:rsid w:val="002E581F"/>
    <w:rsid w:val="002E62B8"/>
    <w:rsid w:val="002E6B95"/>
    <w:rsid w:val="002E6E72"/>
    <w:rsid w:val="002F06D9"/>
    <w:rsid w:val="002F0900"/>
    <w:rsid w:val="002F097B"/>
    <w:rsid w:val="002F0D04"/>
    <w:rsid w:val="002F0F3D"/>
    <w:rsid w:val="002F1BDB"/>
    <w:rsid w:val="002F1C84"/>
    <w:rsid w:val="002F1E66"/>
    <w:rsid w:val="002F2249"/>
    <w:rsid w:val="002F231E"/>
    <w:rsid w:val="002F24EE"/>
    <w:rsid w:val="002F25B2"/>
    <w:rsid w:val="002F2891"/>
    <w:rsid w:val="002F4A5C"/>
    <w:rsid w:val="002F4E13"/>
    <w:rsid w:val="002F505A"/>
    <w:rsid w:val="002F5756"/>
    <w:rsid w:val="002F5EF0"/>
    <w:rsid w:val="002F65E5"/>
    <w:rsid w:val="002F69DE"/>
    <w:rsid w:val="002F6ED2"/>
    <w:rsid w:val="002F7123"/>
    <w:rsid w:val="002F7337"/>
    <w:rsid w:val="002F7930"/>
    <w:rsid w:val="002F7A15"/>
    <w:rsid w:val="0030097F"/>
    <w:rsid w:val="00300BCA"/>
    <w:rsid w:val="00300F4E"/>
    <w:rsid w:val="00301DCC"/>
    <w:rsid w:val="00301DE6"/>
    <w:rsid w:val="003022A4"/>
    <w:rsid w:val="00302581"/>
    <w:rsid w:val="003029A9"/>
    <w:rsid w:val="00302A23"/>
    <w:rsid w:val="00303772"/>
    <w:rsid w:val="00304304"/>
    <w:rsid w:val="00304607"/>
    <w:rsid w:val="003047AE"/>
    <w:rsid w:val="00304844"/>
    <w:rsid w:val="00304D30"/>
    <w:rsid w:val="00305011"/>
    <w:rsid w:val="00305209"/>
    <w:rsid w:val="00305577"/>
    <w:rsid w:val="00305C9C"/>
    <w:rsid w:val="00305D10"/>
    <w:rsid w:val="00305F22"/>
    <w:rsid w:val="003066B1"/>
    <w:rsid w:val="003069EB"/>
    <w:rsid w:val="00306B58"/>
    <w:rsid w:val="00306E84"/>
    <w:rsid w:val="00306EBC"/>
    <w:rsid w:val="0030701D"/>
    <w:rsid w:val="0030706A"/>
    <w:rsid w:val="00307805"/>
    <w:rsid w:val="00307CCB"/>
    <w:rsid w:val="00310603"/>
    <w:rsid w:val="00310F79"/>
    <w:rsid w:val="003116C7"/>
    <w:rsid w:val="00311A71"/>
    <w:rsid w:val="00312243"/>
    <w:rsid w:val="003127FB"/>
    <w:rsid w:val="00313323"/>
    <w:rsid w:val="003133B0"/>
    <w:rsid w:val="003138E8"/>
    <w:rsid w:val="00313965"/>
    <w:rsid w:val="00313CF2"/>
    <w:rsid w:val="00313F9E"/>
    <w:rsid w:val="0031418C"/>
    <w:rsid w:val="003142A0"/>
    <w:rsid w:val="003148CD"/>
    <w:rsid w:val="00314A00"/>
    <w:rsid w:val="00315395"/>
    <w:rsid w:val="003157A7"/>
    <w:rsid w:val="00315ADD"/>
    <w:rsid w:val="0031696F"/>
    <w:rsid w:val="00316E03"/>
    <w:rsid w:val="00316F3F"/>
    <w:rsid w:val="0031748B"/>
    <w:rsid w:val="00317EE0"/>
    <w:rsid w:val="00320767"/>
    <w:rsid w:val="0032172D"/>
    <w:rsid w:val="00322131"/>
    <w:rsid w:val="00322202"/>
    <w:rsid w:val="00322834"/>
    <w:rsid w:val="0032296F"/>
    <w:rsid w:val="00322C64"/>
    <w:rsid w:val="00323649"/>
    <w:rsid w:val="00323822"/>
    <w:rsid w:val="003238C5"/>
    <w:rsid w:val="003238FC"/>
    <w:rsid w:val="00323DAD"/>
    <w:rsid w:val="00324315"/>
    <w:rsid w:val="0032444D"/>
    <w:rsid w:val="003258D5"/>
    <w:rsid w:val="00325971"/>
    <w:rsid w:val="003259BC"/>
    <w:rsid w:val="003261D0"/>
    <w:rsid w:val="00326682"/>
    <w:rsid w:val="00326916"/>
    <w:rsid w:val="00326945"/>
    <w:rsid w:val="003270CA"/>
    <w:rsid w:val="003276E3"/>
    <w:rsid w:val="00327FC4"/>
    <w:rsid w:val="00330186"/>
    <w:rsid w:val="00331237"/>
    <w:rsid w:val="00331548"/>
    <w:rsid w:val="00331B6E"/>
    <w:rsid w:val="003322C1"/>
    <w:rsid w:val="0033280E"/>
    <w:rsid w:val="00332B4E"/>
    <w:rsid w:val="00332E3B"/>
    <w:rsid w:val="003337A4"/>
    <w:rsid w:val="00333965"/>
    <w:rsid w:val="00333C96"/>
    <w:rsid w:val="00333DB6"/>
    <w:rsid w:val="00333E4A"/>
    <w:rsid w:val="00333FF5"/>
    <w:rsid w:val="00334224"/>
    <w:rsid w:val="00334830"/>
    <w:rsid w:val="00334CE7"/>
    <w:rsid w:val="00334D43"/>
    <w:rsid w:val="00334EE8"/>
    <w:rsid w:val="00336052"/>
    <w:rsid w:val="0033657C"/>
    <w:rsid w:val="00336748"/>
    <w:rsid w:val="00336B40"/>
    <w:rsid w:val="00336EC5"/>
    <w:rsid w:val="00337125"/>
    <w:rsid w:val="00337939"/>
    <w:rsid w:val="00340578"/>
    <w:rsid w:val="00340F47"/>
    <w:rsid w:val="003419AB"/>
    <w:rsid w:val="00341BA6"/>
    <w:rsid w:val="00341C0A"/>
    <w:rsid w:val="00341C4E"/>
    <w:rsid w:val="00342098"/>
    <w:rsid w:val="00342519"/>
    <w:rsid w:val="003427B9"/>
    <w:rsid w:val="003429E7"/>
    <w:rsid w:val="00342AD4"/>
    <w:rsid w:val="00342F7B"/>
    <w:rsid w:val="003431C8"/>
    <w:rsid w:val="00343310"/>
    <w:rsid w:val="00343681"/>
    <w:rsid w:val="00343B0E"/>
    <w:rsid w:val="00343FCD"/>
    <w:rsid w:val="003441DE"/>
    <w:rsid w:val="0034446E"/>
    <w:rsid w:val="0034482D"/>
    <w:rsid w:val="00344EEA"/>
    <w:rsid w:val="0034546E"/>
    <w:rsid w:val="003454D4"/>
    <w:rsid w:val="0034588E"/>
    <w:rsid w:val="00346250"/>
    <w:rsid w:val="003463B6"/>
    <w:rsid w:val="003464F0"/>
    <w:rsid w:val="00346B50"/>
    <w:rsid w:val="0034730F"/>
    <w:rsid w:val="00347449"/>
    <w:rsid w:val="00347C61"/>
    <w:rsid w:val="00350028"/>
    <w:rsid w:val="003502B0"/>
    <w:rsid w:val="0035077F"/>
    <w:rsid w:val="003508AB"/>
    <w:rsid w:val="00350920"/>
    <w:rsid w:val="003509B8"/>
    <w:rsid w:val="00350C3A"/>
    <w:rsid w:val="00350DD1"/>
    <w:rsid w:val="00350E1A"/>
    <w:rsid w:val="00350F6D"/>
    <w:rsid w:val="00351631"/>
    <w:rsid w:val="003528A1"/>
    <w:rsid w:val="00352FC9"/>
    <w:rsid w:val="0035305F"/>
    <w:rsid w:val="003533F6"/>
    <w:rsid w:val="0035372B"/>
    <w:rsid w:val="00353FED"/>
    <w:rsid w:val="0035492A"/>
    <w:rsid w:val="00355009"/>
    <w:rsid w:val="0035516D"/>
    <w:rsid w:val="003551BD"/>
    <w:rsid w:val="00355A15"/>
    <w:rsid w:val="00355A8B"/>
    <w:rsid w:val="00355D10"/>
    <w:rsid w:val="00355F64"/>
    <w:rsid w:val="00356430"/>
    <w:rsid w:val="0035674D"/>
    <w:rsid w:val="00356B5A"/>
    <w:rsid w:val="00356E77"/>
    <w:rsid w:val="003574A3"/>
    <w:rsid w:val="003575AB"/>
    <w:rsid w:val="0035773D"/>
    <w:rsid w:val="00357EF2"/>
    <w:rsid w:val="00360330"/>
    <w:rsid w:val="0036081F"/>
    <w:rsid w:val="00360C5B"/>
    <w:rsid w:val="003616BF"/>
    <w:rsid w:val="0036198A"/>
    <w:rsid w:val="00361CE3"/>
    <w:rsid w:val="003624E7"/>
    <w:rsid w:val="0036358E"/>
    <w:rsid w:val="00363704"/>
    <w:rsid w:val="00363B7C"/>
    <w:rsid w:val="00363C9C"/>
    <w:rsid w:val="00363EB9"/>
    <w:rsid w:val="003644EB"/>
    <w:rsid w:val="003644F0"/>
    <w:rsid w:val="0036498E"/>
    <w:rsid w:val="00364F48"/>
    <w:rsid w:val="00364F6F"/>
    <w:rsid w:val="0036516A"/>
    <w:rsid w:val="0036521A"/>
    <w:rsid w:val="003655FC"/>
    <w:rsid w:val="00365985"/>
    <w:rsid w:val="00365B94"/>
    <w:rsid w:val="00365BD9"/>
    <w:rsid w:val="003661FC"/>
    <w:rsid w:val="003668B8"/>
    <w:rsid w:val="00366F8A"/>
    <w:rsid w:val="00367AF4"/>
    <w:rsid w:val="003702F9"/>
    <w:rsid w:val="003705C1"/>
    <w:rsid w:val="0037101A"/>
    <w:rsid w:val="00371254"/>
    <w:rsid w:val="003712EF"/>
    <w:rsid w:val="003718E3"/>
    <w:rsid w:val="003718EC"/>
    <w:rsid w:val="00371A7F"/>
    <w:rsid w:val="00372253"/>
    <w:rsid w:val="003722DB"/>
    <w:rsid w:val="00372CDA"/>
    <w:rsid w:val="00372E3B"/>
    <w:rsid w:val="0037374F"/>
    <w:rsid w:val="003739D4"/>
    <w:rsid w:val="003743F5"/>
    <w:rsid w:val="00374880"/>
    <w:rsid w:val="00374A4C"/>
    <w:rsid w:val="00374C20"/>
    <w:rsid w:val="00374DC7"/>
    <w:rsid w:val="00374E70"/>
    <w:rsid w:val="00375123"/>
    <w:rsid w:val="0037517E"/>
    <w:rsid w:val="003752BC"/>
    <w:rsid w:val="003753EE"/>
    <w:rsid w:val="00375516"/>
    <w:rsid w:val="00375704"/>
    <w:rsid w:val="00375A6F"/>
    <w:rsid w:val="00375C5E"/>
    <w:rsid w:val="00375C61"/>
    <w:rsid w:val="00376606"/>
    <w:rsid w:val="0037696E"/>
    <w:rsid w:val="00377824"/>
    <w:rsid w:val="0037784B"/>
    <w:rsid w:val="003801DB"/>
    <w:rsid w:val="00381214"/>
    <w:rsid w:val="00381B9F"/>
    <w:rsid w:val="00381DE4"/>
    <w:rsid w:val="00382327"/>
    <w:rsid w:val="00382AED"/>
    <w:rsid w:val="00383335"/>
    <w:rsid w:val="00383F2F"/>
    <w:rsid w:val="00384282"/>
    <w:rsid w:val="00384C2C"/>
    <w:rsid w:val="00386092"/>
    <w:rsid w:val="00386DA9"/>
    <w:rsid w:val="003871C6"/>
    <w:rsid w:val="003874A9"/>
    <w:rsid w:val="003874EC"/>
    <w:rsid w:val="00387D44"/>
    <w:rsid w:val="003901B6"/>
    <w:rsid w:val="003902FF"/>
    <w:rsid w:val="00390936"/>
    <w:rsid w:val="00391131"/>
    <w:rsid w:val="0039122C"/>
    <w:rsid w:val="003913EB"/>
    <w:rsid w:val="003914F7"/>
    <w:rsid w:val="00391B00"/>
    <w:rsid w:val="00392966"/>
    <w:rsid w:val="00392ACE"/>
    <w:rsid w:val="00393410"/>
    <w:rsid w:val="00393A62"/>
    <w:rsid w:val="003951B5"/>
    <w:rsid w:val="00395919"/>
    <w:rsid w:val="00395B72"/>
    <w:rsid w:val="0039602F"/>
    <w:rsid w:val="003962C8"/>
    <w:rsid w:val="00396915"/>
    <w:rsid w:val="00396976"/>
    <w:rsid w:val="00396C43"/>
    <w:rsid w:val="00396C9C"/>
    <w:rsid w:val="00397507"/>
    <w:rsid w:val="003976F3"/>
    <w:rsid w:val="00397BB2"/>
    <w:rsid w:val="00397C51"/>
    <w:rsid w:val="003A0C9F"/>
    <w:rsid w:val="003A0F0C"/>
    <w:rsid w:val="003A1A27"/>
    <w:rsid w:val="003A1A6D"/>
    <w:rsid w:val="003A2AF4"/>
    <w:rsid w:val="003A2CF9"/>
    <w:rsid w:val="003A33A8"/>
    <w:rsid w:val="003A33B0"/>
    <w:rsid w:val="003A37F7"/>
    <w:rsid w:val="003A3E60"/>
    <w:rsid w:val="003A3EE7"/>
    <w:rsid w:val="003A43E4"/>
    <w:rsid w:val="003A469A"/>
    <w:rsid w:val="003A4910"/>
    <w:rsid w:val="003A4B3C"/>
    <w:rsid w:val="003A4EA6"/>
    <w:rsid w:val="003A4F23"/>
    <w:rsid w:val="003A508C"/>
    <w:rsid w:val="003A5140"/>
    <w:rsid w:val="003A64A3"/>
    <w:rsid w:val="003A7098"/>
    <w:rsid w:val="003A72C4"/>
    <w:rsid w:val="003A7E4E"/>
    <w:rsid w:val="003A7EDD"/>
    <w:rsid w:val="003A7F20"/>
    <w:rsid w:val="003B0C5B"/>
    <w:rsid w:val="003B0E14"/>
    <w:rsid w:val="003B0EA0"/>
    <w:rsid w:val="003B1977"/>
    <w:rsid w:val="003B1EEB"/>
    <w:rsid w:val="003B2048"/>
    <w:rsid w:val="003B25EF"/>
    <w:rsid w:val="003B2827"/>
    <w:rsid w:val="003B2C60"/>
    <w:rsid w:val="003B2D2F"/>
    <w:rsid w:val="003B302D"/>
    <w:rsid w:val="003B32E0"/>
    <w:rsid w:val="003B36B3"/>
    <w:rsid w:val="003B3942"/>
    <w:rsid w:val="003B4112"/>
    <w:rsid w:val="003B49D8"/>
    <w:rsid w:val="003B4FC0"/>
    <w:rsid w:val="003B53F0"/>
    <w:rsid w:val="003B5677"/>
    <w:rsid w:val="003B5BA9"/>
    <w:rsid w:val="003B6257"/>
    <w:rsid w:val="003B6961"/>
    <w:rsid w:val="003B6A4B"/>
    <w:rsid w:val="003B6D69"/>
    <w:rsid w:val="003B7501"/>
    <w:rsid w:val="003B7541"/>
    <w:rsid w:val="003C0DAA"/>
    <w:rsid w:val="003C0DCB"/>
    <w:rsid w:val="003C0FB6"/>
    <w:rsid w:val="003C176A"/>
    <w:rsid w:val="003C2571"/>
    <w:rsid w:val="003C2799"/>
    <w:rsid w:val="003C3960"/>
    <w:rsid w:val="003C3A9D"/>
    <w:rsid w:val="003C3F98"/>
    <w:rsid w:val="003C42A9"/>
    <w:rsid w:val="003C4797"/>
    <w:rsid w:val="003C4F43"/>
    <w:rsid w:val="003C5680"/>
    <w:rsid w:val="003C58FE"/>
    <w:rsid w:val="003C5AE4"/>
    <w:rsid w:val="003C6E68"/>
    <w:rsid w:val="003C6E95"/>
    <w:rsid w:val="003C7259"/>
    <w:rsid w:val="003C7598"/>
    <w:rsid w:val="003C75ED"/>
    <w:rsid w:val="003C7D3D"/>
    <w:rsid w:val="003C7D62"/>
    <w:rsid w:val="003D00FC"/>
    <w:rsid w:val="003D01DA"/>
    <w:rsid w:val="003D04C0"/>
    <w:rsid w:val="003D0F6F"/>
    <w:rsid w:val="003D1071"/>
    <w:rsid w:val="003D15F6"/>
    <w:rsid w:val="003D16F4"/>
    <w:rsid w:val="003D1A30"/>
    <w:rsid w:val="003D1ACF"/>
    <w:rsid w:val="003D1D88"/>
    <w:rsid w:val="003D2004"/>
    <w:rsid w:val="003D2D09"/>
    <w:rsid w:val="003D2D8C"/>
    <w:rsid w:val="003D329C"/>
    <w:rsid w:val="003D354A"/>
    <w:rsid w:val="003D374A"/>
    <w:rsid w:val="003D450B"/>
    <w:rsid w:val="003D47E3"/>
    <w:rsid w:val="003D4F74"/>
    <w:rsid w:val="003D525A"/>
    <w:rsid w:val="003D56F2"/>
    <w:rsid w:val="003D5BB5"/>
    <w:rsid w:val="003D5C4F"/>
    <w:rsid w:val="003D5CBA"/>
    <w:rsid w:val="003D5F29"/>
    <w:rsid w:val="003D62F5"/>
    <w:rsid w:val="003D63F8"/>
    <w:rsid w:val="003D6440"/>
    <w:rsid w:val="003D6573"/>
    <w:rsid w:val="003D673C"/>
    <w:rsid w:val="003D6837"/>
    <w:rsid w:val="003D69F2"/>
    <w:rsid w:val="003D6DF7"/>
    <w:rsid w:val="003D7780"/>
    <w:rsid w:val="003E0191"/>
    <w:rsid w:val="003E09DB"/>
    <w:rsid w:val="003E1149"/>
    <w:rsid w:val="003E14D9"/>
    <w:rsid w:val="003E15E1"/>
    <w:rsid w:val="003E160A"/>
    <w:rsid w:val="003E1A97"/>
    <w:rsid w:val="003E1DED"/>
    <w:rsid w:val="003E2378"/>
    <w:rsid w:val="003E241D"/>
    <w:rsid w:val="003E24D7"/>
    <w:rsid w:val="003E25BB"/>
    <w:rsid w:val="003E280A"/>
    <w:rsid w:val="003E2947"/>
    <w:rsid w:val="003E2CD1"/>
    <w:rsid w:val="003E2FEA"/>
    <w:rsid w:val="003E342B"/>
    <w:rsid w:val="003E3C00"/>
    <w:rsid w:val="003E3F95"/>
    <w:rsid w:val="003E4915"/>
    <w:rsid w:val="003E4E61"/>
    <w:rsid w:val="003E50E4"/>
    <w:rsid w:val="003E5173"/>
    <w:rsid w:val="003E54B4"/>
    <w:rsid w:val="003E55F5"/>
    <w:rsid w:val="003E5A53"/>
    <w:rsid w:val="003E6159"/>
    <w:rsid w:val="003E62CD"/>
    <w:rsid w:val="003E6343"/>
    <w:rsid w:val="003E64EE"/>
    <w:rsid w:val="003E6711"/>
    <w:rsid w:val="003E69C7"/>
    <w:rsid w:val="003E69D7"/>
    <w:rsid w:val="003E7043"/>
    <w:rsid w:val="003E78AC"/>
    <w:rsid w:val="003F03BB"/>
    <w:rsid w:val="003F06D2"/>
    <w:rsid w:val="003F115F"/>
    <w:rsid w:val="003F1348"/>
    <w:rsid w:val="003F17B7"/>
    <w:rsid w:val="003F186D"/>
    <w:rsid w:val="003F28D6"/>
    <w:rsid w:val="003F30E9"/>
    <w:rsid w:val="003F31E2"/>
    <w:rsid w:val="003F3BD7"/>
    <w:rsid w:val="003F4067"/>
    <w:rsid w:val="003F47D4"/>
    <w:rsid w:val="003F4BC4"/>
    <w:rsid w:val="003F4C57"/>
    <w:rsid w:val="003F4CB4"/>
    <w:rsid w:val="003F5802"/>
    <w:rsid w:val="003F59D8"/>
    <w:rsid w:val="003F5C7E"/>
    <w:rsid w:val="003F5FA9"/>
    <w:rsid w:val="003F6045"/>
    <w:rsid w:val="003F60D0"/>
    <w:rsid w:val="003F6CB1"/>
    <w:rsid w:val="003F6F2B"/>
    <w:rsid w:val="003F7DE7"/>
    <w:rsid w:val="004003A4"/>
    <w:rsid w:val="0040048F"/>
    <w:rsid w:val="00400873"/>
    <w:rsid w:val="00401282"/>
    <w:rsid w:val="004013CD"/>
    <w:rsid w:val="00401676"/>
    <w:rsid w:val="00401991"/>
    <w:rsid w:val="00401A09"/>
    <w:rsid w:val="00401ABA"/>
    <w:rsid w:val="00401EA7"/>
    <w:rsid w:val="00402476"/>
    <w:rsid w:val="00402593"/>
    <w:rsid w:val="00402EBD"/>
    <w:rsid w:val="004030B0"/>
    <w:rsid w:val="004031C7"/>
    <w:rsid w:val="00403209"/>
    <w:rsid w:val="00403D9F"/>
    <w:rsid w:val="00403F4C"/>
    <w:rsid w:val="00403F4D"/>
    <w:rsid w:val="004041DF"/>
    <w:rsid w:val="004044E6"/>
    <w:rsid w:val="00404856"/>
    <w:rsid w:val="004059BD"/>
    <w:rsid w:val="00405A2B"/>
    <w:rsid w:val="00405DAF"/>
    <w:rsid w:val="004062E4"/>
    <w:rsid w:val="004066B0"/>
    <w:rsid w:val="004066FA"/>
    <w:rsid w:val="00406B6D"/>
    <w:rsid w:val="00407975"/>
    <w:rsid w:val="00407F37"/>
    <w:rsid w:val="00407FC7"/>
    <w:rsid w:val="00410AFA"/>
    <w:rsid w:val="004111FB"/>
    <w:rsid w:val="00411810"/>
    <w:rsid w:val="00411890"/>
    <w:rsid w:val="004118B6"/>
    <w:rsid w:val="00411E7D"/>
    <w:rsid w:val="00411F8F"/>
    <w:rsid w:val="0041246A"/>
    <w:rsid w:val="00412AA6"/>
    <w:rsid w:val="00412BB7"/>
    <w:rsid w:val="00412D3C"/>
    <w:rsid w:val="00412F79"/>
    <w:rsid w:val="0041316D"/>
    <w:rsid w:val="00413983"/>
    <w:rsid w:val="0041407B"/>
    <w:rsid w:val="00414816"/>
    <w:rsid w:val="004149DB"/>
    <w:rsid w:val="00414CF0"/>
    <w:rsid w:val="004150A3"/>
    <w:rsid w:val="00415299"/>
    <w:rsid w:val="004155E8"/>
    <w:rsid w:val="00415EC3"/>
    <w:rsid w:val="00416122"/>
    <w:rsid w:val="00416AB2"/>
    <w:rsid w:val="00416EF8"/>
    <w:rsid w:val="00416F77"/>
    <w:rsid w:val="0041708C"/>
    <w:rsid w:val="004173B0"/>
    <w:rsid w:val="004173D1"/>
    <w:rsid w:val="0041755B"/>
    <w:rsid w:val="00417698"/>
    <w:rsid w:val="00420A32"/>
    <w:rsid w:val="00420E9B"/>
    <w:rsid w:val="00421179"/>
    <w:rsid w:val="0042124D"/>
    <w:rsid w:val="00421250"/>
    <w:rsid w:val="00421477"/>
    <w:rsid w:val="00421763"/>
    <w:rsid w:val="0042189E"/>
    <w:rsid w:val="00421AB2"/>
    <w:rsid w:val="00421D00"/>
    <w:rsid w:val="004225B5"/>
    <w:rsid w:val="004227FD"/>
    <w:rsid w:val="00422D24"/>
    <w:rsid w:val="0042360E"/>
    <w:rsid w:val="0042379D"/>
    <w:rsid w:val="0042395D"/>
    <w:rsid w:val="00423E99"/>
    <w:rsid w:val="0042412B"/>
    <w:rsid w:val="0042425D"/>
    <w:rsid w:val="0042453C"/>
    <w:rsid w:val="004247D8"/>
    <w:rsid w:val="00424D42"/>
    <w:rsid w:val="00424DDB"/>
    <w:rsid w:val="0042528E"/>
    <w:rsid w:val="00425AB1"/>
    <w:rsid w:val="00425F8C"/>
    <w:rsid w:val="00426103"/>
    <w:rsid w:val="00427005"/>
    <w:rsid w:val="004274A1"/>
    <w:rsid w:val="00430146"/>
    <w:rsid w:val="0043051E"/>
    <w:rsid w:val="00430CAA"/>
    <w:rsid w:val="00431150"/>
    <w:rsid w:val="0043159E"/>
    <w:rsid w:val="00432122"/>
    <w:rsid w:val="00432394"/>
    <w:rsid w:val="004326D6"/>
    <w:rsid w:val="00432794"/>
    <w:rsid w:val="00432836"/>
    <w:rsid w:val="00432F13"/>
    <w:rsid w:val="00433065"/>
    <w:rsid w:val="004332D2"/>
    <w:rsid w:val="0043356A"/>
    <w:rsid w:val="00433F0B"/>
    <w:rsid w:val="004342D6"/>
    <w:rsid w:val="0043466F"/>
    <w:rsid w:val="00434E13"/>
    <w:rsid w:val="0043573F"/>
    <w:rsid w:val="00435B44"/>
    <w:rsid w:val="00435BB4"/>
    <w:rsid w:val="00435F25"/>
    <w:rsid w:val="00436594"/>
    <w:rsid w:val="0043683E"/>
    <w:rsid w:val="00436A7E"/>
    <w:rsid w:val="00436BD2"/>
    <w:rsid w:val="00436F4A"/>
    <w:rsid w:val="00437531"/>
    <w:rsid w:val="0043774F"/>
    <w:rsid w:val="00437C4C"/>
    <w:rsid w:val="00437D2B"/>
    <w:rsid w:val="004400CD"/>
    <w:rsid w:val="004404F4"/>
    <w:rsid w:val="00440B12"/>
    <w:rsid w:val="00440D43"/>
    <w:rsid w:val="00440F11"/>
    <w:rsid w:val="00441958"/>
    <w:rsid w:val="00441F3F"/>
    <w:rsid w:val="00441F66"/>
    <w:rsid w:val="00442558"/>
    <w:rsid w:val="00442EE2"/>
    <w:rsid w:val="00443162"/>
    <w:rsid w:val="00443517"/>
    <w:rsid w:val="004436B4"/>
    <w:rsid w:val="004439BD"/>
    <w:rsid w:val="00443A85"/>
    <w:rsid w:val="004440B8"/>
    <w:rsid w:val="0044464D"/>
    <w:rsid w:val="00444983"/>
    <w:rsid w:val="00444E60"/>
    <w:rsid w:val="00445A09"/>
    <w:rsid w:val="00445E18"/>
    <w:rsid w:val="0044641D"/>
    <w:rsid w:val="00446969"/>
    <w:rsid w:val="00446DE5"/>
    <w:rsid w:val="0044792E"/>
    <w:rsid w:val="00447ED7"/>
    <w:rsid w:val="004501A9"/>
    <w:rsid w:val="00450583"/>
    <w:rsid w:val="004506AA"/>
    <w:rsid w:val="00450C64"/>
    <w:rsid w:val="004510AA"/>
    <w:rsid w:val="00451625"/>
    <w:rsid w:val="00451C0F"/>
    <w:rsid w:val="00451CF8"/>
    <w:rsid w:val="0045218A"/>
    <w:rsid w:val="004522CC"/>
    <w:rsid w:val="0045256E"/>
    <w:rsid w:val="00453265"/>
    <w:rsid w:val="004532FB"/>
    <w:rsid w:val="004538FC"/>
    <w:rsid w:val="00453CFB"/>
    <w:rsid w:val="00453D0C"/>
    <w:rsid w:val="004543F2"/>
    <w:rsid w:val="00454AE0"/>
    <w:rsid w:val="00455422"/>
    <w:rsid w:val="00455E7B"/>
    <w:rsid w:val="00455F1E"/>
    <w:rsid w:val="0045637F"/>
    <w:rsid w:val="0045678A"/>
    <w:rsid w:val="004569A8"/>
    <w:rsid w:val="00456BC0"/>
    <w:rsid w:val="00456C9A"/>
    <w:rsid w:val="00456F17"/>
    <w:rsid w:val="004574AC"/>
    <w:rsid w:val="00457E1F"/>
    <w:rsid w:val="00457E35"/>
    <w:rsid w:val="00460208"/>
    <w:rsid w:val="00460904"/>
    <w:rsid w:val="004609AD"/>
    <w:rsid w:val="00460A1E"/>
    <w:rsid w:val="004611E9"/>
    <w:rsid w:val="00461313"/>
    <w:rsid w:val="0046144C"/>
    <w:rsid w:val="00461971"/>
    <w:rsid w:val="00461F0A"/>
    <w:rsid w:val="0046247C"/>
    <w:rsid w:val="00462944"/>
    <w:rsid w:val="00462A10"/>
    <w:rsid w:val="00462AAB"/>
    <w:rsid w:val="00462F87"/>
    <w:rsid w:val="00462FA0"/>
    <w:rsid w:val="004637F0"/>
    <w:rsid w:val="004639C6"/>
    <w:rsid w:val="00463DD2"/>
    <w:rsid w:val="0046422E"/>
    <w:rsid w:val="004644E1"/>
    <w:rsid w:val="0046458B"/>
    <w:rsid w:val="00464A1A"/>
    <w:rsid w:val="00465D60"/>
    <w:rsid w:val="00465F86"/>
    <w:rsid w:val="00466508"/>
    <w:rsid w:val="00466521"/>
    <w:rsid w:val="004678EE"/>
    <w:rsid w:val="00467B56"/>
    <w:rsid w:val="00467CA1"/>
    <w:rsid w:val="00470364"/>
    <w:rsid w:val="00470BC9"/>
    <w:rsid w:val="00470C51"/>
    <w:rsid w:val="00470D4D"/>
    <w:rsid w:val="00470E33"/>
    <w:rsid w:val="00470F40"/>
    <w:rsid w:val="00471407"/>
    <w:rsid w:val="00471629"/>
    <w:rsid w:val="00471FEF"/>
    <w:rsid w:val="0047236B"/>
    <w:rsid w:val="004730BD"/>
    <w:rsid w:val="0047381B"/>
    <w:rsid w:val="00473D4C"/>
    <w:rsid w:val="004743B9"/>
    <w:rsid w:val="00474652"/>
    <w:rsid w:val="00474BD0"/>
    <w:rsid w:val="00474CC6"/>
    <w:rsid w:val="00476D2B"/>
    <w:rsid w:val="004776BD"/>
    <w:rsid w:val="004801A4"/>
    <w:rsid w:val="00480423"/>
    <w:rsid w:val="00480A34"/>
    <w:rsid w:val="00480ABD"/>
    <w:rsid w:val="00481227"/>
    <w:rsid w:val="0048133B"/>
    <w:rsid w:val="00481BBE"/>
    <w:rsid w:val="00481F3A"/>
    <w:rsid w:val="00482278"/>
    <w:rsid w:val="00482280"/>
    <w:rsid w:val="0048233E"/>
    <w:rsid w:val="0048243B"/>
    <w:rsid w:val="004827C3"/>
    <w:rsid w:val="00482EA3"/>
    <w:rsid w:val="004831B1"/>
    <w:rsid w:val="00483757"/>
    <w:rsid w:val="00483C7B"/>
    <w:rsid w:val="00483CDB"/>
    <w:rsid w:val="00484198"/>
    <w:rsid w:val="004842E4"/>
    <w:rsid w:val="004843BD"/>
    <w:rsid w:val="00484474"/>
    <w:rsid w:val="00484CC3"/>
    <w:rsid w:val="0048549F"/>
    <w:rsid w:val="004857C1"/>
    <w:rsid w:val="00485BC5"/>
    <w:rsid w:val="00485E50"/>
    <w:rsid w:val="004866A7"/>
    <w:rsid w:val="00486B55"/>
    <w:rsid w:val="00486CAC"/>
    <w:rsid w:val="0048702F"/>
    <w:rsid w:val="004872E3"/>
    <w:rsid w:val="0048797C"/>
    <w:rsid w:val="00487E07"/>
    <w:rsid w:val="004900BF"/>
    <w:rsid w:val="004915A8"/>
    <w:rsid w:val="00491FC9"/>
    <w:rsid w:val="0049265B"/>
    <w:rsid w:val="0049286A"/>
    <w:rsid w:val="00492C0D"/>
    <w:rsid w:val="00493AB0"/>
    <w:rsid w:val="00493BBF"/>
    <w:rsid w:val="00493D79"/>
    <w:rsid w:val="004947C6"/>
    <w:rsid w:val="0049587F"/>
    <w:rsid w:val="0049593B"/>
    <w:rsid w:val="00495AD7"/>
    <w:rsid w:val="00495CDC"/>
    <w:rsid w:val="004962A6"/>
    <w:rsid w:val="00497118"/>
    <w:rsid w:val="00497A5F"/>
    <w:rsid w:val="00497E77"/>
    <w:rsid w:val="004A026F"/>
    <w:rsid w:val="004A02AA"/>
    <w:rsid w:val="004A05FE"/>
    <w:rsid w:val="004A07CC"/>
    <w:rsid w:val="004A0F5C"/>
    <w:rsid w:val="004A1B50"/>
    <w:rsid w:val="004A2829"/>
    <w:rsid w:val="004A2A7D"/>
    <w:rsid w:val="004A2F39"/>
    <w:rsid w:val="004A34A3"/>
    <w:rsid w:val="004A3EE3"/>
    <w:rsid w:val="004A4288"/>
    <w:rsid w:val="004A4AB9"/>
    <w:rsid w:val="004A4DB5"/>
    <w:rsid w:val="004A50ED"/>
    <w:rsid w:val="004A5869"/>
    <w:rsid w:val="004A592C"/>
    <w:rsid w:val="004A59D2"/>
    <w:rsid w:val="004A5B77"/>
    <w:rsid w:val="004A623C"/>
    <w:rsid w:val="004A683A"/>
    <w:rsid w:val="004A6A3F"/>
    <w:rsid w:val="004A7672"/>
    <w:rsid w:val="004A7881"/>
    <w:rsid w:val="004A7E54"/>
    <w:rsid w:val="004A7E88"/>
    <w:rsid w:val="004B17F5"/>
    <w:rsid w:val="004B219C"/>
    <w:rsid w:val="004B2B2E"/>
    <w:rsid w:val="004B2DA8"/>
    <w:rsid w:val="004B310B"/>
    <w:rsid w:val="004B3EA5"/>
    <w:rsid w:val="004B47B6"/>
    <w:rsid w:val="004B5028"/>
    <w:rsid w:val="004B539A"/>
    <w:rsid w:val="004B59B6"/>
    <w:rsid w:val="004B6F42"/>
    <w:rsid w:val="004B7688"/>
    <w:rsid w:val="004B7A55"/>
    <w:rsid w:val="004C02A8"/>
    <w:rsid w:val="004C15EB"/>
    <w:rsid w:val="004C18B4"/>
    <w:rsid w:val="004C19D4"/>
    <w:rsid w:val="004C1C95"/>
    <w:rsid w:val="004C2359"/>
    <w:rsid w:val="004C23D0"/>
    <w:rsid w:val="004C29FF"/>
    <w:rsid w:val="004C2AEC"/>
    <w:rsid w:val="004C32D8"/>
    <w:rsid w:val="004C34BC"/>
    <w:rsid w:val="004C3C25"/>
    <w:rsid w:val="004C3DC4"/>
    <w:rsid w:val="004C3E39"/>
    <w:rsid w:val="004C3E8E"/>
    <w:rsid w:val="004C4C34"/>
    <w:rsid w:val="004C4F65"/>
    <w:rsid w:val="004C50E9"/>
    <w:rsid w:val="004C5262"/>
    <w:rsid w:val="004C585C"/>
    <w:rsid w:val="004C6228"/>
    <w:rsid w:val="004C62AD"/>
    <w:rsid w:val="004C67BC"/>
    <w:rsid w:val="004C68A4"/>
    <w:rsid w:val="004C6EC6"/>
    <w:rsid w:val="004C6F69"/>
    <w:rsid w:val="004C7042"/>
    <w:rsid w:val="004C789B"/>
    <w:rsid w:val="004C7BB2"/>
    <w:rsid w:val="004D06F2"/>
    <w:rsid w:val="004D0BF8"/>
    <w:rsid w:val="004D0EEC"/>
    <w:rsid w:val="004D0F59"/>
    <w:rsid w:val="004D0FAA"/>
    <w:rsid w:val="004D13C5"/>
    <w:rsid w:val="004D1862"/>
    <w:rsid w:val="004D1BA8"/>
    <w:rsid w:val="004D1DDD"/>
    <w:rsid w:val="004D1E5F"/>
    <w:rsid w:val="004D20DE"/>
    <w:rsid w:val="004D24FC"/>
    <w:rsid w:val="004D276A"/>
    <w:rsid w:val="004D30EC"/>
    <w:rsid w:val="004D3AA0"/>
    <w:rsid w:val="004D3C22"/>
    <w:rsid w:val="004D3E58"/>
    <w:rsid w:val="004D434E"/>
    <w:rsid w:val="004D4916"/>
    <w:rsid w:val="004D49B3"/>
    <w:rsid w:val="004D4BBB"/>
    <w:rsid w:val="004D4D27"/>
    <w:rsid w:val="004D5686"/>
    <w:rsid w:val="004D5BA6"/>
    <w:rsid w:val="004D5C78"/>
    <w:rsid w:val="004D65B5"/>
    <w:rsid w:val="004D66E4"/>
    <w:rsid w:val="004D695B"/>
    <w:rsid w:val="004D6B4D"/>
    <w:rsid w:val="004D6FA3"/>
    <w:rsid w:val="004D7482"/>
    <w:rsid w:val="004D7F16"/>
    <w:rsid w:val="004E026F"/>
    <w:rsid w:val="004E09B3"/>
    <w:rsid w:val="004E1169"/>
    <w:rsid w:val="004E1B96"/>
    <w:rsid w:val="004E1FA7"/>
    <w:rsid w:val="004E2AF7"/>
    <w:rsid w:val="004E30D5"/>
    <w:rsid w:val="004E3904"/>
    <w:rsid w:val="004E3A38"/>
    <w:rsid w:val="004E3ACC"/>
    <w:rsid w:val="004E3DA6"/>
    <w:rsid w:val="004E5883"/>
    <w:rsid w:val="004E5AC7"/>
    <w:rsid w:val="004E5B8A"/>
    <w:rsid w:val="004E5BF0"/>
    <w:rsid w:val="004E5D72"/>
    <w:rsid w:val="004E5E73"/>
    <w:rsid w:val="004E66E7"/>
    <w:rsid w:val="004E6A19"/>
    <w:rsid w:val="004E6E6E"/>
    <w:rsid w:val="004E7EF8"/>
    <w:rsid w:val="004E7FBE"/>
    <w:rsid w:val="004F017F"/>
    <w:rsid w:val="004F049F"/>
    <w:rsid w:val="004F0643"/>
    <w:rsid w:val="004F06DB"/>
    <w:rsid w:val="004F0A7B"/>
    <w:rsid w:val="004F0F8A"/>
    <w:rsid w:val="004F10B9"/>
    <w:rsid w:val="004F14BB"/>
    <w:rsid w:val="004F1D26"/>
    <w:rsid w:val="004F28D3"/>
    <w:rsid w:val="004F2E74"/>
    <w:rsid w:val="004F3830"/>
    <w:rsid w:val="004F3B2A"/>
    <w:rsid w:val="004F3D85"/>
    <w:rsid w:val="004F451F"/>
    <w:rsid w:val="004F45FD"/>
    <w:rsid w:val="004F4D1D"/>
    <w:rsid w:val="004F4F28"/>
    <w:rsid w:val="004F5339"/>
    <w:rsid w:val="004F5639"/>
    <w:rsid w:val="004F6528"/>
    <w:rsid w:val="004F6772"/>
    <w:rsid w:val="004F6874"/>
    <w:rsid w:val="004F69AB"/>
    <w:rsid w:val="004F6B18"/>
    <w:rsid w:val="004F6FB2"/>
    <w:rsid w:val="004F6FDB"/>
    <w:rsid w:val="004F708E"/>
    <w:rsid w:val="004F75E7"/>
    <w:rsid w:val="004F7E84"/>
    <w:rsid w:val="004F7F96"/>
    <w:rsid w:val="00500FB9"/>
    <w:rsid w:val="00500FDF"/>
    <w:rsid w:val="005012E3"/>
    <w:rsid w:val="005013A7"/>
    <w:rsid w:val="00501442"/>
    <w:rsid w:val="005014E6"/>
    <w:rsid w:val="00501627"/>
    <w:rsid w:val="00501877"/>
    <w:rsid w:val="00502C97"/>
    <w:rsid w:val="00502F78"/>
    <w:rsid w:val="00503211"/>
    <w:rsid w:val="005039DC"/>
    <w:rsid w:val="00503A5E"/>
    <w:rsid w:val="00504223"/>
    <w:rsid w:val="00504950"/>
    <w:rsid w:val="00504AD4"/>
    <w:rsid w:val="00504E1C"/>
    <w:rsid w:val="00505A9E"/>
    <w:rsid w:val="0050617F"/>
    <w:rsid w:val="005067D4"/>
    <w:rsid w:val="00506A10"/>
    <w:rsid w:val="00506DF3"/>
    <w:rsid w:val="00506E0A"/>
    <w:rsid w:val="00507503"/>
    <w:rsid w:val="0050756A"/>
    <w:rsid w:val="005075BC"/>
    <w:rsid w:val="005075CB"/>
    <w:rsid w:val="0050794A"/>
    <w:rsid w:val="00507D18"/>
    <w:rsid w:val="0051001A"/>
    <w:rsid w:val="00510D5A"/>
    <w:rsid w:val="00510E6E"/>
    <w:rsid w:val="005113AB"/>
    <w:rsid w:val="005115D9"/>
    <w:rsid w:val="00511AE7"/>
    <w:rsid w:val="00511C3B"/>
    <w:rsid w:val="00511D9A"/>
    <w:rsid w:val="005121AD"/>
    <w:rsid w:val="0051361D"/>
    <w:rsid w:val="00513780"/>
    <w:rsid w:val="0051383B"/>
    <w:rsid w:val="00514338"/>
    <w:rsid w:val="00514F4B"/>
    <w:rsid w:val="00514F53"/>
    <w:rsid w:val="0051517F"/>
    <w:rsid w:val="0051554C"/>
    <w:rsid w:val="005155A5"/>
    <w:rsid w:val="00515C36"/>
    <w:rsid w:val="00515D94"/>
    <w:rsid w:val="00515F80"/>
    <w:rsid w:val="00516364"/>
    <w:rsid w:val="00516A2A"/>
    <w:rsid w:val="0051705C"/>
    <w:rsid w:val="0051722B"/>
    <w:rsid w:val="00520A45"/>
    <w:rsid w:val="005210FA"/>
    <w:rsid w:val="005211B4"/>
    <w:rsid w:val="0052129C"/>
    <w:rsid w:val="00521CC5"/>
    <w:rsid w:val="00522138"/>
    <w:rsid w:val="0052218E"/>
    <w:rsid w:val="00522811"/>
    <w:rsid w:val="00523057"/>
    <w:rsid w:val="005232D5"/>
    <w:rsid w:val="005233C2"/>
    <w:rsid w:val="005234C5"/>
    <w:rsid w:val="005237E3"/>
    <w:rsid w:val="00523C8A"/>
    <w:rsid w:val="00523CE3"/>
    <w:rsid w:val="00523DC0"/>
    <w:rsid w:val="00524543"/>
    <w:rsid w:val="00524779"/>
    <w:rsid w:val="00524B6B"/>
    <w:rsid w:val="00524BD8"/>
    <w:rsid w:val="005251E2"/>
    <w:rsid w:val="005252D5"/>
    <w:rsid w:val="0052595F"/>
    <w:rsid w:val="00525B28"/>
    <w:rsid w:val="00525EAA"/>
    <w:rsid w:val="005260F7"/>
    <w:rsid w:val="00526500"/>
    <w:rsid w:val="00526BD2"/>
    <w:rsid w:val="00526D08"/>
    <w:rsid w:val="00526E02"/>
    <w:rsid w:val="0052750A"/>
    <w:rsid w:val="00527708"/>
    <w:rsid w:val="0053052E"/>
    <w:rsid w:val="005308A5"/>
    <w:rsid w:val="00530D0A"/>
    <w:rsid w:val="00531042"/>
    <w:rsid w:val="0053125A"/>
    <w:rsid w:val="00531AB7"/>
    <w:rsid w:val="00531D8F"/>
    <w:rsid w:val="00532386"/>
    <w:rsid w:val="00532510"/>
    <w:rsid w:val="00532AA9"/>
    <w:rsid w:val="00532F67"/>
    <w:rsid w:val="005333F9"/>
    <w:rsid w:val="0053396E"/>
    <w:rsid w:val="005341F6"/>
    <w:rsid w:val="0053438F"/>
    <w:rsid w:val="00534434"/>
    <w:rsid w:val="00534A1D"/>
    <w:rsid w:val="005355D9"/>
    <w:rsid w:val="0053594D"/>
    <w:rsid w:val="00535B7A"/>
    <w:rsid w:val="00535C04"/>
    <w:rsid w:val="00536038"/>
    <w:rsid w:val="005362DC"/>
    <w:rsid w:val="00536EF3"/>
    <w:rsid w:val="0053737A"/>
    <w:rsid w:val="00537775"/>
    <w:rsid w:val="005378E6"/>
    <w:rsid w:val="00537F83"/>
    <w:rsid w:val="0054073F"/>
    <w:rsid w:val="00540B48"/>
    <w:rsid w:val="00540E04"/>
    <w:rsid w:val="00540E18"/>
    <w:rsid w:val="00541A9F"/>
    <w:rsid w:val="00541C87"/>
    <w:rsid w:val="00541C8D"/>
    <w:rsid w:val="00542043"/>
    <w:rsid w:val="0054243D"/>
    <w:rsid w:val="0054268B"/>
    <w:rsid w:val="0054285B"/>
    <w:rsid w:val="00542A12"/>
    <w:rsid w:val="00543C00"/>
    <w:rsid w:val="0054411E"/>
    <w:rsid w:val="00544137"/>
    <w:rsid w:val="0054427B"/>
    <w:rsid w:val="0054456F"/>
    <w:rsid w:val="00544621"/>
    <w:rsid w:val="00544898"/>
    <w:rsid w:val="00544A21"/>
    <w:rsid w:val="00544E4E"/>
    <w:rsid w:val="00545273"/>
    <w:rsid w:val="0054558D"/>
    <w:rsid w:val="005469FB"/>
    <w:rsid w:val="00546E86"/>
    <w:rsid w:val="005477B6"/>
    <w:rsid w:val="005477D0"/>
    <w:rsid w:val="00547A30"/>
    <w:rsid w:val="00547BEC"/>
    <w:rsid w:val="005514C3"/>
    <w:rsid w:val="005515C8"/>
    <w:rsid w:val="005516F5"/>
    <w:rsid w:val="00552424"/>
    <w:rsid w:val="0055270E"/>
    <w:rsid w:val="00552819"/>
    <w:rsid w:val="00552911"/>
    <w:rsid w:val="00552E21"/>
    <w:rsid w:val="00553288"/>
    <w:rsid w:val="00553292"/>
    <w:rsid w:val="00553299"/>
    <w:rsid w:val="00554740"/>
    <w:rsid w:val="005547D4"/>
    <w:rsid w:val="00554956"/>
    <w:rsid w:val="00554FE8"/>
    <w:rsid w:val="005551BE"/>
    <w:rsid w:val="00555432"/>
    <w:rsid w:val="00555493"/>
    <w:rsid w:val="00555811"/>
    <w:rsid w:val="00555A00"/>
    <w:rsid w:val="00555D96"/>
    <w:rsid w:val="005565B1"/>
    <w:rsid w:val="00556F64"/>
    <w:rsid w:val="00556F8F"/>
    <w:rsid w:val="00557742"/>
    <w:rsid w:val="00557CC8"/>
    <w:rsid w:val="005603A7"/>
    <w:rsid w:val="00560670"/>
    <w:rsid w:val="0056209B"/>
    <w:rsid w:val="0056232D"/>
    <w:rsid w:val="00562919"/>
    <w:rsid w:val="00562A09"/>
    <w:rsid w:val="00562BDD"/>
    <w:rsid w:val="00563935"/>
    <w:rsid w:val="00563DC9"/>
    <w:rsid w:val="00563E26"/>
    <w:rsid w:val="00564168"/>
    <w:rsid w:val="005645E6"/>
    <w:rsid w:val="00564899"/>
    <w:rsid w:val="00565AD2"/>
    <w:rsid w:val="00566033"/>
    <w:rsid w:val="005660C6"/>
    <w:rsid w:val="0056619B"/>
    <w:rsid w:val="00566E86"/>
    <w:rsid w:val="00566EF7"/>
    <w:rsid w:val="00567171"/>
    <w:rsid w:val="00567417"/>
    <w:rsid w:val="00567543"/>
    <w:rsid w:val="00567811"/>
    <w:rsid w:val="00567B3D"/>
    <w:rsid w:val="00570320"/>
    <w:rsid w:val="005709C5"/>
    <w:rsid w:val="00570BF1"/>
    <w:rsid w:val="00571496"/>
    <w:rsid w:val="00571860"/>
    <w:rsid w:val="005718DB"/>
    <w:rsid w:val="0057253D"/>
    <w:rsid w:val="00572873"/>
    <w:rsid w:val="005728BD"/>
    <w:rsid w:val="00572E56"/>
    <w:rsid w:val="00573AD7"/>
    <w:rsid w:val="005741F0"/>
    <w:rsid w:val="0057475E"/>
    <w:rsid w:val="00574A41"/>
    <w:rsid w:val="00574EA2"/>
    <w:rsid w:val="00575042"/>
    <w:rsid w:val="005751D8"/>
    <w:rsid w:val="00575539"/>
    <w:rsid w:val="00575945"/>
    <w:rsid w:val="00577AD9"/>
    <w:rsid w:val="005804C2"/>
    <w:rsid w:val="0058051A"/>
    <w:rsid w:val="005811D8"/>
    <w:rsid w:val="00581DF4"/>
    <w:rsid w:val="00582328"/>
    <w:rsid w:val="005824B7"/>
    <w:rsid w:val="00582B5C"/>
    <w:rsid w:val="00582BC5"/>
    <w:rsid w:val="00582E68"/>
    <w:rsid w:val="00583364"/>
    <w:rsid w:val="005835AE"/>
    <w:rsid w:val="00583754"/>
    <w:rsid w:val="00583C98"/>
    <w:rsid w:val="00584015"/>
    <w:rsid w:val="0058411C"/>
    <w:rsid w:val="0058483F"/>
    <w:rsid w:val="00584B3E"/>
    <w:rsid w:val="00584B8F"/>
    <w:rsid w:val="00585340"/>
    <w:rsid w:val="005854EA"/>
    <w:rsid w:val="0058556B"/>
    <w:rsid w:val="005859F2"/>
    <w:rsid w:val="00585FBC"/>
    <w:rsid w:val="00586856"/>
    <w:rsid w:val="00586F45"/>
    <w:rsid w:val="0058729C"/>
    <w:rsid w:val="005873F3"/>
    <w:rsid w:val="00587956"/>
    <w:rsid w:val="00587AF6"/>
    <w:rsid w:val="005903F9"/>
    <w:rsid w:val="00590705"/>
    <w:rsid w:val="00590B00"/>
    <w:rsid w:val="00590DE6"/>
    <w:rsid w:val="00591053"/>
    <w:rsid w:val="005913DC"/>
    <w:rsid w:val="00591F0F"/>
    <w:rsid w:val="00592021"/>
    <w:rsid w:val="005924AB"/>
    <w:rsid w:val="00592924"/>
    <w:rsid w:val="0059293E"/>
    <w:rsid w:val="00592D50"/>
    <w:rsid w:val="00593A1B"/>
    <w:rsid w:val="00594513"/>
    <w:rsid w:val="0059459A"/>
    <w:rsid w:val="00594C12"/>
    <w:rsid w:val="00594FFC"/>
    <w:rsid w:val="005953D7"/>
    <w:rsid w:val="00595798"/>
    <w:rsid w:val="0059593F"/>
    <w:rsid w:val="00595B51"/>
    <w:rsid w:val="00596C91"/>
    <w:rsid w:val="00596F02"/>
    <w:rsid w:val="0059729A"/>
    <w:rsid w:val="00597492"/>
    <w:rsid w:val="005978E0"/>
    <w:rsid w:val="00597974"/>
    <w:rsid w:val="00597C99"/>
    <w:rsid w:val="00597DB6"/>
    <w:rsid w:val="00597F1F"/>
    <w:rsid w:val="005A0132"/>
    <w:rsid w:val="005A0D89"/>
    <w:rsid w:val="005A1928"/>
    <w:rsid w:val="005A1D9B"/>
    <w:rsid w:val="005A1E41"/>
    <w:rsid w:val="005A2479"/>
    <w:rsid w:val="005A2647"/>
    <w:rsid w:val="005A2A71"/>
    <w:rsid w:val="005A2B0F"/>
    <w:rsid w:val="005A2D7B"/>
    <w:rsid w:val="005A321D"/>
    <w:rsid w:val="005A3221"/>
    <w:rsid w:val="005A372E"/>
    <w:rsid w:val="005A52F3"/>
    <w:rsid w:val="005A58FC"/>
    <w:rsid w:val="005A5915"/>
    <w:rsid w:val="005A59DF"/>
    <w:rsid w:val="005A5A95"/>
    <w:rsid w:val="005A5DCD"/>
    <w:rsid w:val="005A6319"/>
    <w:rsid w:val="005A6543"/>
    <w:rsid w:val="005A6B8E"/>
    <w:rsid w:val="005A6DB5"/>
    <w:rsid w:val="005A6DC2"/>
    <w:rsid w:val="005A715B"/>
    <w:rsid w:val="005A7240"/>
    <w:rsid w:val="005A7831"/>
    <w:rsid w:val="005A7D5E"/>
    <w:rsid w:val="005A7F2B"/>
    <w:rsid w:val="005B0146"/>
    <w:rsid w:val="005B0198"/>
    <w:rsid w:val="005B0BAC"/>
    <w:rsid w:val="005B0FF0"/>
    <w:rsid w:val="005B111D"/>
    <w:rsid w:val="005B11CA"/>
    <w:rsid w:val="005B161E"/>
    <w:rsid w:val="005B1697"/>
    <w:rsid w:val="005B1862"/>
    <w:rsid w:val="005B1DD5"/>
    <w:rsid w:val="005B1F18"/>
    <w:rsid w:val="005B1FF7"/>
    <w:rsid w:val="005B235E"/>
    <w:rsid w:val="005B29ED"/>
    <w:rsid w:val="005B2C5F"/>
    <w:rsid w:val="005B352B"/>
    <w:rsid w:val="005B3B65"/>
    <w:rsid w:val="005B3CCC"/>
    <w:rsid w:val="005B4409"/>
    <w:rsid w:val="005B4C9E"/>
    <w:rsid w:val="005B4D33"/>
    <w:rsid w:val="005B56EE"/>
    <w:rsid w:val="005B6F52"/>
    <w:rsid w:val="005B73E9"/>
    <w:rsid w:val="005B7905"/>
    <w:rsid w:val="005B7A4C"/>
    <w:rsid w:val="005B7BDF"/>
    <w:rsid w:val="005B7E83"/>
    <w:rsid w:val="005C05C4"/>
    <w:rsid w:val="005C1C18"/>
    <w:rsid w:val="005C2196"/>
    <w:rsid w:val="005C2E69"/>
    <w:rsid w:val="005C3775"/>
    <w:rsid w:val="005C383A"/>
    <w:rsid w:val="005C39DE"/>
    <w:rsid w:val="005C43A9"/>
    <w:rsid w:val="005C457D"/>
    <w:rsid w:val="005C5B32"/>
    <w:rsid w:val="005C5B75"/>
    <w:rsid w:val="005C62F0"/>
    <w:rsid w:val="005C6C10"/>
    <w:rsid w:val="005C6C2A"/>
    <w:rsid w:val="005C7336"/>
    <w:rsid w:val="005C745F"/>
    <w:rsid w:val="005C7494"/>
    <w:rsid w:val="005D0C6B"/>
    <w:rsid w:val="005D146B"/>
    <w:rsid w:val="005D1813"/>
    <w:rsid w:val="005D1B7B"/>
    <w:rsid w:val="005D25AE"/>
    <w:rsid w:val="005D2754"/>
    <w:rsid w:val="005D2DBD"/>
    <w:rsid w:val="005D342E"/>
    <w:rsid w:val="005D3483"/>
    <w:rsid w:val="005D38B4"/>
    <w:rsid w:val="005D4113"/>
    <w:rsid w:val="005D44BD"/>
    <w:rsid w:val="005D4986"/>
    <w:rsid w:val="005D5D51"/>
    <w:rsid w:val="005D6019"/>
    <w:rsid w:val="005D60B3"/>
    <w:rsid w:val="005D6DAB"/>
    <w:rsid w:val="005D6F65"/>
    <w:rsid w:val="005D701C"/>
    <w:rsid w:val="005D76BD"/>
    <w:rsid w:val="005D7821"/>
    <w:rsid w:val="005D7C14"/>
    <w:rsid w:val="005D7E7F"/>
    <w:rsid w:val="005E005D"/>
    <w:rsid w:val="005E022C"/>
    <w:rsid w:val="005E06C5"/>
    <w:rsid w:val="005E08CF"/>
    <w:rsid w:val="005E0A58"/>
    <w:rsid w:val="005E0E73"/>
    <w:rsid w:val="005E118E"/>
    <w:rsid w:val="005E13FD"/>
    <w:rsid w:val="005E19E5"/>
    <w:rsid w:val="005E1AF2"/>
    <w:rsid w:val="005E21A9"/>
    <w:rsid w:val="005E2B6B"/>
    <w:rsid w:val="005E2C01"/>
    <w:rsid w:val="005E329E"/>
    <w:rsid w:val="005E4250"/>
    <w:rsid w:val="005E4328"/>
    <w:rsid w:val="005E4A74"/>
    <w:rsid w:val="005E4E2E"/>
    <w:rsid w:val="005E5182"/>
    <w:rsid w:val="005E58F1"/>
    <w:rsid w:val="005E5DA1"/>
    <w:rsid w:val="005E5E4E"/>
    <w:rsid w:val="005E6198"/>
    <w:rsid w:val="005E69BA"/>
    <w:rsid w:val="005E6A28"/>
    <w:rsid w:val="005E6B14"/>
    <w:rsid w:val="005E7122"/>
    <w:rsid w:val="005E7868"/>
    <w:rsid w:val="005E79DE"/>
    <w:rsid w:val="005E7AD4"/>
    <w:rsid w:val="005F0177"/>
    <w:rsid w:val="005F05B6"/>
    <w:rsid w:val="005F0878"/>
    <w:rsid w:val="005F0A0D"/>
    <w:rsid w:val="005F1868"/>
    <w:rsid w:val="005F25FA"/>
    <w:rsid w:val="005F298F"/>
    <w:rsid w:val="005F2A9A"/>
    <w:rsid w:val="005F4060"/>
    <w:rsid w:val="005F4942"/>
    <w:rsid w:val="005F4A51"/>
    <w:rsid w:val="005F4C32"/>
    <w:rsid w:val="005F5A5B"/>
    <w:rsid w:val="005F5AEA"/>
    <w:rsid w:val="005F5ED7"/>
    <w:rsid w:val="005F6359"/>
    <w:rsid w:val="005F63D5"/>
    <w:rsid w:val="005F6999"/>
    <w:rsid w:val="005F6DB3"/>
    <w:rsid w:val="005F6DC0"/>
    <w:rsid w:val="005F719A"/>
    <w:rsid w:val="005F7B80"/>
    <w:rsid w:val="005F7C46"/>
    <w:rsid w:val="005F7F18"/>
    <w:rsid w:val="00600121"/>
    <w:rsid w:val="006008D3"/>
    <w:rsid w:val="00600AA1"/>
    <w:rsid w:val="00601610"/>
    <w:rsid w:val="00601E8E"/>
    <w:rsid w:val="0060227D"/>
    <w:rsid w:val="006022B1"/>
    <w:rsid w:val="00603364"/>
    <w:rsid w:val="00603B43"/>
    <w:rsid w:val="00603E62"/>
    <w:rsid w:val="006043C0"/>
    <w:rsid w:val="006044E2"/>
    <w:rsid w:val="00604591"/>
    <w:rsid w:val="00604FB2"/>
    <w:rsid w:val="0060506E"/>
    <w:rsid w:val="0060513C"/>
    <w:rsid w:val="00605806"/>
    <w:rsid w:val="00605B45"/>
    <w:rsid w:val="006062BE"/>
    <w:rsid w:val="00606557"/>
    <w:rsid w:val="0060685E"/>
    <w:rsid w:val="006069C2"/>
    <w:rsid w:val="00606FBD"/>
    <w:rsid w:val="0060770A"/>
    <w:rsid w:val="00607E3E"/>
    <w:rsid w:val="0061037B"/>
    <w:rsid w:val="00610796"/>
    <w:rsid w:val="00611432"/>
    <w:rsid w:val="00611A33"/>
    <w:rsid w:val="00611ABF"/>
    <w:rsid w:val="006124C8"/>
    <w:rsid w:val="006126D8"/>
    <w:rsid w:val="00612DA0"/>
    <w:rsid w:val="00613B3B"/>
    <w:rsid w:val="00613F9F"/>
    <w:rsid w:val="006141C0"/>
    <w:rsid w:val="006145FC"/>
    <w:rsid w:val="00615071"/>
    <w:rsid w:val="00615724"/>
    <w:rsid w:val="00616B5F"/>
    <w:rsid w:val="0061793A"/>
    <w:rsid w:val="00617B83"/>
    <w:rsid w:val="00617FA9"/>
    <w:rsid w:val="006202B9"/>
    <w:rsid w:val="006205B5"/>
    <w:rsid w:val="006209B3"/>
    <w:rsid w:val="00621059"/>
    <w:rsid w:val="0062161D"/>
    <w:rsid w:val="006216BB"/>
    <w:rsid w:val="0062205A"/>
    <w:rsid w:val="00622B83"/>
    <w:rsid w:val="00622C7A"/>
    <w:rsid w:val="00623224"/>
    <w:rsid w:val="00623623"/>
    <w:rsid w:val="00623902"/>
    <w:rsid w:val="006239DC"/>
    <w:rsid w:val="00623C5C"/>
    <w:rsid w:val="00623C71"/>
    <w:rsid w:val="0062429A"/>
    <w:rsid w:val="00624372"/>
    <w:rsid w:val="006246CD"/>
    <w:rsid w:val="006248CE"/>
    <w:rsid w:val="00624ABC"/>
    <w:rsid w:val="00624B61"/>
    <w:rsid w:val="006252E4"/>
    <w:rsid w:val="00625968"/>
    <w:rsid w:val="00625ECF"/>
    <w:rsid w:val="006260A2"/>
    <w:rsid w:val="0062615C"/>
    <w:rsid w:val="006266AA"/>
    <w:rsid w:val="00626B07"/>
    <w:rsid w:val="00626DA8"/>
    <w:rsid w:val="006273D5"/>
    <w:rsid w:val="006273E5"/>
    <w:rsid w:val="00627663"/>
    <w:rsid w:val="00627917"/>
    <w:rsid w:val="00627B91"/>
    <w:rsid w:val="00627CCB"/>
    <w:rsid w:val="00630058"/>
    <w:rsid w:val="00630538"/>
    <w:rsid w:val="00630D9E"/>
    <w:rsid w:val="0063128A"/>
    <w:rsid w:val="0063166E"/>
    <w:rsid w:val="00631674"/>
    <w:rsid w:val="006321F3"/>
    <w:rsid w:val="0063284B"/>
    <w:rsid w:val="00632A57"/>
    <w:rsid w:val="00632C50"/>
    <w:rsid w:val="00633909"/>
    <w:rsid w:val="00633F76"/>
    <w:rsid w:val="00634173"/>
    <w:rsid w:val="00634E26"/>
    <w:rsid w:val="00634EC1"/>
    <w:rsid w:val="0063542A"/>
    <w:rsid w:val="00635E4F"/>
    <w:rsid w:val="006365E2"/>
    <w:rsid w:val="00636815"/>
    <w:rsid w:val="006370E4"/>
    <w:rsid w:val="006375F8"/>
    <w:rsid w:val="0064004A"/>
    <w:rsid w:val="00640260"/>
    <w:rsid w:val="00640952"/>
    <w:rsid w:val="00641C7D"/>
    <w:rsid w:val="00641EDC"/>
    <w:rsid w:val="006428AE"/>
    <w:rsid w:val="00643352"/>
    <w:rsid w:val="006434D3"/>
    <w:rsid w:val="00643AE4"/>
    <w:rsid w:val="00644D55"/>
    <w:rsid w:val="00644F2D"/>
    <w:rsid w:val="006453A8"/>
    <w:rsid w:val="0064637B"/>
    <w:rsid w:val="00646750"/>
    <w:rsid w:val="00646E99"/>
    <w:rsid w:val="00646EE4"/>
    <w:rsid w:val="006479A3"/>
    <w:rsid w:val="006508C1"/>
    <w:rsid w:val="00651094"/>
    <w:rsid w:val="0065114B"/>
    <w:rsid w:val="00651B32"/>
    <w:rsid w:val="00653216"/>
    <w:rsid w:val="0065356C"/>
    <w:rsid w:val="00653D36"/>
    <w:rsid w:val="00653E14"/>
    <w:rsid w:val="00653EDC"/>
    <w:rsid w:val="00654742"/>
    <w:rsid w:val="00654C50"/>
    <w:rsid w:val="00654C5A"/>
    <w:rsid w:val="00654D38"/>
    <w:rsid w:val="00654F26"/>
    <w:rsid w:val="00655060"/>
    <w:rsid w:val="00655255"/>
    <w:rsid w:val="006562A9"/>
    <w:rsid w:val="00656322"/>
    <w:rsid w:val="00656BD0"/>
    <w:rsid w:val="00657155"/>
    <w:rsid w:val="00657A02"/>
    <w:rsid w:val="00660031"/>
    <w:rsid w:val="00660113"/>
    <w:rsid w:val="0066015C"/>
    <w:rsid w:val="00660914"/>
    <w:rsid w:val="00661082"/>
    <w:rsid w:val="00661F5E"/>
    <w:rsid w:val="00662075"/>
    <w:rsid w:val="00662AA5"/>
    <w:rsid w:val="00662D56"/>
    <w:rsid w:val="00662F4E"/>
    <w:rsid w:val="00663289"/>
    <w:rsid w:val="006634FD"/>
    <w:rsid w:val="00663569"/>
    <w:rsid w:val="0066360D"/>
    <w:rsid w:val="0066368F"/>
    <w:rsid w:val="0066389E"/>
    <w:rsid w:val="006638C0"/>
    <w:rsid w:val="00663E3A"/>
    <w:rsid w:val="006642A6"/>
    <w:rsid w:val="0066439C"/>
    <w:rsid w:val="006643D1"/>
    <w:rsid w:val="006646D4"/>
    <w:rsid w:val="00664955"/>
    <w:rsid w:val="00664D18"/>
    <w:rsid w:val="00665350"/>
    <w:rsid w:val="0066598B"/>
    <w:rsid w:val="00665E96"/>
    <w:rsid w:val="00666648"/>
    <w:rsid w:val="006670B7"/>
    <w:rsid w:val="0066733F"/>
    <w:rsid w:val="0066736A"/>
    <w:rsid w:val="00667C5A"/>
    <w:rsid w:val="00667D68"/>
    <w:rsid w:val="00667EC2"/>
    <w:rsid w:val="00667F9B"/>
    <w:rsid w:val="00670129"/>
    <w:rsid w:val="0067034E"/>
    <w:rsid w:val="006715CE"/>
    <w:rsid w:val="00671B79"/>
    <w:rsid w:val="00671BA6"/>
    <w:rsid w:val="00671C34"/>
    <w:rsid w:val="00671E13"/>
    <w:rsid w:val="00672139"/>
    <w:rsid w:val="00672AC7"/>
    <w:rsid w:val="00672C14"/>
    <w:rsid w:val="00672D2C"/>
    <w:rsid w:val="00672D38"/>
    <w:rsid w:val="00672E76"/>
    <w:rsid w:val="00672E91"/>
    <w:rsid w:val="0067309C"/>
    <w:rsid w:val="006730EF"/>
    <w:rsid w:val="006733F9"/>
    <w:rsid w:val="00673FAF"/>
    <w:rsid w:val="00674463"/>
    <w:rsid w:val="00674DAB"/>
    <w:rsid w:val="006750F0"/>
    <w:rsid w:val="006751FF"/>
    <w:rsid w:val="006761BF"/>
    <w:rsid w:val="006762B5"/>
    <w:rsid w:val="00676362"/>
    <w:rsid w:val="00676458"/>
    <w:rsid w:val="00676DFD"/>
    <w:rsid w:val="00677854"/>
    <w:rsid w:val="00677D8E"/>
    <w:rsid w:val="00680059"/>
    <w:rsid w:val="00680238"/>
    <w:rsid w:val="006802AB"/>
    <w:rsid w:val="00680323"/>
    <w:rsid w:val="0068071B"/>
    <w:rsid w:val="00680D56"/>
    <w:rsid w:val="00681894"/>
    <w:rsid w:val="00681A61"/>
    <w:rsid w:val="00681AA0"/>
    <w:rsid w:val="006822EB"/>
    <w:rsid w:val="00682BCC"/>
    <w:rsid w:val="00683ECF"/>
    <w:rsid w:val="00684016"/>
    <w:rsid w:val="006845B9"/>
    <w:rsid w:val="00684AC4"/>
    <w:rsid w:val="00684E5F"/>
    <w:rsid w:val="006851EB"/>
    <w:rsid w:val="00685254"/>
    <w:rsid w:val="006856F9"/>
    <w:rsid w:val="006858C4"/>
    <w:rsid w:val="006862B5"/>
    <w:rsid w:val="00686DE1"/>
    <w:rsid w:val="00686E8A"/>
    <w:rsid w:val="00687481"/>
    <w:rsid w:val="00687C45"/>
    <w:rsid w:val="00690909"/>
    <w:rsid w:val="00691678"/>
    <w:rsid w:val="0069199B"/>
    <w:rsid w:val="00691CF7"/>
    <w:rsid w:val="00691D17"/>
    <w:rsid w:val="00692203"/>
    <w:rsid w:val="00693179"/>
    <w:rsid w:val="006939B1"/>
    <w:rsid w:val="00693EB2"/>
    <w:rsid w:val="0069406D"/>
    <w:rsid w:val="00694147"/>
    <w:rsid w:val="00694472"/>
    <w:rsid w:val="00694480"/>
    <w:rsid w:val="00694E2F"/>
    <w:rsid w:val="00695364"/>
    <w:rsid w:val="00696166"/>
    <w:rsid w:val="006963C7"/>
    <w:rsid w:val="00696485"/>
    <w:rsid w:val="00696940"/>
    <w:rsid w:val="00696A66"/>
    <w:rsid w:val="006976C3"/>
    <w:rsid w:val="006A0424"/>
    <w:rsid w:val="006A10B6"/>
    <w:rsid w:val="006A1A1A"/>
    <w:rsid w:val="006A2EBD"/>
    <w:rsid w:val="006A3372"/>
    <w:rsid w:val="006A36F4"/>
    <w:rsid w:val="006A3BDE"/>
    <w:rsid w:val="006A3E58"/>
    <w:rsid w:val="006A41B7"/>
    <w:rsid w:val="006A4886"/>
    <w:rsid w:val="006A4954"/>
    <w:rsid w:val="006A506C"/>
    <w:rsid w:val="006A58AE"/>
    <w:rsid w:val="006A58BB"/>
    <w:rsid w:val="006A5D9C"/>
    <w:rsid w:val="006A62B8"/>
    <w:rsid w:val="006A7473"/>
    <w:rsid w:val="006A7BE7"/>
    <w:rsid w:val="006A7C40"/>
    <w:rsid w:val="006A7DAE"/>
    <w:rsid w:val="006B07BB"/>
    <w:rsid w:val="006B104F"/>
    <w:rsid w:val="006B17E8"/>
    <w:rsid w:val="006B1A4D"/>
    <w:rsid w:val="006B27AA"/>
    <w:rsid w:val="006B2C19"/>
    <w:rsid w:val="006B31F4"/>
    <w:rsid w:val="006B362E"/>
    <w:rsid w:val="006B38DA"/>
    <w:rsid w:val="006B3912"/>
    <w:rsid w:val="006B394E"/>
    <w:rsid w:val="006B3E53"/>
    <w:rsid w:val="006B4912"/>
    <w:rsid w:val="006B4CB1"/>
    <w:rsid w:val="006B4DA1"/>
    <w:rsid w:val="006B5363"/>
    <w:rsid w:val="006B582B"/>
    <w:rsid w:val="006B5B87"/>
    <w:rsid w:val="006B5F4B"/>
    <w:rsid w:val="006B6187"/>
    <w:rsid w:val="006B6234"/>
    <w:rsid w:val="006B63A9"/>
    <w:rsid w:val="006B7F5F"/>
    <w:rsid w:val="006C01CF"/>
    <w:rsid w:val="006C03AF"/>
    <w:rsid w:val="006C12F1"/>
    <w:rsid w:val="006C1811"/>
    <w:rsid w:val="006C1DAF"/>
    <w:rsid w:val="006C1EA6"/>
    <w:rsid w:val="006C220E"/>
    <w:rsid w:val="006C29D0"/>
    <w:rsid w:val="006C2A54"/>
    <w:rsid w:val="006C2E0E"/>
    <w:rsid w:val="006C33EA"/>
    <w:rsid w:val="006C353D"/>
    <w:rsid w:val="006C3998"/>
    <w:rsid w:val="006C4086"/>
    <w:rsid w:val="006C4AC2"/>
    <w:rsid w:val="006C4F0D"/>
    <w:rsid w:val="006C4F20"/>
    <w:rsid w:val="006C5051"/>
    <w:rsid w:val="006C50ED"/>
    <w:rsid w:val="006C55F9"/>
    <w:rsid w:val="006C56FB"/>
    <w:rsid w:val="006C59F9"/>
    <w:rsid w:val="006C5AB6"/>
    <w:rsid w:val="006C5ED8"/>
    <w:rsid w:val="006C5F4E"/>
    <w:rsid w:val="006C6078"/>
    <w:rsid w:val="006C6449"/>
    <w:rsid w:val="006C685C"/>
    <w:rsid w:val="006C69AD"/>
    <w:rsid w:val="006C6AD1"/>
    <w:rsid w:val="006C6F21"/>
    <w:rsid w:val="006C715B"/>
    <w:rsid w:val="006C77A5"/>
    <w:rsid w:val="006C79E5"/>
    <w:rsid w:val="006C7D89"/>
    <w:rsid w:val="006D01E3"/>
    <w:rsid w:val="006D0272"/>
    <w:rsid w:val="006D0369"/>
    <w:rsid w:val="006D0C9D"/>
    <w:rsid w:val="006D0CCB"/>
    <w:rsid w:val="006D0CD3"/>
    <w:rsid w:val="006D0DAC"/>
    <w:rsid w:val="006D1A48"/>
    <w:rsid w:val="006D20C5"/>
    <w:rsid w:val="006D254E"/>
    <w:rsid w:val="006D2684"/>
    <w:rsid w:val="006D2912"/>
    <w:rsid w:val="006D2A28"/>
    <w:rsid w:val="006D2FBC"/>
    <w:rsid w:val="006D394C"/>
    <w:rsid w:val="006D3CDC"/>
    <w:rsid w:val="006D3EB4"/>
    <w:rsid w:val="006D48EC"/>
    <w:rsid w:val="006D5039"/>
    <w:rsid w:val="006D516D"/>
    <w:rsid w:val="006D59C8"/>
    <w:rsid w:val="006D5AE8"/>
    <w:rsid w:val="006D5BFA"/>
    <w:rsid w:val="006D692F"/>
    <w:rsid w:val="006D6E01"/>
    <w:rsid w:val="006D7C24"/>
    <w:rsid w:val="006D7F7C"/>
    <w:rsid w:val="006E008E"/>
    <w:rsid w:val="006E1139"/>
    <w:rsid w:val="006E1532"/>
    <w:rsid w:val="006E1988"/>
    <w:rsid w:val="006E1D32"/>
    <w:rsid w:val="006E2545"/>
    <w:rsid w:val="006E28B4"/>
    <w:rsid w:val="006E2E18"/>
    <w:rsid w:val="006E2E90"/>
    <w:rsid w:val="006E3052"/>
    <w:rsid w:val="006E3E1B"/>
    <w:rsid w:val="006E45DC"/>
    <w:rsid w:val="006E466C"/>
    <w:rsid w:val="006E4921"/>
    <w:rsid w:val="006E4A0A"/>
    <w:rsid w:val="006E5915"/>
    <w:rsid w:val="006E5F89"/>
    <w:rsid w:val="006E67C9"/>
    <w:rsid w:val="006E6E59"/>
    <w:rsid w:val="006E72D5"/>
    <w:rsid w:val="006E7305"/>
    <w:rsid w:val="006E7846"/>
    <w:rsid w:val="006E79C3"/>
    <w:rsid w:val="006E7AB1"/>
    <w:rsid w:val="006E7AC1"/>
    <w:rsid w:val="006E7AE1"/>
    <w:rsid w:val="006E7B6D"/>
    <w:rsid w:val="006E7C35"/>
    <w:rsid w:val="006F003E"/>
    <w:rsid w:val="006F0480"/>
    <w:rsid w:val="006F0738"/>
    <w:rsid w:val="006F0A72"/>
    <w:rsid w:val="006F0A9E"/>
    <w:rsid w:val="006F0C25"/>
    <w:rsid w:val="006F176E"/>
    <w:rsid w:val="006F178E"/>
    <w:rsid w:val="006F23DB"/>
    <w:rsid w:val="006F256A"/>
    <w:rsid w:val="006F2FED"/>
    <w:rsid w:val="006F2FFE"/>
    <w:rsid w:val="006F35DE"/>
    <w:rsid w:val="006F3EFA"/>
    <w:rsid w:val="006F44AC"/>
    <w:rsid w:val="006F45B8"/>
    <w:rsid w:val="006F48A0"/>
    <w:rsid w:val="006F4BB8"/>
    <w:rsid w:val="006F509D"/>
    <w:rsid w:val="006F5285"/>
    <w:rsid w:val="006F53E0"/>
    <w:rsid w:val="006F5A7A"/>
    <w:rsid w:val="006F5DF0"/>
    <w:rsid w:val="006F645C"/>
    <w:rsid w:val="006F64E4"/>
    <w:rsid w:val="006F6802"/>
    <w:rsid w:val="006F680F"/>
    <w:rsid w:val="006F6F10"/>
    <w:rsid w:val="006F7A0A"/>
    <w:rsid w:val="006F7C04"/>
    <w:rsid w:val="00700B8C"/>
    <w:rsid w:val="00701DA7"/>
    <w:rsid w:val="00702279"/>
    <w:rsid w:val="007025F1"/>
    <w:rsid w:val="00702F3D"/>
    <w:rsid w:val="007034A9"/>
    <w:rsid w:val="0070446A"/>
    <w:rsid w:val="00704529"/>
    <w:rsid w:val="0070476A"/>
    <w:rsid w:val="007049DF"/>
    <w:rsid w:val="00704FCC"/>
    <w:rsid w:val="0070599B"/>
    <w:rsid w:val="00705E91"/>
    <w:rsid w:val="00706146"/>
    <w:rsid w:val="00706172"/>
    <w:rsid w:val="0070740E"/>
    <w:rsid w:val="00710E7B"/>
    <w:rsid w:val="00711783"/>
    <w:rsid w:val="0071227B"/>
    <w:rsid w:val="007130E7"/>
    <w:rsid w:val="007133FC"/>
    <w:rsid w:val="00713547"/>
    <w:rsid w:val="007135D1"/>
    <w:rsid w:val="00713D2E"/>
    <w:rsid w:val="00713DF2"/>
    <w:rsid w:val="00713F07"/>
    <w:rsid w:val="007141E4"/>
    <w:rsid w:val="007146F2"/>
    <w:rsid w:val="007149E9"/>
    <w:rsid w:val="00714C7C"/>
    <w:rsid w:val="00715913"/>
    <w:rsid w:val="007165A1"/>
    <w:rsid w:val="00716B51"/>
    <w:rsid w:val="00717A68"/>
    <w:rsid w:val="00720CCA"/>
    <w:rsid w:val="0072154A"/>
    <w:rsid w:val="0072167D"/>
    <w:rsid w:val="007216EB"/>
    <w:rsid w:val="00721802"/>
    <w:rsid w:val="00721B25"/>
    <w:rsid w:val="00721D00"/>
    <w:rsid w:val="00721E5A"/>
    <w:rsid w:val="00721EC0"/>
    <w:rsid w:val="00722288"/>
    <w:rsid w:val="007231F9"/>
    <w:rsid w:val="00723307"/>
    <w:rsid w:val="007236BC"/>
    <w:rsid w:val="007243EF"/>
    <w:rsid w:val="00724DEE"/>
    <w:rsid w:val="00724ED7"/>
    <w:rsid w:val="007251FD"/>
    <w:rsid w:val="007255C0"/>
    <w:rsid w:val="00726894"/>
    <w:rsid w:val="00726C02"/>
    <w:rsid w:val="00727BF7"/>
    <w:rsid w:val="00727E38"/>
    <w:rsid w:val="007302A6"/>
    <w:rsid w:val="007305AD"/>
    <w:rsid w:val="00730693"/>
    <w:rsid w:val="0073086D"/>
    <w:rsid w:val="00730870"/>
    <w:rsid w:val="00730C8E"/>
    <w:rsid w:val="007317E5"/>
    <w:rsid w:val="007319DB"/>
    <w:rsid w:val="00732330"/>
    <w:rsid w:val="00732619"/>
    <w:rsid w:val="00732A8F"/>
    <w:rsid w:val="00732B03"/>
    <w:rsid w:val="00732E44"/>
    <w:rsid w:val="007340AA"/>
    <w:rsid w:val="0073486B"/>
    <w:rsid w:val="0073495E"/>
    <w:rsid w:val="00734A60"/>
    <w:rsid w:val="00735C28"/>
    <w:rsid w:val="00735EA1"/>
    <w:rsid w:val="0073620C"/>
    <w:rsid w:val="00736654"/>
    <w:rsid w:val="0073686A"/>
    <w:rsid w:val="00736EF5"/>
    <w:rsid w:val="0073744E"/>
    <w:rsid w:val="0073758C"/>
    <w:rsid w:val="0073792D"/>
    <w:rsid w:val="00737E7D"/>
    <w:rsid w:val="00740988"/>
    <w:rsid w:val="007410F0"/>
    <w:rsid w:val="0074125F"/>
    <w:rsid w:val="007417A4"/>
    <w:rsid w:val="007418B3"/>
    <w:rsid w:val="00741ADE"/>
    <w:rsid w:val="00742542"/>
    <w:rsid w:val="00742F47"/>
    <w:rsid w:val="007434D0"/>
    <w:rsid w:val="00743D86"/>
    <w:rsid w:val="00743F20"/>
    <w:rsid w:val="00744251"/>
    <w:rsid w:val="00744BAD"/>
    <w:rsid w:val="00744C0D"/>
    <w:rsid w:val="007459A6"/>
    <w:rsid w:val="0074641C"/>
    <w:rsid w:val="007467EE"/>
    <w:rsid w:val="00746CD6"/>
    <w:rsid w:val="0074718E"/>
    <w:rsid w:val="0074789E"/>
    <w:rsid w:val="007479CB"/>
    <w:rsid w:val="00750025"/>
    <w:rsid w:val="00750178"/>
    <w:rsid w:val="007505E7"/>
    <w:rsid w:val="00750961"/>
    <w:rsid w:val="00750C6B"/>
    <w:rsid w:val="00750EED"/>
    <w:rsid w:val="007514A4"/>
    <w:rsid w:val="00751EFB"/>
    <w:rsid w:val="0075208F"/>
    <w:rsid w:val="00752635"/>
    <w:rsid w:val="00752AF6"/>
    <w:rsid w:val="00752B76"/>
    <w:rsid w:val="0075330C"/>
    <w:rsid w:val="0075333B"/>
    <w:rsid w:val="0075341C"/>
    <w:rsid w:val="00753AB6"/>
    <w:rsid w:val="00753F5C"/>
    <w:rsid w:val="0075458A"/>
    <w:rsid w:val="00754752"/>
    <w:rsid w:val="007547E7"/>
    <w:rsid w:val="00755271"/>
    <w:rsid w:val="00755659"/>
    <w:rsid w:val="007556C1"/>
    <w:rsid w:val="00755739"/>
    <w:rsid w:val="00755BC0"/>
    <w:rsid w:val="00756E21"/>
    <w:rsid w:val="00757275"/>
    <w:rsid w:val="007577C6"/>
    <w:rsid w:val="00757CF6"/>
    <w:rsid w:val="00757EC3"/>
    <w:rsid w:val="00760FD4"/>
    <w:rsid w:val="00762084"/>
    <w:rsid w:val="00762262"/>
    <w:rsid w:val="00762694"/>
    <w:rsid w:val="00762B4C"/>
    <w:rsid w:val="00763268"/>
    <w:rsid w:val="007633BB"/>
    <w:rsid w:val="0076369C"/>
    <w:rsid w:val="00763B52"/>
    <w:rsid w:val="00763E9C"/>
    <w:rsid w:val="0076414E"/>
    <w:rsid w:val="0076426F"/>
    <w:rsid w:val="0076444D"/>
    <w:rsid w:val="007649F0"/>
    <w:rsid w:val="007656F5"/>
    <w:rsid w:val="007659F1"/>
    <w:rsid w:val="00765AC0"/>
    <w:rsid w:val="00766808"/>
    <w:rsid w:val="00766876"/>
    <w:rsid w:val="00766AB3"/>
    <w:rsid w:val="00766DB2"/>
    <w:rsid w:val="007670A7"/>
    <w:rsid w:val="007673A7"/>
    <w:rsid w:val="007673B3"/>
    <w:rsid w:val="00767417"/>
    <w:rsid w:val="00767638"/>
    <w:rsid w:val="00767B0E"/>
    <w:rsid w:val="00770440"/>
    <w:rsid w:val="00770A59"/>
    <w:rsid w:val="00770BBF"/>
    <w:rsid w:val="00770F3E"/>
    <w:rsid w:val="007712D8"/>
    <w:rsid w:val="00771313"/>
    <w:rsid w:val="00772F02"/>
    <w:rsid w:val="007735E9"/>
    <w:rsid w:val="00774739"/>
    <w:rsid w:val="00775324"/>
    <w:rsid w:val="00775784"/>
    <w:rsid w:val="00775909"/>
    <w:rsid w:val="0077596A"/>
    <w:rsid w:val="007759B1"/>
    <w:rsid w:val="00775A57"/>
    <w:rsid w:val="0077642D"/>
    <w:rsid w:val="00776712"/>
    <w:rsid w:val="00776E53"/>
    <w:rsid w:val="00777128"/>
    <w:rsid w:val="0077749B"/>
    <w:rsid w:val="00777738"/>
    <w:rsid w:val="00777C98"/>
    <w:rsid w:val="00777CB5"/>
    <w:rsid w:val="00777D61"/>
    <w:rsid w:val="007801FD"/>
    <w:rsid w:val="007802C5"/>
    <w:rsid w:val="00780426"/>
    <w:rsid w:val="007806AA"/>
    <w:rsid w:val="00780D48"/>
    <w:rsid w:val="007810BD"/>
    <w:rsid w:val="007814D1"/>
    <w:rsid w:val="007817C0"/>
    <w:rsid w:val="007824C6"/>
    <w:rsid w:val="00782528"/>
    <w:rsid w:val="007826F8"/>
    <w:rsid w:val="0078314A"/>
    <w:rsid w:val="007834CC"/>
    <w:rsid w:val="00783644"/>
    <w:rsid w:val="0078375C"/>
    <w:rsid w:val="007839B8"/>
    <w:rsid w:val="00783F3F"/>
    <w:rsid w:val="00784370"/>
    <w:rsid w:val="00784C97"/>
    <w:rsid w:val="00784CD8"/>
    <w:rsid w:val="007850CD"/>
    <w:rsid w:val="00785903"/>
    <w:rsid w:val="00785CD5"/>
    <w:rsid w:val="0078609D"/>
    <w:rsid w:val="007863B5"/>
    <w:rsid w:val="00786440"/>
    <w:rsid w:val="007868A3"/>
    <w:rsid w:val="00787850"/>
    <w:rsid w:val="00787CB2"/>
    <w:rsid w:val="00787FAE"/>
    <w:rsid w:val="0079020A"/>
    <w:rsid w:val="00790ACB"/>
    <w:rsid w:val="00790C6B"/>
    <w:rsid w:val="00791512"/>
    <w:rsid w:val="00791C73"/>
    <w:rsid w:val="00793554"/>
    <w:rsid w:val="00793848"/>
    <w:rsid w:val="007944F2"/>
    <w:rsid w:val="00794684"/>
    <w:rsid w:val="00794AD8"/>
    <w:rsid w:val="00794C76"/>
    <w:rsid w:val="00794E6B"/>
    <w:rsid w:val="0079504A"/>
    <w:rsid w:val="00795B35"/>
    <w:rsid w:val="00795D2E"/>
    <w:rsid w:val="0079663F"/>
    <w:rsid w:val="00796D9C"/>
    <w:rsid w:val="00797280"/>
    <w:rsid w:val="0079765E"/>
    <w:rsid w:val="007976B0"/>
    <w:rsid w:val="007979BF"/>
    <w:rsid w:val="00797A01"/>
    <w:rsid w:val="00797C72"/>
    <w:rsid w:val="007A0164"/>
    <w:rsid w:val="007A0CFB"/>
    <w:rsid w:val="007A1245"/>
    <w:rsid w:val="007A1622"/>
    <w:rsid w:val="007A164B"/>
    <w:rsid w:val="007A1C09"/>
    <w:rsid w:val="007A1C1B"/>
    <w:rsid w:val="007A23DD"/>
    <w:rsid w:val="007A2C85"/>
    <w:rsid w:val="007A2C9D"/>
    <w:rsid w:val="007A39A7"/>
    <w:rsid w:val="007A3BFA"/>
    <w:rsid w:val="007A3C3F"/>
    <w:rsid w:val="007A3D01"/>
    <w:rsid w:val="007A4C89"/>
    <w:rsid w:val="007A4D1D"/>
    <w:rsid w:val="007A50FE"/>
    <w:rsid w:val="007A55A3"/>
    <w:rsid w:val="007A5607"/>
    <w:rsid w:val="007A5AC2"/>
    <w:rsid w:val="007A5B21"/>
    <w:rsid w:val="007A5FF0"/>
    <w:rsid w:val="007A61BB"/>
    <w:rsid w:val="007A6437"/>
    <w:rsid w:val="007A65A9"/>
    <w:rsid w:val="007A6614"/>
    <w:rsid w:val="007A6978"/>
    <w:rsid w:val="007A6CC6"/>
    <w:rsid w:val="007A7074"/>
    <w:rsid w:val="007A73EC"/>
    <w:rsid w:val="007A7584"/>
    <w:rsid w:val="007A790B"/>
    <w:rsid w:val="007A7A3C"/>
    <w:rsid w:val="007A7E24"/>
    <w:rsid w:val="007B09BB"/>
    <w:rsid w:val="007B0E1D"/>
    <w:rsid w:val="007B0FF4"/>
    <w:rsid w:val="007B115C"/>
    <w:rsid w:val="007B11A1"/>
    <w:rsid w:val="007B12EB"/>
    <w:rsid w:val="007B22AC"/>
    <w:rsid w:val="007B237B"/>
    <w:rsid w:val="007B2DED"/>
    <w:rsid w:val="007B33DF"/>
    <w:rsid w:val="007B4807"/>
    <w:rsid w:val="007B4930"/>
    <w:rsid w:val="007B4947"/>
    <w:rsid w:val="007B4CA5"/>
    <w:rsid w:val="007B52AB"/>
    <w:rsid w:val="007B535E"/>
    <w:rsid w:val="007B571A"/>
    <w:rsid w:val="007B58E0"/>
    <w:rsid w:val="007B61A6"/>
    <w:rsid w:val="007B69F9"/>
    <w:rsid w:val="007B6D1D"/>
    <w:rsid w:val="007B7129"/>
    <w:rsid w:val="007B726F"/>
    <w:rsid w:val="007B7486"/>
    <w:rsid w:val="007B7AAF"/>
    <w:rsid w:val="007B7FF8"/>
    <w:rsid w:val="007C02DE"/>
    <w:rsid w:val="007C0FD7"/>
    <w:rsid w:val="007C12BF"/>
    <w:rsid w:val="007C1848"/>
    <w:rsid w:val="007C18B1"/>
    <w:rsid w:val="007C1B4C"/>
    <w:rsid w:val="007C1B8B"/>
    <w:rsid w:val="007C20C1"/>
    <w:rsid w:val="007C2AD7"/>
    <w:rsid w:val="007C332D"/>
    <w:rsid w:val="007C3891"/>
    <w:rsid w:val="007C467A"/>
    <w:rsid w:val="007C5205"/>
    <w:rsid w:val="007C5243"/>
    <w:rsid w:val="007C53D8"/>
    <w:rsid w:val="007C579F"/>
    <w:rsid w:val="007C5D42"/>
    <w:rsid w:val="007C5F12"/>
    <w:rsid w:val="007C5F1A"/>
    <w:rsid w:val="007C60FE"/>
    <w:rsid w:val="007C6776"/>
    <w:rsid w:val="007C70E3"/>
    <w:rsid w:val="007C7B52"/>
    <w:rsid w:val="007C7D23"/>
    <w:rsid w:val="007D000B"/>
    <w:rsid w:val="007D02C7"/>
    <w:rsid w:val="007D0700"/>
    <w:rsid w:val="007D154C"/>
    <w:rsid w:val="007D1778"/>
    <w:rsid w:val="007D1AE0"/>
    <w:rsid w:val="007D1DCC"/>
    <w:rsid w:val="007D22C8"/>
    <w:rsid w:val="007D247E"/>
    <w:rsid w:val="007D2561"/>
    <w:rsid w:val="007D2810"/>
    <w:rsid w:val="007D2938"/>
    <w:rsid w:val="007D2CA1"/>
    <w:rsid w:val="007D30DD"/>
    <w:rsid w:val="007D3C99"/>
    <w:rsid w:val="007D3CB5"/>
    <w:rsid w:val="007D3D5F"/>
    <w:rsid w:val="007D3F23"/>
    <w:rsid w:val="007D40A4"/>
    <w:rsid w:val="007D4354"/>
    <w:rsid w:val="007D43A2"/>
    <w:rsid w:val="007D4927"/>
    <w:rsid w:val="007D49F5"/>
    <w:rsid w:val="007D4E5C"/>
    <w:rsid w:val="007D5286"/>
    <w:rsid w:val="007D5B5C"/>
    <w:rsid w:val="007D5DE5"/>
    <w:rsid w:val="007D5F66"/>
    <w:rsid w:val="007D5F94"/>
    <w:rsid w:val="007D74A1"/>
    <w:rsid w:val="007D7BA1"/>
    <w:rsid w:val="007E01B8"/>
    <w:rsid w:val="007E0E9B"/>
    <w:rsid w:val="007E1446"/>
    <w:rsid w:val="007E147E"/>
    <w:rsid w:val="007E191A"/>
    <w:rsid w:val="007E1962"/>
    <w:rsid w:val="007E2699"/>
    <w:rsid w:val="007E2F17"/>
    <w:rsid w:val="007E3286"/>
    <w:rsid w:val="007E3882"/>
    <w:rsid w:val="007E38B6"/>
    <w:rsid w:val="007E395A"/>
    <w:rsid w:val="007E3FA5"/>
    <w:rsid w:val="007E43A2"/>
    <w:rsid w:val="007E4841"/>
    <w:rsid w:val="007E53C3"/>
    <w:rsid w:val="007E54E3"/>
    <w:rsid w:val="007E58E2"/>
    <w:rsid w:val="007E6DC7"/>
    <w:rsid w:val="007F00A8"/>
    <w:rsid w:val="007F00F4"/>
    <w:rsid w:val="007F06B9"/>
    <w:rsid w:val="007F0828"/>
    <w:rsid w:val="007F0BCF"/>
    <w:rsid w:val="007F1109"/>
    <w:rsid w:val="007F1159"/>
    <w:rsid w:val="007F1205"/>
    <w:rsid w:val="007F1F8A"/>
    <w:rsid w:val="007F23EF"/>
    <w:rsid w:val="007F26AD"/>
    <w:rsid w:val="007F2CE9"/>
    <w:rsid w:val="007F2F35"/>
    <w:rsid w:val="007F3521"/>
    <w:rsid w:val="007F3E27"/>
    <w:rsid w:val="007F3EB3"/>
    <w:rsid w:val="007F40E3"/>
    <w:rsid w:val="007F4877"/>
    <w:rsid w:val="007F493C"/>
    <w:rsid w:val="007F49F8"/>
    <w:rsid w:val="007F4F10"/>
    <w:rsid w:val="007F530D"/>
    <w:rsid w:val="007F53C7"/>
    <w:rsid w:val="007F5597"/>
    <w:rsid w:val="007F55E3"/>
    <w:rsid w:val="007F578D"/>
    <w:rsid w:val="007F5874"/>
    <w:rsid w:val="007F5886"/>
    <w:rsid w:val="007F5F57"/>
    <w:rsid w:val="007F789A"/>
    <w:rsid w:val="007F7AF8"/>
    <w:rsid w:val="0080041A"/>
    <w:rsid w:val="00800F48"/>
    <w:rsid w:val="00801A56"/>
    <w:rsid w:val="00801CD1"/>
    <w:rsid w:val="008020AD"/>
    <w:rsid w:val="008020C2"/>
    <w:rsid w:val="008026DB"/>
    <w:rsid w:val="00802CC6"/>
    <w:rsid w:val="008030A2"/>
    <w:rsid w:val="0080356F"/>
    <w:rsid w:val="008036C1"/>
    <w:rsid w:val="008038D8"/>
    <w:rsid w:val="00803E6A"/>
    <w:rsid w:val="00803E6C"/>
    <w:rsid w:val="0080439A"/>
    <w:rsid w:val="008045D7"/>
    <w:rsid w:val="008047B3"/>
    <w:rsid w:val="00804D74"/>
    <w:rsid w:val="008051DE"/>
    <w:rsid w:val="00805738"/>
    <w:rsid w:val="00806B49"/>
    <w:rsid w:val="00806BF8"/>
    <w:rsid w:val="00806F23"/>
    <w:rsid w:val="00807C2E"/>
    <w:rsid w:val="008102E8"/>
    <w:rsid w:val="0081068E"/>
    <w:rsid w:val="008107EE"/>
    <w:rsid w:val="00810A6D"/>
    <w:rsid w:val="00810CDB"/>
    <w:rsid w:val="008111A1"/>
    <w:rsid w:val="0081130A"/>
    <w:rsid w:val="0081133C"/>
    <w:rsid w:val="00811563"/>
    <w:rsid w:val="008115D8"/>
    <w:rsid w:val="00811B93"/>
    <w:rsid w:val="0081204B"/>
    <w:rsid w:val="008123C3"/>
    <w:rsid w:val="00812BD3"/>
    <w:rsid w:val="008134AD"/>
    <w:rsid w:val="0081370C"/>
    <w:rsid w:val="00813F10"/>
    <w:rsid w:val="00813F81"/>
    <w:rsid w:val="00814643"/>
    <w:rsid w:val="00815421"/>
    <w:rsid w:val="00815536"/>
    <w:rsid w:val="008155D5"/>
    <w:rsid w:val="008159CB"/>
    <w:rsid w:val="00815BBC"/>
    <w:rsid w:val="00815BDD"/>
    <w:rsid w:val="00815E41"/>
    <w:rsid w:val="0081622D"/>
    <w:rsid w:val="008162D8"/>
    <w:rsid w:val="00816478"/>
    <w:rsid w:val="008166C8"/>
    <w:rsid w:val="00816818"/>
    <w:rsid w:val="00816840"/>
    <w:rsid w:val="00816D2F"/>
    <w:rsid w:val="00816D34"/>
    <w:rsid w:val="00816D8B"/>
    <w:rsid w:val="00817D16"/>
    <w:rsid w:val="0082056D"/>
    <w:rsid w:val="008206A4"/>
    <w:rsid w:val="0082074D"/>
    <w:rsid w:val="00820B9F"/>
    <w:rsid w:val="008212D5"/>
    <w:rsid w:val="00821786"/>
    <w:rsid w:val="00821AC5"/>
    <w:rsid w:val="00821BB7"/>
    <w:rsid w:val="008228F6"/>
    <w:rsid w:val="00822B8F"/>
    <w:rsid w:val="00822C57"/>
    <w:rsid w:val="008235DE"/>
    <w:rsid w:val="00823C33"/>
    <w:rsid w:val="00823CDC"/>
    <w:rsid w:val="00824FC8"/>
    <w:rsid w:val="00825606"/>
    <w:rsid w:val="00825654"/>
    <w:rsid w:val="008258F8"/>
    <w:rsid w:val="00826383"/>
    <w:rsid w:val="00826BDB"/>
    <w:rsid w:val="00826BF0"/>
    <w:rsid w:val="00826F50"/>
    <w:rsid w:val="00827007"/>
    <w:rsid w:val="00830181"/>
    <w:rsid w:val="008301A3"/>
    <w:rsid w:val="00830A15"/>
    <w:rsid w:val="00830AC6"/>
    <w:rsid w:val="00830C6E"/>
    <w:rsid w:val="0083132E"/>
    <w:rsid w:val="00831F5E"/>
    <w:rsid w:val="008329FA"/>
    <w:rsid w:val="00832CC0"/>
    <w:rsid w:val="00833026"/>
    <w:rsid w:val="008335B3"/>
    <w:rsid w:val="00833EDB"/>
    <w:rsid w:val="00833FE9"/>
    <w:rsid w:val="008341C2"/>
    <w:rsid w:val="00834324"/>
    <w:rsid w:val="00834A2C"/>
    <w:rsid w:val="0083577B"/>
    <w:rsid w:val="00835791"/>
    <w:rsid w:val="00836723"/>
    <w:rsid w:val="00836A67"/>
    <w:rsid w:val="00836D52"/>
    <w:rsid w:val="00836DB9"/>
    <w:rsid w:val="00836F05"/>
    <w:rsid w:val="00837677"/>
    <w:rsid w:val="008379BA"/>
    <w:rsid w:val="00837C27"/>
    <w:rsid w:val="00837CD1"/>
    <w:rsid w:val="00840530"/>
    <w:rsid w:val="00840A31"/>
    <w:rsid w:val="00840B6C"/>
    <w:rsid w:val="008412B8"/>
    <w:rsid w:val="00841495"/>
    <w:rsid w:val="008419FB"/>
    <w:rsid w:val="00841C2F"/>
    <w:rsid w:val="0084264C"/>
    <w:rsid w:val="00842C5E"/>
    <w:rsid w:val="00843312"/>
    <w:rsid w:val="0084350D"/>
    <w:rsid w:val="0084374B"/>
    <w:rsid w:val="0084397C"/>
    <w:rsid w:val="008440B5"/>
    <w:rsid w:val="008443CE"/>
    <w:rsid w:val="00844852"/>
    <w:rsid w:val="00844889"/>
    <w:rsid w:val="00844EC0"/>
    <w:rsid w:val="008451F0"/>
    <w:rsid w:val="00845450"/>
    <w:rsid w:val="00845B1F"/>
    <w:rsid w:val="00845D1B"/>
    <w:rsid w:val="0084626E"/>
    <w:rsid w:val="00846B98"/>
    <w:rsid w:val="00846CA6"/>
    <w:rsid w:val="0084732C"/>
    <w:rsid w:val="00847398"/>
    <w:rsid w:val="00847887"/>
    <w:rsid w:val="008479BE"/>
    <w:rsid w:val="00847A33"/>
    <w:rsid w:val="00847C8E"/>
    <w:rsid w:val="008506BC"/>
    <w:rsid w:val="00850836"/>
    <w:rsid w:val="00850888"/>
    <w:rsid w:val="00850ADA"/>
    <w:rsid w:val="00850E4F"/>
    <w:rsid w:val="00851233"/>
    <w:rsid w:val="00851E1F"/>
    <w:rsid w:val="00852553"/>
    <w:rsid w:val="00852AD4"/>
    <w:rsid w:val="008531A5"/>
    <w:rsid w:val="00853899"/>
    <w:rsid w:val="0085419B"/>
    <w:rsid w:val="00854703"/>
    <w:rsid w:val="0085482D"/>
    <w:rsid w:val="00854ADA"/>
    <w:rsid w:val="00855463"/>
    <w:rsid w:val="0085560E"/>
    <w:rsid w:val="008557EB"/>
    <w:rsid w:val="00855889"/>
    <w:rsid w:val="00855FE3"/>
    <w:rsid w:val="00856C46"/>
    <w:rsid w:val="00856C79"/>
    <w:rsid w:val="00856CA6"/>
    <w:rsid w:val="00856DED"/>
    <w:rsid w:val="0085769D"/>
    <w:rsid w:val="00860A25"/>
    <w:rsid w:val="00861114"/>
    <w:rsid w:val="00861140"/>
    <w:rsid w:val="008612C2"/>
    <w:rsid w:val="008613D8"/>
    <w:rsid w:val="00861C30"/>
    <w:rsid w:val="0086215B"/>
    <w:rsid w:val="0086297F"/>
    <w:rsid w:val="00862F8E"/>
    <w:rsid w:val="00863208"/>
    <w:rsid w:val="00863334"/>
    <w:rsid w:val="008635E6"/>
    <w:rsid w:val="00863DA5"/>
    <w:rsid w:val="00863FA7"/>
    <w:rsid w:val="008644F2"/>
    <w:rsid w:val="00864999"/>
    <w:rsid w:val="00864AAC"/>
    <w:rsid w:val="00864AC5"/>
    <w:rsid w:val="00864D03"/>
    <w:rsid w:val="008658EC"/>
    <w:rsid w:val="008661CE"/>
    <w:rsid w:val="00867578"/>
    <w:rsid w:val="00867610"/>
    <w:rsid w:val="00867B1A"/>
    <w:rsid w:val="00867D3F"/>
    <w:rsid w:val="00870E17"/>
    <w:rsid w:val="008710E6"/>
    <w:rsid w:val="0087158B"/>
    <w:rsid w:val="00871AFF"/>
    <w:rsid w:val="00872128"/>
    <w:rsid w:val="008724BE"/>
    <w:rsid w:val="00872578"/>
    <w:rsid w:val="00872A76"/>
    <w:rsid w:val="00873918"/>
    <w:rsid w:val="00873F0C"/>
    <w:rsid w:val="00873F53"/>
    <w:rsid w:val="00874A77"/>
    <w:rsid w:val="00874BA9"/>
    <w:rsid w:val="00874BF7"/>
    <w:rsid w:val="00875B79"/>
    <w:rsid w:val="00875B86"/>
    <w:rsid w:val="0087634A"/>
    <w:rsid w:val="008763DD"/>
    <w:rsid w:val="008776C2"/>
    <w:rsid w:val="00877B4E"/>
    <w:rsid w:val="008800A8"/>
    <w:rsid w:val="008805FF"/>
    <w:rsid w:val="0088086C"/>
    <w:rsid w:val="00880F48"/>
    <w:rsid w:val="00881288"/>
    <w:rsid w:val="00881DC4"/>
    <w:rsid w:val="00881E40"/>
    <w:rsid w:val="0088258A"/>
    <w:rsid w:val="00882B71"/>
    <w:rsid w:val="00883232"/>
    <w:rsid w:val="008834D1"/>
    <w:rsid w:val="0088409C"/>
    <w:rsid w:val="00884226"/>
    <w:rsid w:val="00884258"/>
    <w:rsid w:val="008845F9"/>
    <w:rsid w:val="00884786"/>
    <w:rsid w:val="008852A8"/>
    <w:rsid w:val="00885441"/>
    <w:rsid w:val="008855E0"/>
    <w:rsid w:val="0088560B"/>
    <w:rsid w:val="00885950"/>
    <w:rsid w:val="00885C33"/>
    <w:rsid w:val="008861C7"/>
    <w:rsid w:val="00886719"/>
    <w:rsid w:val="00886D8A"/>
    <w:rsid w:val="00886E0F"/>
    <w:rsid w:val="00886FD6"/>
    <w:rsid w:val="00887014"/>
    <w:rsid w:val="0088716F"/>
    <w:rsid w:val="00887804"/>
    <w:rsid w:val="00890C52"/>
    <w:rsid w:val="00890CE8"/>
    <w:rsid w:val="00890D24"/>
    <w:rsid w:val="00890D5C"/>
    <w:rsid w:val="00890E11"/>
    <w:rsid w:val="008919EE"/>
    <w:rsid w:val="008921AC"/>
    <w:rsid w:val="0089234A"/>
    <w:rsid w:val="008923F1"/>
    <w:rsid w:val="00892F0E"/>
    <w:rsid w:val="00893267"/>
    <w:rsid w:val="008936DE"/>
    <w:rsid w:val="00893A45"/>
    <w:rsid w:val="00893C0F"/>
    <w:rsid w:val="00893CDB"/>
    <w:rsid w:val="00894512"/>
    <w:rsid w:val="0089480A"/>
    <w:rsid w:val="00894AB7"/>
    <w:rsid w:val="00894BC7"/>
    <w:rsid w:val="00896194"/>
    <w:rsid w:val="00896373"/>
    <w:rsid w:val="00896390"/>
    <w:rsid w:val="008966C8"/>
    <w:rsid w:val="00896A8C"/>
    <w:rsid w:val="008971A0"/>
    <w:rsid w:val="008972A4"/>
    <w:rsid w:val="00897598"/>
    <w:rsid w:val="008A029B"/>
    <w:rsid w:val="008A04C7"/>
    <w:rsid w:val="008A06D6"/>
    <w:rsid w:val="008A08A5"/>
    <w:rsid w:val="008A0A43"/>
    <w:rsid w:val="008A117D"/>
    <w:rsid w:val="008A172A"/>
    <w:rsid w:val="008A1C77"/>
    <w:rsid w:val="008A291B"/>
    <w:rsid w:val="008A2ADC"/>
    <w:rsid w:val="008A32A4"/>
    <w:rsid w:val="008A341C"/>
    <w:rsid w:val="008A4038"/>
    <w:rsid w:val="008A423E"/>
    <w:rsid w:val="008A476F"/>
    <w:rsid w:val="008A4A0E"/>
    <w:rsid w:val="008A4A8D"/>
    <w:rsid w:val="008A51BA"/>
    <w:rsid w:val="008A5CE3"/>
    <w:rsid w:val="008A6194"/>
    <w:rsid w:val="008A6385"/>
    <w:rsid w:val="008A6573"/>
    <w:rsid w:val="008A6648"/>
    <w:rsid w:val="008A6BCA"/>
    <w:rsid w:val="008A7755"/>
    <w:rsid w:val="008A7910"/>
    <w:rsid w:val="008A7927"/>
    <w:rsid w:val="008A795D"/>
    <w:rsid w:val="008A7B2B"/>
    <w:rsid w:val="008A7E28"/>
    <w:rsid w:val="008B03AC"/>
    <w:rsid w:val="008B0CA0"/>
    <w:rsid w:val="008B0E08"/>
    <w:rsid w:val="008B0FA6"/>
    <w:rsid w:val="008B0FE5"/>
    <w:rsid w:val="008B1B05"/>
    <w:rsid w:val="008B1D16"/>
    <w:rsid w:val="008B1DEC"/>
    <w:rsid w:val="008B2288"/>
    <w:rsid w:val="008B23C8"/>
    <w:rsid w:val="008B29DF"/>
    <w:rsid w:val="008B2B32"/>
    <w:rsid w:val="008B30D3"/>
    <w:rsid w:val="008B3C0A"/>
    <w:rsid w:val="008B3FFE"/>
    <w:rsid w:val="008B4198"/>
    <w:rsid w:val="008B4201"/>
    <w:rsid w:val="008B4E2B"/>
    <w:rsid w:val="008B543F"/>
    <w:rsid w:val="008B557C"/>
    <w:rsid w:val="008B5D7B"/>
    <w:rsid w:val="008B6364"/>
    <w:rsid w:val="008B65B1"/>
    <w:rsid w:val="008B6EE4"/>
    <w:rsid w:val="008B7231"/>
    <w:rsid w:val="008C04DF"/>
    <w:rsid w:val="008C0726"/>
    <w:rsid w:val="008C169E"/>
    <w:rsid w:val="008C1FE2"/>
    <w:rsid w:val="008C28B7"/>
    <w:rsid w:val="008C28FA"/>
    <w:rsid w:val="008C3284"/>
    <w:rsid w:val="008C3AD2"/>
    <w:rsid w:val="008C3BA1"/>
    <w:rsid w:val="008C3F5E"/>
    <w:rsid w:val="008C45E8"/>
    <w:rsid w:val="008C465D"/>
    <w:rsid w:val="008C4952"/>
    <w:rsid w:val="008C4AB2"/>
    <w:rsid w:val="008C4CE2"/>
    <w:rsid w:val="008C506C"/>
    <w:rsid w:val="008C5723"/>
    <w:rsid w:val="008C57B0"/>
    <w:rsid w:val="008C5940"/>
    <w:rsid w:val="008C5988"/>
    <w:rsid w:val="008C5D03"/>
    <w:rsid w:val="008C5FFD"/>
    <w:rsid w:val="008C6306"/>
    <w:rsid w:val="008C636A"/>
    <w:rsid w:val="008C73BF"/>
    <w:rsid w:val="008C7CAF"/>
    <w:rsid w:val="008C7CD9"/>
    <w:rsid w:val="008D001E"/>
    <w:rsid w:val="008D0244"/>
    <w:rsid w:val="008D0309"/>
    <w:rsid w:val="008D06AB"/>
    <w:rsid w:val="008D0951"/>
    <w:rsid w:val="008D0BA2"/>
    <w:rsid w:val="008D10C1"/>
    <w:rsid w:val="008D114A"/>
    <w:rsid w:val="008D195E"/>
    <w:rsid w:val="008D1A6E"/>
    <w:rsid w:val="008D1B9A"/>
    <w:rsid w:val="008D1EE1"/>
    <w:rsid w:val="008D2038"/>
    <w:rsid w:val="008D237F"/>
    <w:rsid w:val="008D27B5"/>
    <w:rsid w:val="008D41DD"/>
    <w:rsid w:val="008D43D2"/>
    <w:rsid w:val="008D4E2A"/>
    <w:rsid w:val="008D4EAF"/>
    <w:rsid w:val="008D53F4"/>
    <w:rsid w:val="008D6BB4"/>
    <w:rsid w:val="008D6BC6"/>
    <w:rsid w:val="008D6C88"/>
    <w:rsid w:val="008D6F9E"/>
    <w:rsid w:val="008D70EA"/>
    <w:rsid w:val="008D74A7"/>
    <w:rsid w:val="008D78F0"/>
    <w:rsid w:val="008D791E"/>
    <w:rsid w:val="008D7E1F"/>
    <w:rsid w:val="008E00DF"/>
    <w:rsid w:val="008E06D8"/>
    <w:rsid w:val="008E0D29"/>
    <w:rsid w:val="008E1261"/>
    <w:rsid w:val="008E128A"/>
    <w:rsid w:val="008E1F71"/>
    <w:rsid w:val="008E2F35"/>
    <w:rsid w:val="008E3126"/>
    <w:rsid w:val="008E38D5"/>
    <w:rsid w:val="008E3BB4"/>
    <w:rsid w:val="008E3BC8"/>
    <w:rsid w:val="008E3C67"/>
    <w:rsid w:val="008E3C7F"/>
    <w:rsid w:val="008E3C84"/>
    <w:rsid w:val="008E49AA"/>
    <w:rsid w:val="008E4DF2"/>
    <w:rsid w:val="008E4EB3"/>
    <w:rsid w:val="008E50C3"/>
    <w:rsid w:val="008E5870"/>
    <w:rsid w:val="008E5A43"/>
    <w:rsid w:val="008E61C4"/>
    <w:rsid w:val="008E6262"/>
    <w:rsid w:val="008E683E"/>
    <w:rsid w:val="008E7708"/>
    <w:rsid w:val="008E7E3E"/>
    <w:rsid w:val="008E7F70"/>
    <w:rsid w:val="008F02BE"/>
    <w:rsid w:val="008F0634"/>
    <w:rsid w:val="008F0760"/>
    <w:rsid w:val="008F0928"/>
    <w:rsid w:val="008F0AC9"/>
    <w:rsid w:val="008F0C1B"/>
    <w:rsid w:val="008F11AA"/>
    <w:rsid w:val="008F11D6"/>
    <w:rsid w:val="008F13CB"/>
    <w:rsid w:val="008F169B"/>
    <w:rsid w:val="008F1DB1"/>
    <w:rsid w:val="008F28DF"/>
    <w:rsid w:val="008F2BF8"/>
    <w:rsid w:val="008F3047"/>
    <w:rsid w:val="008F38C1"/>
    <w:rsid w:val="008F3955"/>
    <w:rsid w:val="008F47C1"/>
    <w:rsid w:val="008F4936"/>
    <w:rsid w:val="008F4C25"/>
    <w:rsid w:val="008F4E84"/>
    <w:rsid w:val="008F519E"/>
    <w:rsid w:val="008F590B"/>
    <w:rsid w:val="008F593D"/>
    <w:rsid w:val="008F5F44"/>
    <w:rsid w:val="008F6066"/>
    <w:rsid w:val="008F6456"/>
    <w:rsid w:val="008F649F"/>
    <w:rsid w:val="008F66D9"/>
    <w:rsid w:val="008F6FC1"/>
    <w:rsid w:val="008F7344"/>
    <w:rsid w:val="008F7600"/>
    <w:rsid w:val="00900692"/>
    <w:rsid w:val="00900BC1"/>
    <w:rsid w:val="00900F1E"/>
    <w:rsid w:val="00900FB5"/>
    <w:rsid w:val="00901163"/>
    <w:rsid w:val="009014C3"/>
    <w:rsid w:val="00901AA7"/>
    <w:rsid w:val="00901B28"/>
    <w:rsid w:val="00901C84"/>
    <w:rsid w:val="0090291A"/>
    <w:rsid w:val="00902C8E"/>
    <w:rsid w:val="00902D81"/>
    <w:rsid w:val="0090319C"/>
    <w:rsid w:val="00903209"/>
    <w:rsid w:val="00903AA8"/>
    <w:rsid w:val="00903D2F"/>
    <w:rsid w:val="00903F6B"/>
    <w:rsid w:val="0090491C"/>
    <w:rsid w:val="00904F2A"/>
    <w:rsid w:val="009051DA"/>
    <w:rsid w:val="00905708"/>
    <w:rsid w:val="00905B8B"/>
    <w:rsid w:val="00905EB0"/>
    <w:rsid w:val="009066AF"/>
    <w:rsid w:val="0090699C"/>
    <w:rsid w:val="00907002"/>
    <w:rsid w:val="009076B6"/>
    <w:rsid w:val="00907B2A"/>
    <w:rsid w:val="00907FF6"/>
    <w:rsid w:val="0091063A"/>
    <w:rsid w:val="00910B5E"/>
    <w:rsid w:val="00911678"/>
    <w:rsid w:val="00911A68"/>
    <w:rsid w:val="009120F0"/>
    <w:rsid w:val="009125FE"/>
    <w:rsid w:val="00912FF3"/>
    <w:rsid w:val="00913460"/>
    <w:rsid w:val="00913CC3"/>
    <w:rsid w:val="00914CAC"/>
    <w:rsid w:val="009150D3"/>
    <w:rsid w:val="009150E8"/>
    <w:rsid w:val="009156BC"/>
    <w:rsid w:val="009158F3"/>
    <w:rsid w:val="0091615E"/>
    <w:rsid w:val="00916AE4"/>
    <w:rsid w:val="00916C57"/>
    <w:rsid w:val="00916F91"/>
    <w:rsid w:val="00917205"/>
    <w:rsid w:val="00917460"/>
    <w:rsid w:val="0091772A"/>
    <w:rsid w:val="00917B6D"/>
    <w:rsid w:val="00917CE3"/>
    <w:rsid w:val="00920639"/>
    <w:rsid w:val="00921278"/>
    <w:rsid w:val="0092132F"/>
    <w:rsid w:val="0092151D"/>
    <w:rsid w:val="0092181A"/>
    <w:rsid w:val="00922020"/>
    <w:rsid w:val="00922B46"/>
    <w:rsid w:val="009230CA"/>
    <w:rsid w:val="00923A17"/>
    <w:rsid w:val="00925357"/>
    <w:rsid w:val="00925CCF"/>
    <w:rsid w:val="00925F77"/>
    <w:rsid w:val="00926795"/>
    <w:rsid w:val="009269FF"/>
    <w:rsid w:val="00926B1C"/>
    <w:rsid w:val="00926C2C"/>
    <w:rsid w:val="00927B0B"/>
    <w:rsid w:val="00927CD3"/>
    <w:rsid w:val="00930117"/>
    <w:rsid w:val="00930295"/>
    <w:rsid w:val="009306C7"/>
    <w:rsid w:val="0093081C"/>
    <w:rsid w:val="00930920"/>
    <w:rsid w:val="00930D92"/>
    <w:rsid w:val="0093204B"/>
    <w:rsid w:val="009321AA"/>
    <w:rsid w:val="00932787"/>
    <w:rsid w:val="009327F0"/>
    <w:rsid w:val="009328EA"/>
    <w:rsid w:val="00932B75"/>
    <w:rsid w:val="00932BC8"/>
    <w:rsid w:val="00932DA6"/>
    <w:rsid w:val="00932F01"/>
    <w:rsid w:val="0093350C"/>
    <w:rsid w:val="00933714"/>
    <w:rsid w:val="009339E4"/>
    <w:rsid w:val="00933F05"/>
    <w:rsid w:val="00933F6D"/>
    <w:rsid w:val="009348BE"/>
    <w:rsid w:val="00934ED5"/>
    <w:rsid w:val="00935226"/>
    <w:rsid w:val="0093576D"/>
    <w:rsid w:val="00935C65"/>
    <w:rsid w:val="00936678"/>
    <w:rsid w:val="00937521"/>
    <w:rsid w:val="00937A6E"/>
    <w:rsid w:val="009404F5"/>
    <w:rsid w:val="0094050E"/>
    <w:rsid w:val="00941861"/>
    <w:rsid w:val="00942226"/>
    <w:rsid w:val="0094222C"/>
    <w:rsid w:val="00942357"/>
    <w:rsid w:val="0094245A"/>
    <w:rsid w:val="009426CF"/>
    <w:rsid w:val="009426D1"/>
    <w:rsid w:val="00942940"/>
    <w:rsid w:val="00942E20"/>
    <w:rsid w:val="0094348E"/>
    <w:rsid w:val="0094361F"/>
    <w:rsid w:val="00943717"/>
    <w:rsid w:val="00943755"/>
    <w:rsid w:val="00943BD0"/>
    <w:rsid w:val="00943BDD"/>
    <w:rsid w:val="00943EA2"/>
    <w:rsid w:val="0094426C"/>
    <w:rsid w:val="00944528"/>
    <w:rsid w:val="00944579"/>
    <w:rsid w:val="00944BE0"/>
    <w:rsid w:val="00944F78"/>
    <w:rsid w:val="0094568B"/>
    <w:rsid w:val="00945C39"/>
    <w:rsid w:val="00945CBD"/>
    <w:rsid w:val="009462EF"/>
    <w:rsid w:val="00946757"/>
    <w:rsid w:val="00946DDE"/>
    <w:rsid w:val="00946E8C"/>
    <w:rsid w:val="009474BB"/>
    <w:rsid w:val="00947D55"/>
    <w:rsid w:val="00947E39"/>
    <w:rsid w:val="00947FBF"/>
    <w:rsid w:val="009501CE"/>
    <w:rsid w:val="0095023A"/>
    <w:rsid w:val="00950993"/>
    <w:rsid w:val="00950A84"/>
    <w:rsid w:val="0095100C"/>
    <w:rsid w:val="00951050"/>
    <w:rsid w:val="00951600"/>
    <w:rsid w:val="00951AEB"/>
    <w:rsid w:val="009523D8"/>
    <w:rsid w:val="00952659"/>
    <w:rsid w:val="009528C8"/>
    <w:rsid w:val="00952980"/>
    <w:rsid w:val="00952D29"/>
    <w:rsid w:val="00953A04"/>
    <w:rsid w:val="00953EE9"/>
    <w:rsid w:val="00953F56"/>
    <w:rsid w:val="00954308"/>
    <w:rsid w:val="00954592"/>
    <w:rsid w:val="009546E1"/>
    <w:rsid w:val="00955153"/>
    <w:rsid w:val="009552B8"/>
    <w:rsid w:val="00955702"/>
    <w:rsid w:val="00955790"/>
    <w:rsid w:val="009558FB"/>
    <w:rsid w:val="00955AB7"/>
    <w:rsid w:val="00956558"/>
    <w:rsid w:val="00956674"/>
    <w:rsid w:val="00956F8F"/>
    <w:rsid w:val="00957239"/>
    <w:rsid w:val="009576EA"/>
    <w:rsid w:val="00957B1E"/>
    <w:rsid w:val="00957BA6"/>
    <w:rsid w:val="00957EC5"/>
    <w:rsid w:val="009603B1"/>
    <w:rsid w:val="009605FD"/>
    <w:rsid w:val="0096087F"/>
    <w:rsid w:val="00960882"/>
    <w:rsid w:val="009614EF"/>
    <w:rsid w:val="00961C70"/>
    <w:rsid w:val="00961D1D"/>
    <w:rsid w:val="00962CD7"/>
    <w:rsid w:val="0096405F"/>
    <w:rsid w:val="00964684"/>
    <w:rsid w:val="0096495E"/>
    <w:rsid w:val="00964B66"/>
    <w:rsid w:val="00964FE2"/>
    <w:rsid w:val="00965263"/>
    <w:rsid w:val="009659B2"/>
    <w:rsid w:val="00965A00"/>
    <w:rsid w:val="00965A0A"/>
    <w:rsid w:val="00965CF3"/>
    <w:rsid w:val="00965D1F"/>
    <w:rsid w:val="00965DCE"/>
    <w:rsid w:val="00966EE5"/>
    <w:rsid w:val="00967230"/>
    <w:rsid w:val="0096784B"/>
    <w:rsid w:val="00967B3C"/>
    <w:rsid w:val="00967F3C"/>
    <w:rsid w:val="0097023F"/>
    <w:rsid w:val="00970625"/>
    <w:rsid w:val="00970E17"/>
    <w:rsid w:val="00970EB9"/>
    <w:rsid w:val="00970FF6"/>
    <w:rsid w:val="00971035"/>
    <w:rsid w:val="009711C8"/>
    <w:rsid w:val="00971831"/>
    <w:rsid w:val="00971F54"/>
    <w:rsid w:val="00972014"/>
    <w:rsid w:val="009728CD"/>
    <w:rsid w:val="009729FE"/>
    <w:rsid w:val="00972DEA"/>
    <w:rsid w:val="00973780"/>
    <w:rsid w:val="00973A27"/>
    <w:rsid w:val="009741F3"/>
    <w:rsid w:val="00974C51"/>
    <w:rsid w:val="009754CE"/>
    <w:rsid w:val="00975EFC"/>
    <w:rsid w:val="009760F8"/>
    <w:rsid w:val="009764FC"/>
    <w:rsid w:val="0097677F"/>
    <w:rsid w:val="00976B03"/>
    <w:rsid w:val="00976CA5"/>
    <w:rsid w:val="00977504"/>
    <w:rsid w:val="00977789"/>
    <w:rsid w:val="00977895"/>
    <w:rsid w:val="00977D43"/>
    <w:rsid w:val="00977D95"/>
    <w:rsid w:val="00980015"/>
    <w:rsid w:val="009805A2"/>
    <w:rsid w:val="00980EF5"/>
    <w:rsid w:val="00981017"/>
    <w:rsid w:val="009815C7"/>
    <w:rsid w:val="00981865"/>
    <w:rsid w:val="00981C65"/>
    <w:rsid w:val="00981F13"/>
    <w:rsid w:val="00982A4F"/>
    <w:rsid w:val="00982B4C"/>
    <w:rsid w:val="00983129"/>
    <w:rsid w:val="00983146"/>
    <w:rsid w:val="0098360F"/>
    <w:rsid w:val="009836F3"/>
    <w:rsid w:val="00983B05"/>
    <w:rsid w:val="00983C4D"/>
    <w:rsid w:val="00983CFD"/>
    <w:rsid w:val="00983D44"/>
    <w:rsid w:val="00983F40"/>
    <w:rsid w:val="0098425F"/>
    <w:rsid w:val="0098460C"/>
    <w:rsid w:val="00985167"/>
    <w:rsid w:val="0098538A"/>
    <w:rsid w:val="00985432"/>
    <w:rsid w:val="00985C1B"/>
    <w:rsid w:val="00985F13"/>
    <w:rsid w:val="009862BA"/>
    <w:rsid w:val="00986A50"/>
    <w:rsid w:val="00986AD9"/>
    <w:rsid w:val="00987942"/>
    <w:rsid w:val="00987B60"/>
    <w:rsid w:val="00987C7E"/>
    <w:rsid w:val="00987F67"/>
    <w:rsid w:val="009906C3"/>
    <w:rsid w:val="0099072F"/>
    <w:rsid w:val="0099083E"/>
    <w:rsid w:val="0099093C"/>
    <w:rsid w:val="00990D9B"/>
    <w:rsid w:val="009912F0"/>
    <w:rsid w:val="00991582"/>
    <w:rsid w:val="00991714"/>
    <w:rsid w:val="00991727"/>
    <w:rsid w:val="0099219E"/>
    <w:rsid w:val="00992454"/>
    <w:rsid w:val="009930C8"/>
    <w:rsid w:val="00993865"/>
    <w:rsid w:val="00993BFB"/>
    <w:rsid w:val="00993D03"/>
    <w:rsid w:val="009948C8"/>
    <w:rsid w:val="00994C3F"/>
    <w:rsid w:val="00994F16"/>
    <w:rsid w:val="00994F57"/>
    <w:rsid w:val="0099616B"/>
    <w:rsid w:val="0099625E"/>
    <w:rsid w:val="00996377"/>
    <w:rsid w:val="009967B6"/>
    <w:rsid w:val="00996A7E"/>
    <w:rsid w:val="009979A8"/>
    <w:rsid w:val="00997A1B"/>
    <w:rsid w:val="00997EA7"/>
    <w:rsid w:val="009A032F"/>
    <w:rsid w:val="009A05F0"/>
    <w:rsid w:val="009A0769"/>
    <w:rsid w:val="009A0A16"/>
    <w:rsid w:val="009A0F5B"/>
    <w:rsid w:val="009A1702"/>
    <w:rsid w:val="009A1AF0"/>
    <w:rsid w:val="009A2916"/>
    <w:rsid w:val="009A293E"/>
    <w:rsid w:val="009A2C6F"/>
    <w:rsid w:val="009A3128"/>
    <w:rsid w:val="009A32C2"/>
    <w:rsid w:val="009A3A68"/>
    <w:rsid w:val="009A3C6D"/>
    <w:rsid w:val="009A417F"/>
    <w:rsid w:val="009A4945"/>
    <w:rsid w:val="009A4D98"/>
    <w:rsid w:val="009A5C15"/>
    <w:rsid w:val="009A5C25"/>
    <w:rsid w:val="009A6323"/>
    <w:rsid w:val="009A6AAE"/>
    <w:rsid w:val="009A6E4C"/>
    <w:rsid w:val="009A6ECB"/>
    <w:rsid w:val="009A705D"/>
    <w:rsid w:val="009A756D"/>
    <w:rsid w:val="009A765B"/>
    <w:rsid w:val="009A79E4"/>
    <w:rsid w:val="009A7B37"/>
    <w:rsid w:val="009A7BBE"/>
    <w:rsid w:val="009A7D53"/>
    <w:rsid w:val="009A7E31"/>
    <w:rsid w:val="009B0542"/>
    <w:rsid w:val="009B0749"/>
    <w:rsid w:val="009B07A8"/>
    <w:rsid w:val="009B0AC9"/>
    <w:rsid w:val="009B117E"/>
    <w:rsid w:val="009B1F52"/>
    <w:rsid w:val="009B200E"/>
    <w:rsid w:val="009B2298"/>
    <w:rsid w:val="009B2384"/>
    <w:rsid w:val="009B25A8"/>
    <w:rsid w:val="009B27D7"/>
    <w:rsid w:val="009B2A5F"/>
    <w:rsid w:val="009B3F51"/>
    <w:rsid w:val="009B3F94"/>
    <w:rsid w:val="009B3FD2"/>
    <w:rsid w:val="009B458B"/>
    <w:rsid w:val="009B479B"/>
    <w:rsid w:val="009B4861"/>
    <w:rsid w:val="009B4A1E"/>
    <w:rsid w:val="009B4C4E"/>
    <w:rsid w:val="009B4DB8"/>
    <w:rsid w:val="009B502E"/>
    <w:rsid w:val="009B508E"/>
    <w:rsid w:val="009B53BA"/>
    <w:rsid w:val="009B5A7F"/>
    <w:rsid w:val="009B5BB4"/>
    <w:rsid w:val="009B5EAD"/>
    <w:rsid w:val="009B6A02"/>
    <w:rsid w:val="009B6F55"/>
    <w:rsid w:val="009B72F0"/>
    <w:rsid w:val="009B7342"/>
    <w:rsid w:val="009B7358"/>
    <w:rsid w:val="009B7979"/>
    <w:rsid w:val="009C04EB"/>
    <w:rsid w:val="009C09AC"/>
    <w:rsid w:val="009C0A81"/>
    <w:rsid w:val="009C0D4C"/>
    <w:rsid w:val="009C13A5"/>
    <w:rsid w:val="009C15C3"/>
    <w:rsid w:val="009C166B"/>
    <w:rsid w:val="009C1AD3"/>
    <w:rsid w:val="009C1BC5"/>
    <w:rsid w:val="009C1DBC"/>
    <w:rsid w:val="009C2019"/>
    <w:rsid w:val="009C203D"/>
    <w:rsid w:val="009C2263"/>
    <w:rsid w:val="009C293B"/>
    <w:rsid w:val="009C2CBE"/>
    <w:rsid w:val="009C30D6"/>
    <w:rsid w:val="009C34BD"/>
    <w:rsid w:val="009C35C9"/>
    <w:rsid w:val="009C360F"/>
    <w:rsid w:val="009C4951"/>
    <w:rsid w:val="009C4DB0"/>
    <w:rsid w:val="009C50A5"/>
    <w:rsid w:val="009C57C5"/>
    <w:rsid w:val="009C5DD3"/>
    <w:rsid w:val="009C5EA3"/>
    <w:rsid w:val="009C619C"/>
    <w:rsid w:val="009C6691"/>
    <w:rsid w:val="009C67DB"/>
    <w:rsid w:val="009C68A7"/>
    <w:rsid w:val="009C750C"/>
    <w:rsid w:val="009C7568"/>
    <w:rsid w:val="009C7E70"/>
    <w:rsid w:val="009D00B7"/>
    <w:rsid w:val="009D03C4"/>
    <w:rsid w:val="009D0E4A"/>
    <w:rsid w:val="009D13D9"/>
    <w:rsid w:val="009D1459"/>
    <w:rsid w:val="009D1595"/>
    <w:rsid w:val="009D1AED"/>
    <w:rsid w:val="009D1DF6"/>
    <w:rsid w:val="009D217F"/>
    <w:rsid w:val="009D3240"/>
    <w:rsid w:val="009D380F"/>
    <w:rsid w:val="009D3A1D"/>
    <w:rsid w:val="009D3A70"/>
    <w:rsid w:val="009D4526"/>
    <w:rsid w:val="009D4536"/>
    <w:rsid w:val="009D4822"/>
    <w:rsid w:val="009D49E8"/>
    <w:rsid w:val="009D4C41"/>
    <w:rsid w:val="009D53D3"/>
    <w:rsid w:val="009D643D"/>
    <w:rsid w:val="009D6E5F"/>
    <w:rsid w:val="009D70D4"/>
    <w:rsid w:val="009D7698"/>
    <w:rsid w:val="009D7889"/>
    <w:rsid w:val="009D7F75"/>
    <w:rsid w:val="009E03ED"/>
    <w:rsid w:val="009E0421"/>
    <w:rsid w:val="009E0481"/>
    <w:rsid w:val="009E0F7D"/>
    <w:rsid w:val="009E1009"/>
    <w:rsid w:val="009E17AB"/>
    <w:rsid w:val="009E1938"/>
    <w:rsid w:val="009E1A88"/>
    <w:rsid w:val="009E2784"/>
    <w:rsid w:val="009E2BDC"/>
    <w:rsid w:val="009E2DC4"/>
    <w:rsid w:val="009E3105"/>
    <w:rsid w:val="009E386D"/>
    <w:rsid w:val="009E3A6A"/>
    <w:rsid w:val="009E4005"/>
    <w:rsid w:val="009E412A"/>
    <w:rsid w:val="009E470F"/>
    <w:rsid w:val="009E4C6C"/>
    <w:rsid w:val="009E4D09"/>
    <w:rsid w:val="009E516B"/>
    <w:rsid w:val="009E532A"/>
    <w:rsid w:val="009E58A5"/>
    <w:rsid w:val="009E604A"/>
    <w:rsid w:val="009E67D5"/>
    <w:rsid w:val="009E6E0E"/>
    <w:rsid w:val="009E7181"/>
    <w:rsid w:val="009E7954"/>
    <w:rsid w:val="009E7BCF"/>
    <w:rsid w:val="009F0104"/>
    <w:rsid w:val="009F03FC"/>
    <w:rsid w:val="009F11D7"/>
    <w:rsid w:val="009F1C5C"/>
    <w:rsid w:val="009F1CA5"/>
    <w:rsid w:val="009F2064"/>
    <w:rsid w:val="009F2269"/>
    <w:rsid w:val="009F247E"/>
    <w:rsid w:val="009F3113"/>
    <w:rsid w:val="009F378F"/>
    <w:rsid w:val="009F388D"/>
    <w:rsid w:val="009F3DDF"/>
    <w:rsid w:val="009F403E"/>
    <w:rsid w:val="009F4575"/>
    <w:rsid w:val="009F49D4"/>
    <w:rsid w:val="009F4CA3"/>
    <w:rsid w:val="009F4F13"/>
    <w:rsid w:val="009F506A"/>
    <w:rsid w:val="009F5142"/>
    <w:rsid w:val="009F52FE"/>
    <w:rsid w:val="009F55EB"/>
    <w:rsid w:val="009F5615"/>
    <w:rsid w:val="009F5FDB"/>
    <w:rsid w:val="009F61B0"/>
    <w:rsid w:val="009F6964"/>
    <w:rsid w:val="009F6D10"/>
    <w:rsid w:val="009F6D71"/>
    <w:rsid w:val="009F6F7B"/>
    <w:rsid w:val="009F7630"/>
    <w:rsid w:val="00A00ABE"/>
    <w:rsid w:val="00A00AEC"/>
    <w:rsid w:val="00A0180C"/>
    <w:rsid w:val="00A01C71"/>
    <w:rsid w:val="00A020FD"/>
    <w:rsid w:val="00A0233C"/>
    <w:rsid w:val="00A02414"/>
    <w:rsid w:val="00A027C9"/>
    <w:rsid w:val="00A02B57"/>
    <w:rsid w:val="00A0300A"/>
    <w:rsid w:val="00A0345F"/>
    <w:rsid w:val="00A0399E"/>
    <w:rsid w:val="00A039A6"/>
    <w:rsid w:val="00A03A67"/>
    <w:rsid w:val="00A04C29"/>
    <w:rsid w:val="00A04C81"/>
    <w:rsid w:val="00A05070"/>
    <w:rsid w:val="00A054BE"/>
    <w:rsid w:val="00A06240"/>
    <w:rsid w:val="00A064E9"/>
    <w:rsid w:val="00A06773"/>
    <w:rsid w:val="00A06796"/>
    <w:rsid w:val="00A07883"/>
    <w:rsid w:val="00A07D13"/>
    <w:rsid w:val="00A109EE"/>
    <w:rsid w:val="00A11730"/>
    <w:rsid w:val="00A1188B"/>
    <w:rsid w:val="00A11DEA"/>
    <w:rsid w:val="00A12A8B"/>
    <w:rsid w:val="00A131B8"/>
    <w:rsid w:val="00A137B2"/>
    <w:rsid w:val="00A1462B"/>
    <w:rsid w:val="00A14E72"/>
    <w:rsid w:val="00A1535D"/>
    <w:rsid w:val="00A154A9"/>
    <w:rsid w:val="00A1554A"/>
    <w:rsid w:val="00A15632"/>
    <w:rsid w:val="00A160EC"/>
    <w:rsid w:val="00A16B7A"/>
    <w:rsid w:val="00A16B89"/>
    <w:rsid w:val="00A16C77"/>
    <w:rsid w:val="00A17212"/>
    <w:rsid w:val="00A1762B"/>
    <w:rsid w:val="00A17758"/>
    <w:rsid w:val="00A204AB"/>
    <w:rsid w:val="00A21071"/>
    <w:rsid w:val="00A2130F"/>
    <w:rsid w:val="00A2136C"/>
    <w:rsid w:val="00A213E1"/>
    <w:rsid w:val="00A21EDE"/>
    <w:rsid w:val="00A2204D"/>
    <w:rsid w:val="00A223C1"/>
    <w:rsid w:val="00A2270C"/>
    <w:rsid w:val="00A22B60"/>
    <w:rsid w:val="00A22B72"/>
    <w:rsid w:val="00A2309A"/>
    <w:rsid w:val="00A23252"/>
    <w:rsid w:val="00A23961"/>
    <w:rsid w:val="00A23F22"/>
    <w:rsid w:val="00A24235"/>
    <w:rsid w:val="00A24264"/>
    <w:rsid w:val="00A24378"/>
    <w:rsid w:val="00A2442F"/>
    <w:rsid w:val="00A246AF"/>
    <w:rsid w:val="00A25200"/>
    <w:rsid w:val="00A25524"/>
    <w:rsid w:val="00A27345"/>
    <w:rsid w:val="00A273CC"/>
    <w:rsid w:val="00A27924"/>
    <w:rsid w:val="00A3030C"/>
    <w:rsid w:val="00A303BE"/>
    <w:rsid w:val="00A30413"/>
    <w:rsid w:val="00A306F7"/>
    <w:rsid w:val="00A30D2F"/>
    <w:rsid w:val="00A3111E"/>
    <w:rsid w:val="00A3176D"/>
    <w:rsid w:val="00A317D0"/>
    <w:rsid w:val="00A319FD"/>
    <w:rsid w:val="00A31AFB"/>
    <w:rsid w:val="00A31B7F"/>
    <w:rsid w:val="00A31D06"/>
    <w:rsid w:val="00A31D73"/>
    <w:rsid w:val="00A322A9"/>
    <w:rsid w:val="00A32BB8"/>
    <w:rsid w:val="00A32BDD"/>
    <w:rsid w:val="00A32D09"/>
    <w:rsid w:val="00A3304A"/>
    <w:rsid w:val="00A338D4"/>
    <w:rsid w:val="00A348C3"/>
    <w:rsid w:val="00A34CF5"/>
    <w:rsid w:val="00A34E63"/>
    <w:rsid w:val="00A35334"/>
    <w:rsid w:val="00A35535"/>
    <w:rsid w:val="00A357F5"/>
    <w:rsid w:val="00A35A39"/>
    <w:rsid w:val="00A35A77"/>
    <w:rsid w:val="00A35AFF"/>
    <w:rsid w:val="00A35BD4"/>
    <w:rsid w:val="00A3613A"/>
    <w:rsid w:val="00A36195"/>
    <w:rsid w:val="00A36992"/>
    <w:rsid w:val="00A36B75"/>
    <w:rsid w:val="00A36DC9"/>
    <w:rsid w:val="00A376CB"/>
    <w:rsid w:val="00A3775D"/>
    <w:rsid w:val="00A4021B"/>
    <w:rsid w:val="00A40503"/>
    <w:rsid w:val="00A40FF1"/>
    <w:rsid w:val="00A41F3F"/>
    <w:rsid w:val="00A4238C"/>
    <w:rsid w:val="00A42553"/>
    <w:rsid w:val="00A4269C"/>
    <w:rsid w:val="00A430D8"/>
    <w:rsid w:val="00A43170"/>
    <w:rsid w:val="00A43687"/>
    <w:rsid w:val="00A43AA9"/>
    <w:rsid w:val="00A43C73"/>
    <w:rsid w:val="00A43D7D"/>
    <w:rsid w:val="00A43F4B"/>
    <w:rsid w:val="00A43FEF"/>
    <w:rsid w:val="00A44225"/>
    <w:rsid w:val="00A444CA"/>
    <w:rsid w:val="00A448D0"/>
    <w:rsid w:val="00A449DA"/>
    <w:rsid w:val="00A454AE"/>
    <w:rsid w:val="00A458A6"/>
    <w:rsid w:val="00A45DE1"/>
    <w:rsid w:val="00A46093"/>
    <w:rsid w:val="00A469EC"/>
    <w:rsid w:val="00A470C3"/>
    <w:rsid w:val="00A5056F"/>
    <w:rsid w:val="00A50957"/>
    <w:rsid w:val="00A50DCC"/>
    <w:rsid w:val="00A51607"/>
    <w:rsid w:val="00A518D3"/>
    <w:rsid w:val="00A51FED"/>
    <w:rsid w:val="00A52161"/>
    <w:rsid w:val="00A522EC"/>
    <w:rsid w:val="00A52974"/>
    <w:rsid w:val="00A52D2A"/>
    <w:rsid w:val="00A52F64"/>
    <w:rsid w:val="00A533CC"/>
    <w:rsid w:val="00A53E17"/>
    <w:rsid w:val="00A54249"/>
    <w:rsid w:val="00A549DC"/>
    <w:rsid w:val="00A54A1A"/>
    <w:rsid w:val="00A5565C"/>
    <w:rsid w:val="00A56B4B"/>
    <w:rsid w:val="00A571D5"/>
    <w:rsid w:val="00A573A6"/>
    <w:rsid w:val="00A57440"/>
    <w:rsid w:val="00A606FD"/>
    <w:rsid w:val="00A60E4E"/>
    <w:rsid w:val="00A61068"/>
    <w:rsid w:val="00A61275"/>
    <w:rsid w:val="00A61713"/>
    <w:rsid w:val="00A61AC0"/>
    <w:rsid w:val="00A61CF0"/>
    <w:rsid w:val="00A61D32"/>
    <w:rsid w:val="00A61F51"/>
    <w:rsid w:val="00A621F9"/>
    <w:rsid w:val="00A62220"/>
    <w:rsid w:val="00A62277"/>
    <w:rsid w:val="00A623F3"/>
    <w:rsid w:val="00A62507"/>
    <w:rsid w:val="00A62799"/>
    <w:rsid w:val="00A628B0"/>
    <w:rsid w:val="00A63089"/>
    <w:rsid w:val="00A631C3"/>
    <w:rsid w:val="00A633E4"/>
    <w:rsid w:val="00A63467"/>
    <w:rsid w:val="00A6376B"/>
    <w:rsid w:val="00A63820"/>
    <w:rsid w:val="00A63869"/>
    <w:rsid w:val="00A643A0"/>
    <w:rsid w:val="00A6449D"/>
    <w:rsid w:val="00A6455C"/>
    <w:rsid w:val="00A64E9E"/>
    <w:rsid w:val="00A64E9F"/>
    <w:rsid w:val="00A64EB3"/>
    <w:rsid w:val="00A64FF4"/>
    <w:rsid w:val="00A6510C"/>
    <w:rsid w:val="00A65F24"/>
    <w:rsid w:val="00A665F2"/>
    <w:rsid w:val="00A66861"/>
    <w:rsid w:val="00A66D6C"/>
    <w:rsid w:val="00A67DC8"/>
    <w:rsid w:val="00A70066"/>
    <w:rsid w:val="00A7035B"/>
    <w:rsid w:val="00A70500"/>
    <w:rsid w:val="00A705A9"/>
    <w:rsid w:val="00A70E54"/>
    <w:rsid w:val="00A715D7"/>
    <w:rsid w:val="00A71D0B"/>
    <w:rsid w:val="00A71E07"/>
    <w:rsid w:val="00A72160"/>
    <w:rsid w:val="00A72E9D"/>
    <w:rsid w:val="00A7369F"/>
    <w:rsid w:val="00A73A48"/>
    <w:rsid w:val="00A74654"/>
    <w:rsid w:val="00A748EE"/>
    <w:rsid w:val="00A751A1"/>
    <w:rsid w:val="00A75B0B"/>
    <w:rsid w:val="00A75C95"/>
    <w:rsid w:val="00A75F82"/>
    <w:rsid w:val="00A76311"/>
    <w:rsid w:val="00A763C0"/>
    <w:rsid w:val="00A76D95"/>
    <w:rsid w:val="00A7758D"/>
    <w:rsid w:val="00A775B9"/>
    <w:rsid w:val="00A77744"/>
    <w:rsid w:val="00A77C4D"/>
    <w:rsid w:val="00A80B35"/>
    <w:rsid w:val="00A80BB9"/>
    <w:rsid w:val="00A80E1F"/>
    <w:rsid w:val="00A812E7"/>
    <w:rsid w:val="00A81577"/>
    <w:rsid w:val="00A82629"/>
    <w:rsid w:val="00A82BD0"/>
    <w:rsid w:val="00A83033"/>
    <w:rsid w:val="00A83631"/>
    <w:rsid w:val="00A836C4"/>
    <w:rsid w:val="00A83896"/>
    <w:rsid w:val="00A83A0A"/>
    <w:rsid w:val="00A83ECD"/>
    <w:rsid w:val="00A83F36"/>
    <w:rsid w:val="00A841DE"/>
    <w:rsid w:val="00A84803"/>
    <w:rsid w:val="00A8491B"/>
    <w:rsid w:val="00A84AA9"/>
    <w:rsid w:val="00A85289"/>
    <w:rsid w:val="00A85779"/>
    <w:rsid w:val="00A85827"/>
    <w:rsid w:val="00A85AAD"/>
    <w:rsid w:val="00A85EF8"/>
    <w:rsid w:val="00A861B6"/>
    <w:rsid w:val="00A864FD"/>
    <w:rsid w:val="00A86DBC"/>
    <w:rsid w:val="00A871AE"/>
    <w:rsid w:val="00A8727E"/>
    <w:rsid w:val="00A8744B"/>
    <w:rsid w:val="00A8766A"/>
    <w:rsid w:val="00A87A0D"/>
    <w:rsid w:val="00A91177"/>
    <w:rsid w:val="00A916DB"/>
    <w:rsid w:val="00A916EE"/>
    <w:rsid w:val="00A918E3"/>
    <w:rsid w:val="00A91A2F"/>
    <w:rsid w:val="00A91F82"/>
    <w:rsid w:val="00A91FF9"/>
    <w:rsid w:val="00A920D9"/>
    <w:rsid w:val="00A9233C"/>
    <w:rsid w:val="00A92A7C"/>
    <w:rsid w:val="00A92C10"/>
    <w:rsid w:val="00A92D2F"/>
    <w:rsid w:val="00A93921"/>
    <w:rsid w:val="00A93EFC"/>
    <w:rsid w:val="00A94758"/>
    <w:rsid w:val="00A94B28"/>
    <w:rsid w:val="00A94D42"/>
    <w:rsid w:val="00A95054"/>
    <w:rsid w:val="00A9557A"/>
    <w:rsid w:val="00A95785"/>
    <w:rsid w:val="00A957C1"/>
    <w:rsid w:val="00A95C77"/>
    <w:rsid w:val="00A9603D"/>
    <w:rsid w:val="00A9650D"/>
    <w:rsid w:val="00A9651C"/>
    <w:rsid w:val="00A96735"/>
    <w:rsid w:val="00A96839"/>
    <w:rsid w:val="00A96DFB"/>
    <w:rsid w:val="00AA0158"/>
    <w:rsid w:val="00AA01D1"/>
    <w:rsid w:val="00AA02F6"/>
    <w:rsid w:val="00AA0D19"/>
    <w:rsid w:val="00AA0D37"/>
    <w:rsid w:val="00AA1253"/>
    <w:rsid w:val="00AA1A69"/>
    <w:rsid w:val="00AA20B9"/>
    <w:rsid w:val="00AA2245"/>
    <w:rsid w:val="00AA234F"/>
    <w:rsid w:val="00AA277F"/>
    <w:rsid w:val="00AA29F8"/>
    <w:rsid w:val="00AA2D5C"/>
    <w:rsid w:val="00AA35C1"/>
    <w:rsid w:val="00AA37BD"/>
    <w:rsid w:val="00AA40D3"/>
    <w:rsid w:val="00AA429B"/>
    <w:rsid w:val="00AA4608"/>
    <w:rsid w:val="00AA46A1"/>
    <w:rsid w:val="00AA493D"/>
    <w:rsid w:val="00AA5BA5"/>
    <w:rsid w:val="00AA6112"/>
    <w:rsid w:val="00AA640A"/>
    <w:rsid w:val="00AA668F"/>
    <w:rsid w:val="00AA6AE7"/>
    <w:rsid w:val="00AA6EDE"/>
    <w:rsid w:val="00AA6F76"/>
    <w:rsid w:val="00AA74AA"/>
    <w:rsid w:val="00AA7837"/>
    <w:rsid w:val="00AA7F73"/>
    <w:rsid w:val="00AA7FB5"/>
    <w:rsid w:val="00AB0700"/>
    <w:rsid w:val="00AB0ABA"/>
    <w:rsid w:val="00AB15C7"/>
    <w:rsid w:val="00AB1974"/>
    <w:rsid w:val="00AB197C"/>
    <w:rsid w:val="00AB2008"/>
    <w:rsid w:val="00AB2044"/>
    <w:rsid w:val="00AB26C9"/>
    <w:rsid w:val="00AB2D6B"/>
    <w:rsid w:val="00AB3213"/>
    <w:rsid w:val="00AB44D3"/>
    <w:rsid w:val="00AB4B20"/>
    <w:rsid w:val="00AB4D9F"/>
    <w:rsid w:val="00AB539D"/>
    <w:rsid w:val="00AB5923"/>
    <w:rsid w:val="00AB6028"/>
    <w:rsid w:val="00AB6078"/>
    <w:rsid w:val="00AB6C86"/>
    <w:rsid w:val="00AB74B2"/>
    <w:rsid w:val="00AB7BFA"/>
    <w:rsid w:val="00AB7D2F"/>
    <w:rsid w:val="00AB7FA6"/>
    <w:rsid w:val="00AC000B"/>
    <w:rsid w:val="00AC005E"/>
    <w:rsid w:val="00AC01C8"/>
    <w:rsid w:val="00AC028A"/>
    <w:rsid w:val="00AC0411"/>
    <w:rsid w:val="00AC05E3"/>
    <w:rsid w:val="00AC0840"/>
    <w:rsid w:val="00AC0B5E"/>
    <w:rsid w:val="00AC0B90"/>
    <w:rsid w:val="00AC0C8C"/>
    <w:rsid w:val="00AC122B"/>
    <w:rsid w:val="00AC162A"/>
    <w:rsid w:val="00AC22D3"/>
    <w:rsid w:val="00AC2572"/>
    <w:rsid w:val="00AC26CA"/>
    <w:rsid w:val="00AC2825"/>
    <w:rsid w:val="00AC28B2"/>
    <w:rsid w:val="00AC2FBC"/>
    <w:rsid w:val="00AC3389"/>
    <w:rsid w:val="00AC3CBA"/>
    <w:rsid w:val="00AC3FF3"/>
    <w:rsid w:val="00AC414D"/>
    <w:rsid w:val="00AC4200"/>
    <w:rsid w:val="00AC48F9"/>
    <w:rsid w:val="00AC4AC9"/>
    <w:rsid w:val="00AC5001"/>
    <w:rsid w:val="00AC5203"/>
    <w:rsid w:val="00AC638A"/>
    <w:rsid w:val="00AC63EA"/>
    <w:rsid w:val="00AC66AA"/>
    <w:rsid w:val="00AC6AB3"/>
    <w:rsid w:val="00AC76A1"/>
    <w:rsid w:val="00AC7EBD"/>
    <w:rsid w:val="00AD0103"/>
    <w:rsid w:val="00AD05ED"/>
    <w:rsid w:val="00AD0BDF"/>
    <w:rsid w:val="00AD10E7"/>
    <w:rsid w:val="00AD17A8"/>
    <w:rsid w:val="00AD17CB"/>
    <w:rsid w:val="00AD2010"/>
    <w:rsid w:val="00AD2778"/>
    <w:rsid w:val="00AD371C"/>
    <w:rsid w:val="00AD3751"/>
    <w:rsid w:val="00AD37D7"/>
    <w:rsid w:val="00AD4318"/>
    <w:rsid w:val="00AD438F"/>
    <w:rsid w:val="00AD5046"/>
    <w:rsid w:val="00AD51BF"/>
    <w:rsid w:val="00AD571B"/>
    <w:rsid w:val="00AD583B"/>
    <w:rsid w:val="00AD5DB0"/>
    <w:rsid w:val="00AD61D6"/>
    <w:rsid w:val="00AD69A6"/>
    <w:rsid w:val="00AD6C07"/>
    <w:rsid w:val="00AD6CE3"/>
    <w:rsid w:val="00AD716F"/>
    <w:rsid w:val="00AD7677"/>
    <w:rsid w:val="00AD79C1"/>
    <w:rsid w:val="00AD7A03"/>
    <w:rsid w:val="00AD7ADC"/>
    <w:rsid w:val="00AE044F"/>
    <w:rsid w:val="00AE0615"/>
    <w:rsid w:val="00AE1076"/>
    <w:rsid w:val="00AE10E7"/>
    <w:rsid w:val="00AE188C"/>
    <w:rsid w:val="00AE2206"/>
    <w:rsid w:val="00AE269C"/>
    <w:rsid w:val="00AE2789"/>
    <w:rsid w:val="00AE3325"/>
    <w:rsid w:val="00AE3349"/>
    <w:rsid w:val="00AE36A8"/>
    <w:rsid w:val="00AE36F8"/>
    <w:rsid w:val="00AE37DB"/>
    <w:rsid w:val="00AE3BDA"/>
    <w:rsid w:val="00AE3EBC"/>
    <w:rsid w:val="00AE40B3"/>
    <w:rsid w:val="00AE42EE"/>
    <w:rsid w:val="00AE468C"/>
    <w:rsid w:val="00AE4A1A"/>
    <w:rsid w:val="00AE53D4"/>
    <w:rsid w:val="00AE56E7"/>
    <w:rsid w:val="00AE57CF"/>
    <w:rsid w:val="00AE58E3"/>
    <w:rsid w:val="00AE5923"/>
    <w:rsid w:val="00AE59CD"/>
    <w:rsid w:val="00AE5C56"/>
    <w:rsid w:val="00AE618B"/>
    <w:rsid w:val="00AE623E"/>
    <w:rsid w:val="00AE6ED2"/>
    <w:rsid w:val="00AE71DF"/>
    <w:rsid w:val="00AE74AF"/>
    <w:rsid w:val="00AE7C17"/>
    <w:rsid w:val="00AF0620"/>
    <w:rsid w:val="00AF066D"/>
    <w:rsid w:val="00AF0DD1"/>
    <w:rsid w:val="00AF0EAB"/>
    <w:rsid w:val="00AF0EC0"/>
    <w:rsid w:val="00AF107A"/>
    <w:rsid w:val="00AF14B1"/>
    <w:rsid w:val="00AF14C4"/>
    <w:rsid w:val="00AF150C"/>
    <w:rsid w:val="00AF1BCA"/>
    <w:rsid w:val="00AF27A4"/>
    <w:rsid w:val="00AF2D23"/>
    <w:rsid w:val="00AF2E6B"/>
    <w:rsid w:val="00AF3396"/>
    <w:rsid w:val="00AF3447"/>
    <w:rsid w:val="00AF3584"/>
    <w:rsid w:val="00AF36D1"/>
    <w:rsid w:val="00AF429B"/>
    <w:rsid w:val="00AF4558"/>
    <w:rsid w:val="00AF4B3F"/>
    <w:rsid w:val="00AF58A2"/>
    <w:rsid w:val="00AF5CDB"/>
    <w:rsid w:val="00AF5DD3"/>
    <w:rsid w:val="00AF5FF7"/>
    <w:rsid w:val="00AF6033"/>
    <w:rsid w:val="00AF631B"/>
    <w:rsid w:val="00AF663D"/>
    <w:rsid w:val="00AF6C74"/>
    <w:rsid w:val="00AF70E0"/>
    <w:rsid w:val="00AF749C"/>
    <w:rsid w:val="00AF76D3"/>
    <w:rsid w:val="00B002B7"/>
    <w:rsid w:val="00B0064A"/>
    <w:rsid w:val="00B008C1"/>
    <w:rsid w:val="00B00F67"/>
    <w:rsid w:val="00B018D2"/>
    <w:rsid w:val="00B01EA0"/>
    <w:rsid w:val="00B01F95"/>
    <w:rsid w:val="00B01FA2"/>
    <w:rsid w:val="00B021C7"/>
    <w:rsid w:val="00B023F6"/>
    <w:rsid w:val="00B0263C"/>
    <w:rsid w:val="00B02A30"/>
    <w:rsid w:val="00B03A16"/>
    <w:rsid w:val="00B03EC1"/>
    <w:rsid w:val="00B04533"/>
    <w:rsid w:val="00B04D7D"/>
    <w:rsid w:val="00B05696"/>
    <w:rsid w:val="00B058C1"/>
    <w:rsid w:val="00B059A2"/>
    <w:rsid w:val="00B06C19"/>
    <w:rsid w:val="00B07047"/>
    <w:rsid w:val="00B07751"/>
    <w:rsid w:val="00B07D43"/>
    <w:rsid w:val="00B1084B"/>
    <w:rsid w:val="00B110AF"/>
    <w:rsid w:val="00B115A5"/>
    <w:rsid w:val="00B11D3E"/>
    <w:rsid w:val="00B1255D"/>
    <w:rsid w:val="00B12B84"/>
    <w:rsid w:val="00B12FB3"/>
    <w:rsid w:val="00B1325D"/>
    <w:rsid w:val="00B13651"/>
    <w:rsid w:val="00B1451C"/>
    <w:rsid w:val="00B14A2C"/>
    <w:rsid w:val="00B153CE"/>
    <w:rsid w:val="00B15505"/>
    <w:rsid w:val="00B15DBC"/>
    <w:rsid w:val="00B15FBD"/>
    <w:rsid w:val="00B16864"/>
    <w:rsid w:val="00B16910"/>
    <w:rsid w:val="00B16F9C"/>
    <w:rsid w:val="00B17862"/>
    <w:rsid w:val="00B17976"/>
    <w:rsid w:val="00B20039"/>
    <w:rsid w:val="00B205EE"/>
    <w:rsid w:val="00B209FD"/>
    <w:rsid w:val="00B21231"/>
    <w:rsid w:val="00B212E9"/>
    <w:rsid w:val="00B21462"/>
    <w:rsid w:val="00B21BC6"/>
    <w:rsid w:val="00B224B2"/>
    <w:rsid w:val="00B22601"/>
    <w:rsid w:val="00B226C1"/>
    <w:rsid w:val="00B22D56"/>
    <w:rsid w:val="00B237D9"/>
    <w:rsid w:val="00B23B74"/>
    <w:rsid w:val="00B240B0"/>
    <w:rsid w:val="00B241F5"/>
    <w:rsid w:val="00B241FE"/>
    <w:rsid w:val="00B24BD1"/>
    <w:rsid w:val="00B25199"/>
    <w:rsid w:val="00B25674"/>
    <w:rsid w:val="00B264CF"/>
    <w:rsid w:val="00B26550"/>
    <w:rsid w:val="00B30F24"/>
    <w:rsid w:val="00B30F9B"/>
    <w:rsid w:val="00B313D7"/>
    <w:rsid w:val="00B31893"/>
    <w:rsid w:val="00B31997"/>
    <w:rsid w:val="00B325BC"/>
    <w:rsid w:val="00B32DB3"/>
    <w:rsid w:val="00B32FE6"/>
    <w:rsid w:val="00B332B5"/>
    <w:rsid w:val="00B3337A"/>
    <w:rsid w:val="00B33DC9"/>
    <w:rsid w:val="00B33FE0"/>
    <w:rsid w:val="00B34DD3"/>
    <w:rsid w:val="00B3506A"/>
    <w:rsid w:val="00B35461"/>
    <w:rsid w:val="00B35584"/>
    <w:rsid w:val="00B36899"/>
    <w:rsid w:val="00B3699F"/>
    <w:rsid w:val="00B36B36"/>
    <w:rsid w:val="00B376D5"/>
    <w:rsid w:val="00B37747"/>
    <w:rsid w:val="00B37939"/>
    <w:rsid w:val="00B404D7"/>
    <w:rsid w:val="00B40737"/>
    <w:rsid w:val="00B40BA1"/>
    <w:rsid w:val="00B40D53"/>
    <w:rsid w:val="00B41023"/>
    <w:rsid w:val="00B41072"/>
    <w:rsid w:val="00B414B2"/>
    <w:rsid w:val="00B41E93"/>
    <w:rsid w:val="00B420DF"/>
    <w:rsid w:val="00B42554"/>
    <w:rsid w:val="00B42BA1"/>
    <w:rsid w:val="00B42E36"/>
    <w:rsid w:val="00B43015"/>
    <w:rsid w:val="00B43050"/>
    <w:rsid w:val="00B4311D"/>
    <w:rsid w:val="00B433FB"/>
    <w:rsid w:val="00B437B7"/>
    <w:rsid w:val="00B4387C"/>
    <w:rsid w:val="00B43DE7"/>
    <w:rsid w:val="00B44E51"/>
    <w:rsid w:val="00B44F64"/>
    <w:rsid w:val="00B458F7"/>
    <w:rsid w:val="00B46A70"/>
    <w:rsid w:val="00B46A73"/>
    <w:rsid w:val="00B47652"/>
    <w:rsid w:val="00B50068"/>
    <w:rsid w:val="00B5040E"/>
    <w:rsid w:val="00B504F9"/>
    <w:rsid w:val="00B50AE8"/>
    <w:rsid w:val="00B50AEC"/>
    <w:rsid w:val="00B50C81"/>
    <w:rsid w:val="00B51142"/>
    <w:rsid w:val="00B515C0"/>
    <w:rsid w:val="00B51B37"/>
    <w:rsid w:val="00B51DFC"/>
    <w:rsid w:val="00B522E7"/>
    <w:rsid w:val="00B5248E"/>
    <w:rsid w:val="00B5253B"/>
    <w:rsid w:val="00B52933"/>
    <w:rsid w:val="00B52F91"/>
    <w:rsid w:val="00B532CD"/>
    <w:rsid w:val="00B533E0"/>
    <w:rsid w:val="00B536ED"/>
    <w:rsid w:val="00B54391"/>
    <w:rsid w:val="00B547B3"/>
    <w:rsid w:val="00B54AFB"/>
    <w:rsid w:val="00B54C83"/>
    <w:rsid w:val="00B55542"/>
    <w:rsid w:val="00B55E03"/>
    <w:rsid w:val="00B56217"/>
    <w:rsid w:val="00B569AF"/>
    <w:rsid w:val="00B56A8E"/>
    <w:rsid w:val="00B56D5C"/>
    <w:rsid w:val="00B60317"/>
    <w:rsid w:val="00B60FB9"/>
    <w:rsid w:val="00B61781"/>
    <w:rsid w:val="00B618D8"/>
    <w:rsid w:val="00B6242A"/>
    <w:rsid w:val="00B625B8"/>
    <w:rsid w:val="00B6278A"/>
    <w:rsid w:val="00B630FF"/>
    <w:rsid w:val="00B63C67"/>
    <w:rsid w:val="00B63DC5"/>
    <w:rsid w:val="00B63E49"/>
    <w:rsid w:val="00B6444A"/>
    <w:rsid w:val="00B64FAC"/>
    <w:rsid w:val="00B6504B"/>
    <w:rsid w:val="00B65860"/>
    <w:rsid w:val="00B65AFD"/>
    <w:rsid w:val="00B65FEC"/>
    <w:rsid w:val="00B660DC"/>
    <w:rsid w:val="00B66160"/>
    <w:rsid w:val="00B6650A"/>
    <w:rsid w:val="00B6650F"/>
    <w:rsid w:val="00B66559"/>
    <w:rsid w:val="00B667C9"/>
    <w:rsid w:val="00B66DC6"/>
    <w:rsid w:val="00B67734"/>
    <w:rsid w:val="00B67CF2"/>
    <w:rsid w:val="00B70041"/>
    <w:rsid w:val="00B70274"/>
    <w:rsid w:val="00B703BE"/>
    <w:rsid w:val="00B704B9"/>
    <w:rsid w:val="00B70892"/>
    <w:rsid w:val="00B70899"/>
    <w:rsid w:val="00B7129F"/>
    <w:rsid w:val="00B714BF"/>
    <w:rsid w:val="00B71652"/>
    <w:rsid w:val="00B71713"/>
    <w:rsid w:val="00B71845"/>
    <w:rsid w:val="00B71CBC"/>
    <w:rsid w:val="00B71FCF"/>
    <w:rsid w:val="00B72496"/>
    <w:rsid w:val="00B734D6"/>
    <w:rsid w:val="00B73DFD"/>
    <w:rsid w:val="00B7496E"/>
    <w:rsid w:val="00B74A6C"/>
    <w:rsid w:val="00B74DB0"/>
    <w:rsid w:val="00B75026"/>
    <w:rsid w:val="00B75073"/>
    <w:rsid w:val="00B75285"/>
    <w:rsid w:val="00B75D52"/>
    <w:rsid w:val="00B75FD9"/>
    <w:rsid w:val="00B76AC8"/>
    <w:rsid w:val="00B76E27"/>
    <w:rsid w:val="00B76EFB"/>
    <w:rsid w:val="00B7751A"/>
    <w:rsid w:val="00B7796D"/>
    <w:rsid w:val="00B80088"/>
    <w:rsid w:val="00B80558"/>
    <w:rsid w:val="00B80AF9"/>
    <w:rsid w:val="00B80BB9"/>
    <w:rsid w:val="00B810E3"/>
    <w:rsid w:val="00B814F5"/>
    <w:rsid w:val="00B81802"/>
    <w:rsid w:val="00B81CD7"/>
    <w:rsid w:val="00B81F0C"/>
    <w:rsid w:val="00B81F8B"/>
    <w:rsid w:val="00B821CC"/>
    <w:rsid w:val="00B8246B"/>
    <w:rsid w:val="00B82B4C"/>
    <w:rsid w:val="00B833DE"/>
    <w:rsid w:val="00B834D7"/>
    <w:rsid w:val="00B8364E"/>
    <w:rsid w:val="00B8369B"/>
    <w:rsid w:val="00B84797"/>
    <w:rsid w:val="00B84B49"/>
    <w:rsid w:val="00B84E74"/>
    <w:rsid w:val="00B84E79"/>
    <w:rsid w:val="00B85185"/>
    <w:rsid w:val="00B8569E"/>
    <w:rsid w:val="00B857FB"/>
    <w:rsid w:val="00B85C4A"/>
    <w:rsid w:val="00B86025"/>
    <w:rsid w:val="00B862BC"/>
    <w:rsid w:val="00B86381"/>
    <w:rsid w:val="00B863E1"/>
    <w:rsid w:val="00B86406"/>
    <w:rsid w:val="00B866A1"/>
    <w:rsid w:val="00B8699A"/>
    <w:rsid w:val="00B87375"/>
    <w:rsid w:val="00B878D7"/>
    <w:rsid w:val="00B87B26"/>
    <w:rsid w:val="00B87B2D"/>
    <w:rsid w:val="00B87DA0"/>
    <w:rsid w:val="00B87DB5"/>
    <w:rsid w:val="00B90082"/>
    <w:rsid w:val="00B904D5"/>
    <w:rsid w:val="00B90E70"/>
    <w:rsid w:val="00B91059"/>
    <w:rsid w:val="00B911E6"/>
    <w:rsid w:val="00B91993"/>
    <w:rsid w:val="00B92F8E"/>
    <w:rsid w:val="00B932E7"/>
    <w:rsid w:val="00B9381F"/>
    <w:rsid w:val="00B9382D"/>
    <w:rsid w:val="00B940B3"/>
    <w:rsid w:val="00B94B71"/>
    <w:rsid w:val="00B952FD"/>
    <w:rsid w:val="00B95A15"/>
    <w:rsid w:val="00B95C34"/>
    <w:rsid w:val="00B95FE2"/>
    <w:rsid w:val="00B9661F"/>
    <w:rsid w:val="00B96B72"/>
    <w:rsid w:val="00B96E3A"/>
    <w:rsid w:val="00B97053"/>
    <w:rsid w:val="00B9728B"/>
    <w:rsid w:val="00B976E1"/>
    <w:rsid w:val="00B97B2E"/>
    <w:rsid w:val="00B97C73"/>
    <w:rsid w:val="00B97F64"/>
    <w:rsid w:val="00BA03B2"/>
    <w:rsid w:val="00BA0D93"/>
    <w:rsid w:val="00BA0DBD"/>
    <w:rsid w:val="00BA1039"/>
    <w:rsid w:val="00BA18F3"/>
    <w:rsid w:val="00BA2802"/>
    <w:rsid w:val="00BA296D"/>
    <w:rsid w:val="00BA312F"/>
    <w:rsid w:val="00BA3276"/>
    <w:rsid w:val="00BA4291"/>
    <w:rsid w:val="00BA42BA"/>
    <w:rsid w:val="00BA43F2"/>
    <w:rsid w:val="00BA4C16"/>
    <w:rsid w:val="00BA5126"/>
    <w:rsid w:val="00BA523E"/>
    <w:rsid w:val="00BA5498"/>
    <w:rsid w:val="00BA55AA"/>
    <w:rsid w:val="00BA58ED"/>
    <w:rsid w:val="00BA60ED"/>
    <w:rsid w:val="00BA66D9"/>
    <w:rsid w:val="00BA67B0"/>
    <w:rsid w:val="00BA67CA"/>
    <w:rsid w:val="00BA6B84"/>
    <w:rsid w:val="00BA6C81"/>
    <w:rsid w:val="00BA7373"/>
    <w:rsid w:val="00BB03B6"/>
    <w:rsid w:val="00BB05DF"/>
    <w:rsid w:val="00BB07F5"/>
    <w:rsid w:val="00BB0B3C"/>
    <w:rsid w:val="00BB0B8B"/>
    <w:rsid w:val="00BB0D7B"/>
    <w:rsid w:val="00BB1140"/>
    <w:rsid w:val="00BB1BDA"/>
    <w:rsid w:val="00BB1C07"/>
    <w:rsid w:val="00BB1C86"/>
    <w:rsid w:val="00BB23BF"/>
    <w:rsid w:val="00BB26D7"/>
    <w:rsid w:val="00BB2863"/>
    <w:rsid w:val="00BB3749"/>
    <w:rsid w:val="00BB37D1"/>
    <w:rsid w:val="00BB3CDB"/>
    <w:rsid w:val="00BB45FE"/>
    <w:rsid w:val="00BB4669"/>
    <w:rsid w:val="00BB4AD2"/>
    <w:rsid w:val="00BB4F8C"/>
    <w:rsid w:val="00BB59E0"/>
    <w:rsid w:val="00BB5F40"/>
    <w:rsid w:val="00BB5F66"/>
    <w:rsid w:val="00BB5F8E"/>
    <w:rsid w:val="00BB61C8"/>
    <w:rsid w:val="00BB6313"/>
    <w:rsid w:val="00BB66AD"/>
    <w:rsid w:val="00BB6D0D"/>
    <w:rsid w:val="00BB6FDF"/>
    <w:rsid w:val="00BB7289"/>
    <w:rsid w:val="00BB750E"/>
    <w:rsid w:val="00BB78EE"/>
    <w:rsid w:val="00BC04B5"/>
    <w:rsid w:val="00BC088F"/>
    <w:rsid w:val="00BC0B55"/>
    <w:rsid w:val="00BC12A4"/>
    <w:rsid w:val="00BC153A"/>
    <w:rsid w:val="00BC15BA"/>
    <w:rsid w:val="00BC16AE"/>
    <w:rsid w:val="00BC1E76"/>
    <w:rsid w:val="00BC2C99"/>
    <w:rsid w:val="00BC3594"/>
    <w:rsid w:val="00BC39A8"/>
    <w:rsid w:val="00BC3CC0"/>
    <w:rsid w:val="00BC3E1D"/>
    <w:rsid w:val="00BC3F73"/>
    <w:rsid w:val="00BC4268"/>
    <w:rsid w:val="00BC577E"/>
    <w:rsid w:val="00BC582B"/>
    <w:rsid w:val="00BC5EB0"/>
    <w:rsid w:val="00BC6084"/>
    <w:rsid w:val="00BC6649"/>
    <w:rsid w:val="00BC6716"/>
    <w:rsid w:val="00BC6789"/>
    <w:rsid w:val="00BC6ACB"/>
    <w:rsid w:val="00BC6C7E"/>
    <w:rsid w:val="00BC716E"/>
    <w:rsid w:val="00BC74CC"/>
    <w:rsid w:val="00BC7CF6"/>
    <w:rsid w:val="00BC7E07"/>
    <w:rsid w:val="00BD01A4"/>
    <w:rsid w:val="00BD0680"/>
    <w:rsid w:val="00BD129B"/>
    <w:rsid w:val="00BD14E5"/>
    <w:rsid w:val="00BD1618"/>
    <w:rsid w:val="00BD1891"/>
    <w:rsid w:val="00BD2144"/>
    <w:rsid w:val="00BD2CDE"/>
    <w:rsid w:val="00BD3B71"/>
    <w:rsid w:val="00BD4229"/>
    <w:rsid w:val="00BD4738"/>
    <w:rsid w:val="00BD4ACB"/>
    <w:rsid w:val="00BD530F"/>
    <w:rsid w:val="00BD536B"/>
    <w:rsid w:val="00BD5923"/>
    <w:rsid w:val="00BD59E6"/>
    <w:rsid w:val="00BD5ECD"/>
    <w:rsid w:val="00BD6283"/>
    <w:rsid w:val="00BD6530"/>
    <w:rsid w:val="00BD679C"/>
    <w:rsid w:val="00BD6ADE"/>
    <w:rsid w:val="00BD766E"/>
    <w:rsid w:val="00BD7CDA"/>
    <w:rsid w:val="00BD7E51"/>
    <w:rsid w:val="00BE00E7"/>
    <w:rsid w:val="00BE043B"/>
    <w:rsid w:val="00BE052B"/>
    <w:rsid w:val="00BE08FA"/>
    <w:rsid w:val="00BE0D51"/>
    <w:rsid w:val="00BE0E78"/>
    <w:rsid w:val="00BE10DE"/>
    <w:rsid w:val="00BE12A0"/>
    <w:rsid w:val="00BE166B"/>
    <w:rsid w:val="00BE1851"/>
    <w:rsid w:val="00BE19F4"/>
    <w:rsid w:val="00BE1D89"/>
    <w:rsid w:val="00BE1DBB"/>
    <w:rsid w:val="00BE202C"/>
    <w:rsid w:val="00BE2515"/>
    <w:rsid w:val="00BE257C"/>
    <w:rsid w:val="00BE271A"/>
    <w:rsid w:val="00BE318A"/>
    <w:rsid w:val="00BE3409"/>
    <w:rsid w:val="00BE3521"/>
    <w:rsid w:val="00BE3AD9"/>
    <w:rsid w:val="00BE4285"/>
    <w:rsid w:val="00BE464D"/>
    <w:rsid w:val="00BE46B3"/>
    <w:rsid w:val="00BE4CA0"/>
    <w:rsid w:val="00BE52AB"/>
    <w:rsid w:val="00BE5763"/>
    <w:rsid w:val="00BE6204"/>
    <w:rsid w:val="00BE6C8E"/>
    <w:rsid w:val="00BE7018"/>
    <w:rsid w:val="00BE72B7"/>
    <w:rsid w:val="00BE7BB1"/>
    <w:rsid w:val="00BF0195"/>
    <w:rsid w:val="00BF0314"/>
    <w:rsid w:val="00BF06C4"/>
    <w:rsid w:val="00BF0E0F"/>
    <w:rsid w:val="00BF0E9B"/>
    <w:rsid w:val="00BF1073"/>
    <w:rsid w:val="00BF151A"/>
    <w:rsid w:val="00BF1723"/>
    <w:rsid w:val="00BF1A48"/>
    <w:rsid w:val="00BF1B26"/>
    <w:rsid w:val="00BF261E"/>
    <w:rsid w:val="00BF2683"/>
    <w:rsid w:val="00BF2A6A"/>
    <w:rsid w:val="00BF2FF0"/>
    <w:rsid w:val="00BF35C3"/>
    <w:rsid w:val="00BF37BF"/>
    <w:rsid w:val="00BF387B"/>
    <w:rsid w:val="00BF3E47"/>
    <w:rsid w:val="00BF4155"/>
    <w:rsid w:val="00BF4867"/>
    <w:rsid w:val="00BF4A2B"/>
    <w:rsid w:val="00BF515E"/>
    <w:rsid w:val="00BF5496"/>
    <w:rsid w:val="00BF55C6"/>
    <w:rsid w:val="00BF5C1E"/>
    <w:rsid w:val="00BF5EA8"/>
    <w:rsid w:val="00BF6440"/>
    <w:rsid w:val="00BF6708"/>
    <w:rsid w:val="00BF6D05"/>
    <w:rsid w:val="00BF6D94"/>
    <w:rsid w:val="00BF6E8A"/>
    <w:rsid w:val="00BF6FE6"/>
    <w:rsid w:val="00BF74F6"/>
    <w:rsid w:val="00C00EAE"/>
    <w:rsid w:val="00C018EE"/>
    <w:rsid w:val="00C01FB4"/>
    <w:rsid w:val="00C03A2D"/>
    <w:rsid w:val="00C03A93"/>
    <w:rsid w:val="00C0427D"/>
    <w:rsid w:val="00C045C5"/>
    <w:rsid w:val="00C04996"/>
    <w:rsid w:val="00C0501E"/>
    <w:rsid w:val="00C05572"/>
    <w:rsid w:val="00C05E35"/>
    <w:rsid w:val="00C06027"/>
    <w:rsid w:val="00C06E66"/>
    <w:rsid w:val="00C07056"/>
    <w:rsid w:val="00C0766E"/>
    <w:rsid w:val="00C0770E"/>
    <w:rsid w:val="00C07725"/>
    <w:rsid w:val="00C0779A"/>
    <w:rsid w:val="00C07E3E"/>
    <w:rsid w:val="00C10022"/>
    <w:rsid w:val="00C10042"/>
    <w:rsid w:val="00C10342"/>
    <w:rsid w:val="00C10B84"/>
    <w:rsid w:val="00C115ED"/>
    <w:rsid w:val="00C11B85"/>
    <w:rsid w:val="00C11F08"/>
    <w:rsid w:val="00C11FDD"/>
    <w:rsid w:val="00C122BA"/>
    <w:rsid w:val="00C12A7C"/>
    <w:rsid w:val="00C12CAF"/>
    <w:rsid w:val="00C12E95"/>
    <w:rsid w:val="00C1314A"/>
    <w:rsid w:val="00C131D7"/>
    <w:rsid w:val="00C133DF"/>
    <w:rsid w:val="00C1347C"/>
    <w:rsid w:val="00C13491"/>
    <w:rsid w:val="00C135EC"/>
    <w:rsid w:val="00C13933"/>
    <w:rsid w:val="00C13F36"/>
    <w:rsid w:val="00C14CE8"/>
    <w:rsid w:val="00C14FFB"/>
    <w:rsid w:val="00C15949"/>
    <w:rsid w:val="00C15FD7"/>
    <w:rsid w:val="00C1637C"/>
    <w:rsid w:val="00C1664E"/>
    <w:rsid w:val="00C168B9"/>
    <w:rsid w:val="00C17D80"/>
    <w:rsid w:val="00C17EEA"/>
    <w:rsid w:val="00C2000C"/>
    <w:rsid w:val="00C20FE6"/>
    <w:rsid w:val="00C2152A"/>
    <w:rsid w:val="00C21A1D"/>
    <w:rsid w:val="00C21F76"/>
    <w:rsid w:val="00C222B3"/>
    <w:rsid w:val="00C22852"/>
    <w:rsid w:val="00C22F73"/>
    <w:rsid w:val="00C23214"/>
    <w:rsid w:val="00C23391"/>
    <w:rsid w:val="00C23A5E"/>
    <w:rsid w:val="00C23AFE"/>
    <w:rsid w:val="00C2418D"/>
    <w:rsid w:val="00C24461"/>
    <w:rsid w:val="00C24646"/>
    <w:rsid w:val="00C2475B"/>
    <w:rsid w:val="00C24934"/>
    <w:rsid w:val="00C251B6"/>
    <w:rsid w:val="00C2524B"/>
    <w:rsid w:val="00C2606A"/>
    <w:rsid w:val="00C26683"/>
    <w:rsid w:val="00C26B30"/>
    <w:rsid w:val="00C26B43"/>
    <w:rsid w:val="00C27288"/>
    <w:rsid w:val="00C275F4"/>
    <w:rsid w:val="00C27FDD"/>
    <w:rsid w:val="00C3008E"/>
    <w:rsid w:val="00C30F68"/>
    <w:rsid w:val="00C316A3"/>
    <w:rsid w:val="00C31DF5"/>
    <w:rsid w:val="00C323C0"/>
    <w:rsid w:val="00C332DE"/>
    <w:rsid w:val="00C33EFC"/>
    <w:rsid w:val="00C33FA1"/>
    <w:rsid w:val="00C340B7"/>
    <w:rsid w:val="00C344B3"/>
    <w:rsid w:val="00C3482F"/>
    <w:rsid w:val="00C34DF0"/>
    <w:rsid w:val="00C35968"/>
    <w:rsid w:val="00C36BB2"/>
    <w:rsid w:val="00C36ED6"/>
    <w:rsid w:val="00C374A0"/>
    <w:rsid w:val="00C376E8"/>
    <w:rsid w:val="00C3778B"/>
    <w:rsid w:val="00C378D3"/>
    <w:rsid w:val="00C37ED7"/>
    <w:rsid w:val="00C37F8E"/>
    <w:rsid w:val="00C40A74"/>
    <w:rsid w:val="00C40B1A"/>
    <w:rsid w:val="00C40DEA"/>
    <w:rsid w:val="00C415F9"/>
    <w:rsid w:val="00C41766"/>
    <w:rsid w:val="00C41D1D"/>
    <w:rsid w:val="00C4332C"/>
    <w:rsid w:val="00C435D0"/>
    <w:rsid w:val="00C44293"/>
    <w:rsid w:val="00C44324"/>
    <w:rsid w:val="00C445EA"/>
    <w:rsid w:val="00C44867"/>
    <w:rsid w:val="00C44C06"/>
    <w:rsid w:val="00C4531C"/>
    <w:rsid w:val="00C45481"/>
    <w:rsid w:val="00C45D57"/>
    <w:rsid w:val="00C45DF2"/>
    <w:rsid w:val="00C460E5"/>
    <w:rsid w:val="00C4667A"/>
    <w:rsid w:val="00C466EE"/>
    <w:rsid w:val="00C46924"/>
    <w:rsid w:val="00C475C4"/>
    <w:rsid w:val="00C50E2A"/>
    <w:rsid w:val="00C510EA"/>
    <w:rsid w:val="00C51655"/>
    <w:rsid w:val="00C51802"/>
    <w:rsid w:val="00C520A0"/>
    <w:rsid w:val="00C520BC"/>
    <w:rsid w:val="00C52146"/>
    <w:rsid w:val="00C523B7"/>
    <w:rsid w:val="00C5242F"/>
    <w:rsid w:val="00C52525"/>
    <w:rsid w:val="00C52BDD"/>
    <w:rsid w:val="00C52E5E"/>
    <w:rsid w:val="00C53EFF"/>
    <w:rsid w:val="00C53F90"/>
    <w:rsid w:val="00C5401B"/>
    <w:rsid w:val="00C54038"/>
    <w:rsid w:val="00C54778"/>
    <w:rsid w:val="00C54A71"/>
    <w:rsid w:val="00C55D3E"/>
    <w:rsid w:val="00C55D65"/>
    <w:rsid w:val="00C55F3A"/>
    <w:rsid w:val="00C5636F"/>
    <w:rsid w:val="00C56809"/>
    <w:rsid w:val="00C56F36"/>
    <w:rsid w:val="00C56FD3"/>
    <w:rsid w:val="00C57D14"/>
    <w:rsid w:val="00C602FC"/>
    <w:rsid w:val="00C609B4"/>
    <w:rsid w:val="00C61077"/>
    <w:rsid w:val="00C6114C"/>
    <w:rsid w:val="00C61C81"/>
    <w:rsid w:val="00C61E9D"/>
    <w:rsid w:val="00C62078"/>
    <w:rsid w:val="00C6296A"/>
    <w:rsid w:val="00C62EDD"/>
    <w:rsid w:val="00C62F1D"/>
    <w:rsid w:val="00C63022"/>
    <w:rsid w:val="00C63794"/>
    <w:rsid w:val="00C64186"/>
    <w:rsid w:val="00C64337"/>
    <w:rsid w:val="00C65665"/>
    <w:rsid w:val="00C658B4"/>
    <w:rsid w:val="00C65BD1"/>
    <w:rsid w:val="00C66680"/>
    <w:rsid w:val="00C668FF"/>
    <w:rsid w:val="00C67166"/>
    <w:rsid w:val="00C67E3A"/>
    <w:rsid w:val="00C700DA"/>
    <w:rsid w:val="00C708FD"/>
    <w:rsid w:val="00C70F97"/>
    <w:rsid w:val="00C713F0"/>
    <w:rsid w:val="00C7141D"/>
    <w:rsid w:val="00C718BE"/>
    <w:rsid w:val="00C71AFF"/>
    <w:rsid w:val="00C71BC2"/>
    <w:rsid w:val="00C732B3"/>
    <w:rsid w:val="00C735D1"/>
    <w:rsid w:val="00C73A34"/>
    <w:rsid w:val="00C73D71"/>
    <w:rsid w:val="00C741B9"/>
    <w:rsid w:val="00C74370"/>
    <w:rsid w:val="00C74519"/>
    <w:rsid w:val="00C749A1"/>
    <w:rsid w:val="00C74E43"/>
    <w:rsid w:val="00C74E4B"/>
    <w:rsid w:val="00C768E3"/>
    <w:rsid w:val="00C76CFC"/>
    <w:rsid w:val="00C76FD8"/>
    <w:rsid w:val="00C77880"/>
    <w:rsid w:val="00C77FDF"/>
    <w:rsid w:val="00C8039F"/>
    <w:rsid w:val="00C80A78"/>
    <w:rsid w:val="00C810EE"/>
    <w:rsid w:val="00C81250"/>
    <w:rsid w:val="00C815DC"/>
    <w:rsid w:val="00C81B92"/>
    <w:rsid w:val="00C8202B"/>
    <w:rsid w:val="00C82158"/>
    <w:rsid w:val="00C82492"/>
    <w:rsid w:val="00C826D0"/>
    <w:rsid w:val="00C82E4E"/>
    <w:rsid w:val="00C83504"/>
    <w:rsid w:val="00C836A9"/>
    <w:rsid w:val="00C8374A"/>
    <w:rsid w:val="00C83DE5"/>
    <w:rsid w:val="00C84469"/>
    <w:rsid w:val="00C8462C"/>
    <w:rsid w:val="00C84EDC"/>
    <w:rsid w:val="00C84F98"/>
    <w:rsid w:val="00C84FB9"/>
    <w:rsid w:val="00C850E8"/>
    <w:rsid w:val="00C863A5"/>
    <w:rsid w:val="00C86683"/>
    <w:rsid w:val="00C86732"/>
    <w:rsid w:val="00C8748E"/>
    <w:rsid w:val="00C87776"/>
    <w:rsid w:val="00C878C6"/>
    <w:rsid w:val="00C87AE2"/>
    <w:rsid w:val="00C87B1C"/>
    <w:rsid w:val="00C87D21"/>
    <w:rsid w:val="00C9019A"/>
    <w:rsid w:val="00C9055B"/>
    <w:rsid w:val="00C906E3"/>
    <w:rsid w:val="00C908CD"/>
    <w:rsid w:val="00C9090E"/>
    <w:rsid w:val="00C909EF"/>
    <w:rsid w:val="00C90EE1"/>
    <w:rsid w:val="00C916A1"/>
    <w:rsid w:val="00C916FD"/>
    <w:rsid w:val="00C91766"/>
    <w:rsid w:val="00C91A04"/>
    <w:rsid w:val="00C921AB"/>
    <w:rsid w:val="00C92B46"/>
    <w:rsid w:val="00C92D57"/>
    <w:rsid w:val="00C933B3"/>
    <w:rsid w:val="00C939D6"/>
    <w:rsid w:val="00C93AE5"/>
    <w:rsid w:val="00C94980"/>
    <w:rsid w:val="00C949D9"/>
    <w:rsid w:val="00C94BF3"/>
    <w:rsid w:val="00C953FE"/>
    <w:rsid w:val="00C9545D"/>
    <w:rsid w:val="00C95C6C"/>
    <w:rsid w:val="00C95F2A"/>
    <w:rsid w:val="00C964FF"/>
    <w:rsid w:val="00C96B03"/>
    <w:rsid w:val="00C96EAE"/>
    <w:rsid w:val="00C96F03"/>
    <w:rsid w:val="00C97133"/>
    <w:rsid w:val="00C97157"/>
    <w:rsid w:val="00C97319"/>
    <w:rsid w:val="00C974EF"/>
    <w:rsid w:val="00CA0049"/>
    <w:rsid w:val="00CA0357"/>
    <w:rsid w:val="00CA1297"/>
    <w:rsid w:val="00CA18E8"/>
    <w:rsid w:val="00CA1F8B"/>
    <w:rsid w:val="00CA208C"/>
    <w:rsid w:val="00CA20DA"/>
    <w:rsid w:val="00CA2432"/>
    <w:rsid w:val="00CA2632"/>
    <w:rsid w:val="00CA2A35"/>
    <w:rsid w:val="00CA2D11"/>
    <w:rsid w:val="00CA3C66"/>
    <w:rsid w:val="00CA3CCA"/>
    <w:rsid w:val="00CA4318"/>
    <w:rsid w:val="00CA434E"/>
    <w:rsid w:val="00CA482E"/>
    <w:rsid w:val="00CA4E52"/>
    <w:rsid w:val="00CA4E99"/>
    <w:rsid w:val="00CA5016"/>
    <w:rsid w:val="00CA505E"/>
    <w:rsid w:val="00CA5823"/>
    <w:rsid w:val="00CA5E4A"/>
    <w:rsid w:val="00CA5F2A"/>
    <w:rsid w:val="00CA6122"/>
    <w:rsid w:val="00CA6788"/>
    <w:rsid w:val="00CA68BD"/>
    <w:rsid w:val="00CA75AE"/>
    <w:rsid w:val="00CA76A0"/>
    <w:rsid w:val="00CA76D8"/>
    <w:rsid w:val="00CA7A74"/>
    <w:rsid w:val="00CA7AB9"/>
    <w:rsid w:val="00CB0AE7"/>
    <w:rsid w:val="00CB0DA7"/>
    <w:rsid w:val="00CB0E45"/>
    <w:rsid w:val="00CB160D"/>
    <w:rsid w:val="00CB1A37"/>
    <w:rsid w:val="00CB1EBD"/>
    <w:rsid w:val="00CB2C5C"/>
    <w:rsid w:val="00CB2DBD"/>
    <w:rsid w:val="00CB3150"/>
    <w:rsid w:val="00CB36B2"/>
    <w:rsid w:val="00CB3FB6"/>
    <w:rsid w:val="00CB49E4"/>
    <w:rsid w:val="00CB4E0A"/>
    <w:rsid w:val="00CB5082"/>
    <w:rsid w:val="00CB5359"/>
    <w:rsid w:val="00CB53E9"/>
    <w:rsid w:val="00CB5513"/>
    <w:rsid w:val="00CB57EF"/>
    <w:rsid w:val="00CB59D7"/>
    <w:rsid w:val="00CB64C6"/>
    <w:rsid w:val="00CB654E"/>
    <w:rsid w:val="00CB661A"/>
    <w:rsid w:val="00CB6CC2"/>
    <w:rsid w:val="00CB6F22"/>
    <w:rsid w:val="00CB7086"/>
    <w:rsid w:val="00CB71FA"/>
    <w:rsid w:val="00CB7B56"/>
    <w:rsid w:val="00CB7BF0"/>
    <w:rsid w:val="00CC0266"/>
    <w:rsid w:val="00CC02A8"/>
    <w:rsid w:val="00CC05C0"/>
    <w:rsid w:val="00CC0CD1"/>
    <w:rsid w:val="00CC0E92"/>
    <w:rsid w:val="00CC0EDD"/>
    <w:rsid w:val="00CC1282"/>
    <w:rsid w:val="00CC15EF"/>
    <w:rsid w:val="00CC1C1D"/>
    <w:rsid w:val="00CC20E0"/>
    <w:rsid w:val="00CC2775"/>
    <w:rsid w:val="00CC3370"/>
    <w:rsid w:val="00CC33E0"/>
    <w:rsid w:val="00CC3827"/>
    <w:rsid w:val="00CC4019"/>
    <w:rsid w:val="00CC42D5"/>
    <w:rsid w:val="00CC4402"/>
    <w:rsid w:val="00CC488F"/>
    <w:rsid w:val="00CC4D5D"/>
    <w:rsid w:val="00CC5183"/>
    <w:rsid w:val="00CC5205"/>
    <w:rsid w:val="00CC5BA2"/>
    <w:rsid w:val="00CC60C6"/>
    <w:rsid w:val="00CC664E"/>
    <w:rsid w:val="00CC66CA"/>
    <w:rsid w:val="00CC67AE"/>
    <w:rsid w:val="00CC6878"/>
    <w:rsid w:val="00CC6A96"/>
    <w:rsid w:val="00CC6C41"/>
    <w:rsid w:val="00CC72A3"/>
    <w:rsid w:val="00CC7C95"/>
    <w:rsid w:val="00CD026F"/>
    <w:rsid w:val="00CD0432"/>
    <w:rsid w:val="00CD0D3C"/>
    <w:rsid w:val="00CD10F0"/>
    <w:rsid w:val="00CD1D5D"/>
    <w:rsid w:val="00CD21DC"/>
    <w:rsid w:val="00CD2A39"/>
    <w:rsid w:val="00CD2ACD"/>
    <w:rsid w:val="00CD2CA1"/>
    <w:rsid w:val="00CD31DA"/>
    <w:rsid w:val="00CD34C7"/>
    <w:rsid w:val="00CD386B"/>
    <w:rsid w:val="00CD39A7"/>
    <w:rsid w:val="00CD3E44"/>
    <w:rsid w:val="00CD497F"/>
    <w:rsid w:val="00CD4CCF"/>
    <w:rsid w:val="00CD4CFE"/>
    <w:rsid w:val="00CD50FC"/>
    <w:rsid w:val="00CD59FB"/>
    <w:rsid w:val="00CD5A0A"/>
    <w:rsid w:val="00CD60BE"/>
    <w:rsid w:val="00CD651A"/>
    <w:rsid w:val="00CD6A7F"/>
    <w:rsid w:val="00CD6C87"/>
    <w:rsid w:val="00CD701F"/>
    <w:rsid w:val="00CD72B0"/>
    <w:rsid w:val="00CD7939"/>
    <w:rsid w:val="00CD7A22"/>
    <w:rsid w:val="00CD7BCD"/>
    <w:rsid w:val="00CE0021"/>
    <w:rsid w:val="00CE050D"/>
    <w:rsid w:val="00CE0849"/>
    <w:rsid w:val="00CE1127"/>
    <w:rsid w:val="00CE1694"/>
    <w:rsid w:val="00CE1849"/>
    <w:rsid w:val="00CE1A48"/>
    <w:rsid w:val="00CE23C3"/>
    <w:rsid w:val="00CE341B"/>
    <w:rsid w:val="00CE3FA7"/>
    <w:rsid w:val="00CE443B"/>
    <w:rsid w:val="00CE4771"/>
    <w:rsid w:val="00CE5058"/>
    <w:rsid w:val="00CE54CC"/>
    <w:rsid w:val="00CE574E"/>
    <w:rsid w:val="00CE5F1D"/>
    <w:rsid w:val="00CE64FE"/>
    <w:rsid w:val="00CE66C4"/>
    <w:rsid w:val="00CE678D"/>
    <w:rsid w:val="00CE67A7"/>
    <w:rsid w:val="00CE68FB"/>
    <w:rsid w:val="00CE6CD5"/>
    <w:rsid w:val="00CE7518"/>
    <w:rsid w:val="00CE75C5"/>
    <w:rsid w:val="00CE7688"/>
    <w:rsid w:val="00CE7A3D"/>
    <w:rsid w:val="00CE7E1E"/>
    <w:rsid w:val="00CE7E2F"/>
    <w:rsid w:val="00CF01BC"/>
    <w:rsid w:val="00CF0348"/>
    <w:rsid w:val="00CF0B3C"/>
    <w:rsid w:val="00CF1965"/>
    <w:rsid w:val="00CF1AB9"/>
    <w:rsid w:val="00CF1AEB"/>
    <w:rsid w:val="00CF1D15"/>
    <w:rsid w:val="00CF230B"/>
    <w:rsid w:val="00CF255A"/>
    <w:rsid w:val="00CF2D51"/>
    <w:rsid w:val="00CF316F"/>
    <w:rsid w:val="00CF34E9"/>
    <w:rsid w:val="00CF3C40"/>
    <w:rsid w:val="00CF458A"/>
    <w:rsid w:val="00CF47E8"/>
    <w:rsid w:val="00CF5044"/>
    <w:rsid w:val="00CF523A"/>
    <w:rsid w:val="00CF5978"/>
    <w:rsid w:val="00CF604A"/>
    <w:rsid w:val="00CF655E"/>
    <w:rsid w:val="00CF6DE8"/>
    <w:rsid w:val="00CF7720"/>
    <w:rsid w:val="00CF77E7"/>
    <w:rsid w:val="00CF795F"/>
    <w:rsid w:val="00CF7D6C"/>
    <w:rsid w:val="00D000EE"/>
    <w:rsid w:val="00D00780"/>
    <w:rsid w:val="00D01210"/>
    <w:rsid w:val="00D01463"/>
    <w:rsid w:val="00D01725"/>
    <w:rsid w:val="00D0180C"/>
    <w:rsid w:val="00D01822"/>
    <w:rsid w:val="00D01930"/>
    <w:rsid w:val="00D01BE6"/>
    <w:rsid w:val="00D01E43"/>
    <w:rsid w:val="00D022CF"/>
    <w:rsid w:val="00D02462"/>
    <w:rsid w:val="00D02883"/>
    <w:rsid w:val="00D02B97"/>
    <w:rsid w:val="00D02F10"/>
    <w:rsid w:val="00D03A58"/>
    <w:rsid w:val="00D04C3B"/>
    <w:rsid w:val="00D04DEB"/>
    <w:rsid w:val="00D05276"/>
    <w:rsid w:val="00D052DB"/>
    <w:rsid w:val="00D05442"/>
    <w:rsid w:val="00D0586B"/>
    <w:rsid w:val="00D05D04"/>
    <w:rsid w:val="00D070E3"/>
    <w:rsid w:val="00D0739E"/>
    <w:rsid w:val="00D0781A"/>
    <w:rsid w:val="00D10812"/>
    <w:rsid w:val="00D11413"/>
    <w:rsid w:val="00D11F76"/>
    <w:rsid w:val="00D1206B"/>
    <w:rsid w:val="00D1247E"/>
    <w:rsid w:val="00D13669"/>
    <w:rsid w:val="00D1368E"/>
    <w:rsid w:val="00D13739"/>
    <w:rsid w:val="00D13CB3"/>
    <w:rsid w:val="00D13E1A"/>
    <w:rsid w:val="00D144C5"/>
    <w:rsid w:val="00D1463A"/>
    <w:rsid w:val="00D152B3"/>
    <w:rsid w:val="00D158DF"/>
    <w:rsid w:val="00D15914"/>
    <w:rsid w:val="00D159B0"/>
    <w:rsid w:val="00D17162"/>
    <w:rsid w:val="00D17638"/>
    <w:rsid w:val="00D176C1"/>
    <w:rsid w:val="00D17978"/>
    <w:rsid w:val="00D17EB1"/>
    <w:rsid w:val="00D20660"/>
    <w:rsid w:val="00D20D30"/>
    <w:rsid w:val="00D217D2"/>
    <w:rsid w:val="00D218CF"/>
    <w:rsid w:val="00D21B37"/>
    <w:rsid w:val="00D22AC2"/>
    <w:rsid w:val="00D235D2"/>
    <w:rsid w:val="00D23998"/>
    <w:rsid w:val="00D23C2D"/>
    <w:rsid w:val="00D24DCD"/>
    <w:rsid w:val="00D25146"/>
    <w:rsid w:val="00D26110"/>
    <w:rsid w:val="00D2619A"/>
    <w:rsid w:val="00D26983"/>
    <w:rsid w:val="00D26BCB"/>
    <w:rsid w:val="00D26BD6"/>
    <w:rsid w:val="00D277C0"/>
    <w:rsid w:val="00D27809"/>
    <w:rsid w:val="00D27A1B"/>
    <w:rsid w:val="00D27D69"/>
    <w:rsid w:val="00D30110"/>
    <w:rsid w:val="00D30289"/>
    <w:rsid w:val="00D30F8E"/>
    <w:rsid w:val="00D313E7"/>
    <w:rsid w:val="00D31708"/>
    <w:rsid w:val="00D32566"/>
    <w:rsid w:val="00D32C78"/>
    <w:rsid w:val="00D32EF1"/>
    <w:rsid w:val="00D334B2"/>
    <w:rsid w:val="00D334E3"/>
    <w:rsid w:val="00D335ED"/>
    <w:rsid w:val="00D33D56"/>
    <w:rsid w:val="00D33F1B"/>
    <w:rsid w:val="00D340B9"/>
    <w:rsid w:val="00D3427A"/>
    <w:rsid w:val="00D34442"/>
    <w:rsid w:val="00D357F9"/>
    <w:rsid w:val="00D35C56"/>
    <w:rsid w:val="00D36392"/>
    <w:rsid w:val="00D3647B"/>
    <w:rsid w:val="00D366ED"/>
    <w:rsid w:val="00D366F7"/>
    <w:rsid w:val="00D367B4"/>
    <w:rsid w:val="00D36C38"/>
    <w:rsid w:val="00D36DC8"/>
    <w:rsid w:val="00D37FA0"/>
    <w:rsid w:val="00D4067D"/>
    <w:rsid w:val="00D407D4"/>
    <w:rsid w:val="00D40839"/>
    <w:rsid w:val="00D40B18"/>
    <w:rsid w:val="00D4199F"/>
    <w:rsid w:val="00D419AF"/>
    <w:rsid w:val="00D41E8F"/>
    <w:rsid w:val="00D423F5"/>
    <w:rsid w:val="00D42486"/>
    <w:rsid w:val="00D42940"/>
    <w:rsid w:val="00D42C6C"/>
    <w:rsid w:val="00D42CC8"/>
    <w:rsid w:val="00D42E10"/>
    <w:rsid w:val="00D42E2F"/>
    <w:rsid w:val="00D43368"/>
    <w:rsid w:val="00D43B12"/>
    <w:rsid w:val="00D44F38"/>
    <w:rsid w:val="00D451CD"/>
    <w:rsid w:val="00D45737"/>
    <w:rsid w:val="00D45C86"/>
    <w:rsid w:val="00D46271"/>
    <w:rsid w:val="00D46E31"/>
    <w:rsid w:val="00D47D8F"/>
    <w:rsid w:val="00D502F9"/>
    <w:rsid w:val="00D50360"/>
    <w:rsid w:val="00D5066A"/>
    <w:rsid w:val="00D506B4"/>
    <w:rsid w:val="00D50945"/>
    <w:rsid w:val="00D50C91"/>
    <w:rsid w:val="00D51463"/>
    <w:rsid w:val="00D51B24"/>
    <w:rsid w:val="00D51BD3"/>
    <w:rsid w:val="00D51E02"/>
    <w:rsid w:val="00D51E53"/>
    <w:rsid w:val="00D521DE"/>
    <w:rsid w:val="00D5292D"/>
    <w:rsid w:val="00D52C5B"/>
    <w:rsid w:val="00D5335E"/>
    <w:rsid w:val="00D5336B"/>
    <w:rsid w:val="00D535B5"/>
    <w:rsid w:val="00D5377E"/>
    <w:rsid w:val="00D537F3"/>
    <w:rsid w:val="00D54526"/>
    <w:rsid w:val="00D5470A"/>
    <w:rsid w:val="00D54F61"/>
    <w:rsid w:val="00D54F7D"/>
    <w:rsid w:val="00D55451"/>
    <w:rsid w:val="00D5549D"/>
    <w:rsid w:val="00D55C1A"/>
    <w:rsid w:val="00D55F10"/>
    <w:rsid w:val="00D55F95"/>
    <w:rsid w:val="00D56062"/>
    <w:rsid w:val="00D56319"/>
    <w:rsid w:val="00D56EA7"/>
    <w:rsid w:val="00D56F40"/>
    <w:rsid w:val="00D574E4"/>
    <w:rsid w:val="00D57C75"/>
    <w:rsid w:val="00D57CCC"/>
    <w:rsid w:val="00D601F6"/>
    <w:rsid w:val="00D6040C"/>
    <w:rsid w:val="00D61328"/>
    <w:rsid w:val="00D6152B"/>
    <w:rsid w:val="00D61D27"/>
    <w:rsid w:val="00D62150"/>
    <w:rsid w:val="00D6225F"/>
    <w:rsid w:val="00D6254B"/>
    <w:rsid w:val="00D62717"/>
    <w:rsid w:val="00D627D5"/>
    <w:rsid w:val="00D62FB5"/>
    <w:rsid w:val="00D633C8"/>
    <w:rsid w:val="00D643D4"/>
    <w:rsid w:val="00D64A2A"/>
    <w:rsid w:val="00D64C45"/>
    <w:rsid w:val="00D6545E"/>
    <w:rsid w:val="00D65880"/>
    <w:rsid w:val="00D658F3"/>
    <w:rsid w:val="00D661DE"/>
    <w:rsid w:val="00D66ACB"/>
    <w:rsid w:val="00D66ED5"/>
    <w:rsid w:val="00D679FA"/>
    <w:rsid w:val="00D70220"/>
    <w:rsid w:val="00D70850"/>
    <w:rsid w:val="00D70BB9"/>
    <w:rsid w:val="00D7109B"/>
    <w:rsid w:val="00D712B7"/>
    <w:rsid w:val="00D713ED"/>
    <w:rsid w:val="00D7160A"/>
    <w:rsid w:val="00D71B0D"/>
    <w:rsid w:val="00D71CF5"/>
    <w:rsid w:val="00D71DDD"/>
    <w:rsid w:val="00D7216E"/>
    <w:rsid w:val="00D725F2"/>
    <w:rsid w:val="00D72E3E"/>
    <w:rsid w:val="00D7308F"/>
    <w:rsid w:val="00D732FE"/>
    <w:rsid w:val="00D734FE"/>
    <w:rsid w:val="00D73820"/>
    <w:rsid w:val="00D73862"/>
    <w:rsid w:val="00D745E2"/>
    <w:rsid w:val="00D74BD1"/>
    <w:rsid w:val="00D75024"/>
    <w:rsid w:val="00D755E8"/>
    <w:rsid w:val="00D75655"/>
    <w:rsid w:val="00D75659"/>
    <w:rsid w:val="00D75755"/>
    <w:rsid w:val="00D75D4E"/>
    <w:rsid w:val="00D767DB"/>
    <w:rsid w:val="00D769E2"/>
    <w:rsid w:val="00D76C32"/>
    <w:rsid w:val="00D76F21"/>
    <w:rsid w:val="00D76F96"/>
    <w:rsid w:val="00D77293"/>
    <w:rsid w:val="00D774A4"/>
    <w:rsid w:val="00D77B09"/>
    <w:rsid w:val="00D77BBE"/>
    <w:rsid w:val="00D80401"/>
    <w:rsid w:val="00D80516"/>
    <w:rsid w:val="00D8086F"/>
    <w:rsid w:val="00D808B0"/>
    <w:rsid w:val="00D80DCE"/>
    <w:rsid w:val="00D81429"/>
    <w:rsid w:val="00D81E05"/>
    <w:rsid w:val="00D821D3"/>
    <w:rsid w:val="00D8240E"/>
    <w:rsid w:val="00D82A55"/>
    <w:rsid w:val="00D82B85"/>
    <w:rsid w:val="00D82DE9"/>
    <w:rsid w:val="00D8311F"/>
    <w:rsid w:val="00D83388"/>
    <w:rsid w:val="00D83F19"/>
    <w:rsid w:val="00D8452B"/>
    <w:rsid w:val="00D84A33"/>
    <w:rsid w:val="00D84D6D"/>
    <w:rsid w:val="00D85467"/>
    <w:rsid w:val="00D85BA7"/>
    <w:rsid w:val="00D85FCE"/>
    <w:rsid w:val="00D864FC"/>
    <w:rsid w:val="00D8666B"/>
    <w:rsid w:val="00D866C6"/>
    <w:rsid w:val="00D869E4"/>
    <w:rsid w:val="00D86AB8"/>
    <w:rsid w:val="00D86FB0"/>
    <w:rsid w:val="00D8701A"/>
    <w:rsid w:val="00D877BD"/>
    <w:rsid w:val="00D9030C"/>
    <w:rsid w:val="00D90524"/>
    <w:rsid w:val="00D9057A"/>
    <w:rsid w:val="00D90D78"/>
    <w:rsid w:val="00D90E3B"/>
    <w:rsid w:val="00D91427"/>
    <w:rsid w:val="00D91623"/>
    <w:rsid w:val="00D9175A"/>
    <w:rsid w:val="00D92156"/>
    <w:rsid w:val="00D922C6"/>
    <w:rsid w:val="00D92D36"/>
    <w:rsid w:val="00D931C9"/>
    <w:rsid w:val="00D933BF"/>
    <w:rsid w:val="00D9372C"/>
    <w:rsid w:val="00D93FC3"/>
    <w:rsid w:val="00D95909"/>
    <w:rsid w:val="00D95E18"/>
    <w:rsid w:val="00D9618D"/>
    <w:rsid w:val="00D963E4"/>
    <w:rsid w:val="00D96599"/>
    <w:rsid w:val="00D9661E"/>
    <w:rsid w:val="00D96A9D"/>
    <w:rsid w:val="00D976B3"/>
    <w:rsid w:val="00D97D3B"/>
    <w:rsid w:val="00D97D61"/>
    <w:rsid w:val="00D97DF0"/>
    <w:rsid w:val="00DA077C"/>
    <w:rsid w:val="00DA0A21"/>
    <w:rsid w:val="00DA0F89"/>
    <w:rsid w:val="00DA16B0"/>
    <w:rsid w:val="00DA1B8D"/>
    <w:rsid w:val="00DA1C71"/>
    <w:rsid w:val="00DA1EC4"/>
    <w:rsid w:val="00DA2640"/>
    <w:rsid w:val="00DA2A2E"/>
    <w:rsid w:val="00DA2E7A"/>
    <w:rsid w:val="00DA32AB"/>
    <w:rsid w:val="00DA3727"/>
    <w:rsid w:val="00DA3978"/>
    <w:rsid w:val="00DA3D17"/>
    <w:rsid w:val="00DA4054"/>
    <w:rsid w:val="00DA47A7"/>
    <w:rsid w:val="00DA4BD5"/>
    <w:rsid w:val="00DA4E81"/>
    <w:rsid w:val="00DA4F6D"/>
    <w:rsid w:val="00DA51CE"/>
    <w:rsid w:val="00DA5248"/>
    <w:rsid w:val="00DA548E"/>
    <w:rsid w:val="00DA6C8B"/>
    <w:rsid w:val="00DA712A"/>
    <w:rsid w:val="00DA7379"/>
    <w:rsid w:val="00DA78CD"/>
    <w:rsid w:val="00DA7B2C"/>
    <w:rsid w:val="00DA7B8F"/>
    <w:rsid w:val="00DB0091"/>
    <w:rsid w:val="00DB0F3A"/>
    <w:rsid w:val="00DB17A6"/>
    <w:rsid w:val="00DB1953"/>
    <w:rsid w:val="00DB1FCE"/>
    <w:rsid w:val="00DB3963"/>
    <w:rsid w:val="00DB42FE"/>
    <w:rsid w:val="00DB4400"/>
    <w:rsid w:val="00DB4A68"/>
    <w:rsid w:val="00DB4BFA"/>
    <w:rsid w:val="00DB4C60"/>
    <w:rsid w:val="00DB4DD1"/>
    <w:rsid w:val="00DB5421"/>
    <w:rsid w:val="00DB5890"/>
    <w:rsid w:val="00DB5E04"/>
    <w:rsid w:val="00DB5E1A"/>
    <w:rsid w:val="00DB640B"/>
    <w:rsid w:val="00DB6570"/>
    <w:rsid w:val="00DB675E"/>
    <w:rsid w:val="00DB67D8"/>
    <w:rsid w:val="00DB68BD"/>
    <w:rsid w:val="00DB70AC"/>
    <w:rsid w:val="00DB74AD"/>
    <w:rsid w:val="00DB7F0A"/>
    <w:rsid w:val="00DC0014"/>
    <w:rsid w:val="00DC03C0"/>
    <w:rsid w:val="00DC05C5"/>
    <w:rsid w:val="00DC08B5"/>
    <w:rsid w:val="00DC0DE8"/>
    <w:rsid w:val="00DC1102"/>
    <w:rsid w:val="00DC116A"/>
    <w:rsid w:val="00DC17DA"/>
    <w:rsid w:val="00DC1DA9"/>
    <w:rsid w:val="00DC255C"/>
    <w:rsid w:val="00DC3460"/>
    <w:rsid w:val="00DC34CB"/>
    <w:rsid w:val="00DC38AF"/>
    <w:rsid w:val="00DC3B17"/>
    <w:rsid w:val="00DC3BBB"/>
    <w:rsid w:val="00DC3E06"/>
    <w:rsid w:val="00DC3EB7"/>
    <w:rsid w:val="00DC404C"/>
    <w:rsid w:val="00DC4150"/>
    <w:rsid w:val="00DC4FF2"/>
    <w:rsid w:val="00DC59D5"/>
    <w:rsid w:val="00DC5C00"/>
    <w:rsid w:val="00DC5E64"/>
    <w:rsid w:val="00DC669E"/>
    <w:rsid w:val="00DC6F18"/>
    <w:rsid w:val="00DC71E9"/>
    <w:rsid w:val="00DC75BD"/>
    <w:rsid w:val="00DC7934"/>
    <w:rsid w:val="00DC7A7A"/>
    <w:rsid w:val="00DC7DEC"/>
    <w:rsid w:val="00DC7E00"/>
    <w:rsid w:val="00DD0452"/>
    <w:rsid w:val="00DD06F5"/>
    <w:rsid w:val="00DD0D27"/>
    <w:rsid w:val="00DD0DAC"/>
    <w:rsid w:val="00DD13F2"/>
    <w:rsid w:val="00DD1AC6"/>
    <w:rsid w:val="00DD1BA5"/>
    <w:rsid w:val="00DD203F"/>
    <w:rsid w:val="00DD2074"/>
    <w:rsid w:val="00DD24EF"/>
    <w:rsid w:val="00DD2891"/>
    <w:rsid w:val="00DD30F9"/>
    <w:rsid w:val="00DD3DD5"/>
    <w:rsid w:val="00DD41EA"/>
    <w:rsid w:val="00DD4253"/>
    <w:rsid w:val="00DD43AD"/>
    <w:rsid w:val="00DD547E"/>
    <w:rsid w:val="00DD57C6"/>
    <w:rsid w:val="00DD5F06"/>
    <w:rsid w:val="00DD61C7"/>
    <w:rsid w:val="00DD63B9"/>
    <w:rsid w:val="00DD63EA"/>
    <w:rsid w:val="00DD69C4"/>
    <w:rsid w:val="00DD6D56"/>
    <w:rsid w:val="00DD6F09"/>
    <w:rsid w:val="00DD7474"/>
    <w:rsid w:val="00DD7AE9"/>
    <w:rsid w:val="00DE00DA"/>
    <w:rsid w:val="00DE09AC"/>
    <w:rsid w:val="00DE0E42"/>
    <w:rsid w:val="00DE115C"/>
    <w:rsid w:val="00DE1307"/>
    <w:rsid w:val="00DE13F3"/>
    <w:rsid w:val="00DE14AB"/>
    <w:rsid w:val="00DE17B7"/>
    <w:rsid w:val="00DE1890"/>
    <w:rsid w:val="00DE2179"/>
    <w:rsid w:val="00DE2409"/>
    <w:rsid w:val="00DE2A01"/>
    <w:rsid w:val="00DE2AF1"/>
    <w:rsid w:val="00DE2B54"/>
    <w:rsid w:val="00DE2B9A"/>
    <w:rsid w:val="00DE2DA6"/>
    <w:rsid w:val="00DE2F40"/>
    <w:rsid w:val="00DE2FE8"/>
    <w:rsid w:val="00DE30B7"/>
    <w:rsid w:val="00DE32CF"/>
    <w:rsid w:val="00DE3C55"/>
    <w:rsid w:val="00DE40AC"/>
    <w:rsid w:val="00DE410B"/>
    <w:rsid w:val="00DE4367"/>
    <w:rsid w:val="00DE43DE"/>
    <w:rsid w:val="00DE44E3"/>
    <w:rsid w:val="00DE476D"/>
    <w:rsid w:val="00DE480F"/>
    <w:rsid w:val="00DE5047"/>
    <w:rsid w:val="00DE55D7"/>
    <w:rsid w:val="00DE58C8"/>
    <w:rsid w:val="00DE5BE0"/>
    <w:rsid w:val="00DE5D9B"/>
    <w:rsid w:val="00DE682D"/>
    <w:rsid w:val="00DE6F41"/>
    <w:rsid w:val="00DE743C"/>
    <w:rsid w:val="00DE7880"/>
    <w:rsid w:val="00DE78A7"/>
    <w:rsid w:val="00DE7C15"/>
    <w:rsid w:val="00DE7D8C"/>
    <w:rsid w:val="00DF04AC"/>
    <w:rsid w:val="00DF0678"/>
    <w:rsid w:val="00DF1083"/>
    <w:rsid w:val="00DF1AB1"/>
    <w:rsid w:val="00DF1C2E"/>
    <w:rsid w:val="00DF2275"/>
    <w:rsid w:val="00DF26A4"/>
    <w:rsid w:val="00DF278F"/>
    <w:rsid w:val="00DF2922"/>
    <w:rsid w:val="00DF2D00"/>
    <w:rsid w:val="00DF306C"/>
    <w:rsid w:val="00DF33F1"/>
    <w:rsid w:val="00DF354D"/>
    <w:rsid w:val="00DF37B1"/>
    <w:rsid w:val="00DF3CB8"/>
    <w:rsid w:val="00DF4A95"/>
    <w:rsid w:val="00DF4E40"/>
    <w:rsid w:val="00DF51CB"/>
    <w:rsid w:val="00DF525C"/>
    <w:rsid w:val="00DF64EE"/>
    <w:rsid w:val="00DF6686"/>
    <w:rsid w:val="00DF6BA1"/>
    <w:rsid w:val="00DF6BAC"/>
    <w:rsid w:val="00DF7243"/>
    <w:rsid w:val="00DF72F0"/>
    <w:rsid w:val="00DF7AF6"/>
    <w:rsid w:val="00E0181C"/>
    <w:rsid w:val="00E018E3"/>
    <w:rsid w:val="00E01DED"/>
    <w:rsid w:val="00E01DF6"/>
    <w:rsid w:val="00E01EB0"/>
    <w:rsid w:val="00E02126"/>
    <w:rsid w:val="00E0378C"/>
    <w:rsid w:val="00E037CE"/>
    <w:rsid w:val="00E0464E"/>
    <w:rsid w:val="00E04B73"/>
    <w:rsid w:val="00E051B8"/>
    <w:rsid w:val="00E05339"/>
    <w:rsid w:val="00E053AD"/>
    <w:rsid w:val="00E053DD"/>
    <w:rsid w:val="00E0594F"/>
    <w:rsid w:val="00E06097"/>
    <w:rsid w:val="00E06778"/>
    <w:rsid w:val="00E068A4"/>
    <w:rsid w:val="00E06D39"/>
    <w:rsid w:val="00E0783C"/>
    <w:rsid w:val="00E07C45"/>
    <w:rsid w:val="00E10362"/>
    <w:rsid w:val="00E1058B"/>
    <w:rsid w:val="00E10C3A"/>
    <w:rsid w:val="00E11025"/>
    <w:rsid w:val="00E1117A"/>
    <w:rsid w:val="00E114DE"/>
    <w:rsid w:val="00E115E9"/>
    <w:rsid w:val="00E11D9D"/>
    <w:rsid w:val="00E11F15"/>
    <w:rsid w:val="00E12037"/>
    <w:rsid w:val="00E12BFC"/>
    <w:rsid w:val="00E13741"/>
    <w:rsid w:val="00E1381E"/>
    <w:rsid w:val="00E139CB"/>
    <w:rsid w:val="00E14246"/>
    <w:rsid w:val="00E14985"/>
    <w:rsid w:val="00E14E30"/>
    <w:rsid w:val="00E15256"/>
    <w:rsid w:val="00E1547C"/>
    <w:rsid w:val="00E15489"/>
    <w:rsid w:val="00E1549D"/>
    <w:rsid w:val="00E15937"/>
    <w:rsid w:val="00E15EE1"/>
    <w:rsid w:val="00E165BC"/>
    <w:rsid w:val="00E165F6"/>
    <w:rsid w:val="00E16632"/>
    <w:rsid w:val="00E16A63"/>
    <w:rsid w:val="00E16D18"/>
    <w:rsid w:val="00E17203"/>
    <w:rsid w:val="00E172C8"/>
    <w:rsid w:val="00E173A3"/>
    <w:rsid w:val="00E1743D"/>
    <w:rsid w:val="00E1750E"/>
    <w:rsid w:val="00E17CA0"/>
    <w:rsid w:val="00E201F4"/>
    <w:rsid w:val="00E216D4"/>
    <w:rsid w:val="00E21740"/>
    <w:rsid w:val="00E219B1"/>
    <w:rsid w:val="00E225DB"/>
    <w:rsid w:val="00E22882"/>
    <w:rsid w:val="00E23166"/>
    <w:rsid w:val="00E2343A"/>
    <w:rsid w:val="00E23D9D"/>
    <w:rsid w:val="00E23DEB"/>
    <w:rsid w:val="00E23F02"/>
    <w:rsid w:val="00E2441A"/>
    <w:rsid w:val="00E2485F"/>
    <w:rsid w:val="00E250E4"/>
    <w:rsid w:val="00E252C0"/>
    <w:rsid w:val="00E25536"/>
    <w:rsid w:val="00E25E42"/>
    <w:rsid w:val="00E26313"/>
    <w:rsid w:val="00E26649"/>
    <w:rsid w:val="00E269C5"/>
    <w:rsid w:val="00E277BA"/>
    <w:rsid w:val="00E27FB3"/>
    <w:rsid w:val="00E30098"/>
    <w:rsid w:val="00E307E9"/>
    <w:rsid w:val="00E30E3B"/>
    <w:rsid w:val="00E3118E"/>
    <w:rsid w:val="00E311ED"/>
    <w:rsid w:val="00E31522"/>
    <w:rsid w:val="00E31650"/>
    <w:rsid w:val="00E3173F"/>
    <w:rsid w:val="00E31857"/>
    <w:rsid w:val="00E329DD"/>
    <w:rsid w:val="00E32EB1"/>
    <w:rsid w:val="00E32EE5"/>
    <w:rsid w:val="00E339CC"/>
    <w:rsid w:val="00E33ADD"/>
    <w:rsid w:val="00E33BF6"/>
    <w:rsid w:val="00E33F37"/>
    <w:rsid w:val="00E33FDB"/>
    <w:rsid w:val="00E34241"/>
    <w:rsid w:val="00E34575"/>
    <w:rsid w:val="00E3485D"/>
    <w:rsid w:val="00E348AD"/>
    <w:rsid w:val="00E34F83"/>
    <w:rsid w:val="00E352C1"/>
    <w:rsid w:val="00E35330"/>
    <w:rsid w:val="00E35A55"/>
    <w:rsid w:val="00E35BB5"/>
    <w:rsid w:val="00E366FC"/>
    <w:rsid w:val="00E36871"/>
    <w:rsid w:val="00E3693B"/>
    <w:rsid w:val="00E36EA6"/>
    <w:rsid w:val="00E371EE"/>
    <w:rsid w:val="00E37232"/>
    <w:rsid w:val="00E3726B"/>
    <w:rsid w:val="00E373F6"/>
    <w:rsid w:val="00E374A3"/>
    <w:rsid w:val="00E3786A"/>
    <w:rsid w:val="00E3794A"/>
    <w:rsid w:val="00E3795E"/>
    <w:rsid w:val="00E379A0"/>
    <w:rsid w:val="00E379D2"/>
    <w:rsid w:val="00E37C82"/>
    <w:rsid w:val="00E40452"/>
    <w:rsid w:val="00E412E6"/>
    <w:rsid w:val="00E4192B"/>
    <w:rsid w:val="00E419C6"/>
    <w:rsid w:val="00E41C51"/>
    <w:rsid w:val="00E41CE3"/>
    <w:rsid w:val="00E41E4D"/>
    <w:rsid w:val="00E41E54"/>
    <w:rsid w:val="00E43336"/>
    <w:rsid w:val="00E4335F"/>
    <w:rsid w:val="00E43B58"/>
    <w:rsid w:val="00E4411D"/>
    <w:rsid w:val="00E441AF"/>
    <w:rsid w:val="00E4439F"/>
    <w:rsid w:val="00E44479"/>
    <w:rsid w:val="00E44C29"/>
    <w:rsid w:val="00E44F29"/>
    <w:rsid w:val="00E44FA4"/>
    <w:rsid w:val="00E45092"/>
    <w:rsid w:val="00E4511D"/>
    <w:rsid w:val="00E4532B"/>
    <w:rsid w:val="00E45904"/>
    <w:rsid w:val="00E46A90"/>
    <w:rsid w:val="00E47036"/>
    <w:rsid w:val="00E47F06"/>
    <w:rsid w:val="00E5031B"/>
    <w:rsid w:val="00E507C2"/>
    <w:rsid w:val="00E50C5A"/>
    <w:rsid w:val="00E513CB"/>
    <w:rsid w:val="00E51554"/>
    <w:rsid w:val="00E51CC2"/>
    <w:rsid w:val="00E51D19"/>
    <w:rsid w:val="00E51D88"/>
    <w:rsid w:val="00E51E22"/>
    <w:rsid w:val="00E52725"/>
    <w:rsid w:val="00E529D9"/>
    <w:rsid w:val="00E52B9D"/>
    <w:rsid w:val="00E52BBC"/>
    <w:rsid w:val="00E534D5"/>
    <w:rsid w:val="00E53692"/>
    <w:rsid w:val="00E5369E"/>
    <w:rsid w:val="00E54041"/>
    <w:rsid w:val="00E5421C"/>
    <w:rsid w:val="00E54277"/>
    <w:rsid w:val="00E542F4"/>
    <w:rsid w:val="00E55A10"/>
    <w:rsid w:val="00E55ADD"/>
    <w:rsid w:val="00E55E68"/>
    <w:rsid w:val="00E56551"/>
    <w:rsid w:val="00E566B3"/>
    <w:rsid w:val="00E573BC"/>
    <w:rsid w:val="00E57CF0"/>
    <w:rsid w:val="00E60599"/>
    <w:rsid w:val="00E60EB4"/>
    <w:rsid w:val="00E61C6C"/>
    <w:rsid w:val="00E61DED"/>
    <w:rsid w:val="00E62170"/>
    <w:rsid w:val="00E621BB"/>
    <w:rsid w:val="00E62856"/>
    <w:rsid w:val="00E62CCD"/>
    <w:rsid w:val="00E63027"/>
    <w:rsid w:val="00E63116"/>
    <w:rsid w:val="00E63524"/>
    <w:rsid w:val="00E63709"/>
    <w:rsid w:val="00E63C55"/>
    <w:rsid w:val="00E63F57"/>
    <w:rsid w:val="00E6469B"/>
    <w:rsid w:val="00E64716"/>
    <w:rsid w:val="00E661B4"/>
    <w:rsid w:val="00E66A0D"/>
    <w:rsid w:val="00E66D58"/>
    <w:rsid w:val="00E67246"/>
    <w:rsid w:val="00E67621"/>
    <w:rsid w:val="00E678B6"/>
    <w:rsid w:val="00E67D56"/>
    <w:rsid w:val="00E709C0"/>
    <w:rsid w:val="00E709E1"/>
    <w:rsid w:val="00E70C43"/>
    <w:rsid w:val="00E710F6"/>
    <w:rsid w:val="00E7120B"/>
    <w:rsid w:val="00E712CB"/>
    <w:rsid w:val="00E71449"/>
    <w:rsid w:val="00E71B69"/>
    <w:rsid w:val="00E72223"/>
    <w:rsid w:val="00E7280A"/>
    <w:rsid w:val="00E7289E"/>
    <w:rsid w:val="00E72DE8"/>
    <w:rsid w:val="00E735F0"/>
    <w:rsid w:val="00E73A80"/>
    <w:rsid w:val="00E73AE3"/>
    <w:rsid w:val="00E7404D"/>
    <w:rsid w:val="00E74311"/>
    <w:rsid w:val="00E74A41"/>
    <w:rsid w:val="00E74BAB"/>
    <w:rsid w:val="00E74F71"/>
    <w:rsid w:val="00E75103"/>
    <w:rsid w:val="00E75836"/>
    <w:rsid w:val="00E75B5A"/>
    <w:rsid w:val="00E775E4"/>
    <w:rsid w:val="00E7763D"/>
    <w:rsid w:val="00E77ECE"/>
    <w:rsid w:val="00E80665"/>
    <w:rsid w:val="00E809C0"/>
    <w:rsid w:val="00E80C01"/>
    <w:rsid w:val="00E80C67"/>
    <w:rsid w:val="00E80DDF"/>
    <w:rsid w:val="00E80EFE"/>
    <w:rsid w:val="00E81070"/>
    <w:rsid w:val="00E81CB1"/>
    <w:rsid w:val="00E82190"/>
    <w:rsid w:val="00E82260"/>
    <w:rsid w:val="00E822FE"/>
    <w:rsid w:val="00E82632"/>
    <w:rsid w:val="00E82B63"/>
    <w:rsid w:val="00E83426"/>
    <w:rsid w:val="00E8355C"/>
    <w:rsid w:val="00E8440D"/>
    <w:rsid w:val="00E84959"/>
    <w:rsid w:val="00E84CEE"/>
    <w:rsid w:val="00E84D58"/>
    <w:rsid w:val="00E85064"/>
    <w:rsid w:val="00E856D6"/>
    <w:rsid w:val="00E85D18"/>
    <w:rsid w:val="00E85E9E"/>
    <w:rsid w:val="00E86CE8"/>
    <w:rsid w:val="00E86F12"/>
    <w:rsid w:val="00E87033"/>
    <w:rsid w:val="00E871D5"/>
    <w:rsid w:val="00E87969"/>
    <w:rsid w:val="00E87B97"/>
    <w:rsid w:val="00E9014F"/>
    <w:rsid w:val="00E902D4"/>
    <w:rsid w:val="00E90C91"/>
    <w:rsid w:val="00E91AFA"/>
    <w:rsid w:val="00E924B5"/>
    <w:rsid w:val="00E92645"/>
    <w:rsid w:val="00E929DA"/>
    <w:rsid w:val="00E92C79"/>
    <w:rsid w:val="00E92EAC"/>
    <w:rsid w:val="00E93127"/>
    <w:rsid w:val="00E93AB0"/>
    <w:rsid w:val="00E94654"/>
    <w:rsid w:val="00E94762"/>
    <w:rsid w:val="00E9535B"/>
    <w:rsid w:val="00E954FB"/>
    <w:rsid w:val="00E95640"/>
    <w:rsid w:val="00E959EC"/>
    <w:rsid w:val="00E95B05"/>
    <w:rsid w:val="00E9603A"/>
    <w:rsid w:val="00E9658C"/>
    <w:rsid w:val="00E96627"/>
    <w:rsid w:val="00E96C1E"/>
    <w:rsid w:val="00E97811"/>
    <w:rsid w:val="00E97EF0"/>
    <w:rsid w:val="00EA061A"/>
    <w:rsid w:val="00EA09E3"/>
    <w:rsid w:val="00EA0A9C"/>
    <w:rsid w:val="00EA0F9E"/>
    <w:rsid w:val="00EA160B"/>
    <w:rsid w:val="00EA1746"/>
    <w:rsid w:val="00EA17BA"/>
    <w:rsid w:val="00EA1808"/>
    <w:rsid w:val="00EA19FC"/>
    <w:rsid w:val="00EA2542"/>
    <w:rsid w:val="00EA2764"/>
    <w:rsid w:val="00EA2E73"/>
    <w:rsid w:val="00EA2F39"/>
    <w:rsid w:val="00EA30B3"/>
    <w:rsid w:val="00EA3109"/>
    <w:rsid w:val="00EA31B2"/>
    <w:rsid w:val="00EA329B"/>
    <w:rsid w:val="00EA38D8"/>
    <w:rsid w:val="00EA39A2"/>
    <w:rsid w:val="00EA3C60"/>
    <w:rsid w:val="00EA4071"/>
    <w:rsid w:val="00EA4697"/>
    <w:rsid w:val="00EA5193"/>
    <w:rsid w:val="00EA5672"/>
    <w:rsid w:val="00EA5C2F"/>
    <w:rsid w:val="00EA6898"/>
    <w:rsid w:val="00EA6DB1"/>
    <w:rsid w:val="00EA7CA6"/>
    <w:rsid w:val="00EA7E89"/>
    <w:rsid w:val="00EB0F0D"/>
    <w:rsid w:val="00EB1535"/>
    <w:rsid w:val="00EB1671"/>
    <w:rsid w:val="00EB1816"/>
    <w:rsid w:val="00EB198C"/>
    <w:rsid w:val="00EB1D08"/>
    <w:rsid w:val="00EB2238"/>
    <w:rsid w:val="00EB22D6"/>
    <w:rsid w:val="00EB290F"/>
    <w:rsid w:val="00EB29D0"/>
    <w:rsid w:val="00EB35ED"/>
    <w:rsid w:val="00EB36C4"/>
    <w:rsid w:val="00EB3790"/>
    <w:rsid w:val="00EB3E2A"/>
    <w:rsid w:val="00EB3F64"/>
    <w:rsid w:val="00EB43FE"/>
    <w:rsid w:val="00EB45B9"/>
    <w:rsid w:val="00EB4ECB"/>
    <w:rsid w:val="00EB55D2"/>
    <w:rsid w:val="00EB5D2E"/>
    <w:rsid w:val="00EB5FC4"/>
    <w:rsid w:val="00EB60C3"/>
    <w:rsid w:val="00EB6365"/>
    <w:rsid w:val="00EB6766"/>
    <w:rsid w:val="00EB736B"/>
    <w:rsid w:val="00EB757E"/>
    <w:rsid w:val="00EB782B"/>
    <w:rsid w:val="00EC078B"/>
    <w:rsid w:val="00EC0A09"/>
    <w:rsid w:val="00EC1676"/>
    <w:rsid w:val="00EC271C"/>
    <w:rsid w:val="00EC2F3C"/>
    <w:rsid w:val="00EC3078"/>
    <w:rsid w:val="00EC363A"/>
    <w:rsid w:val="00EC36A6"/>
    <w:rsid w:val="00EC3A9E"/>
    <w:rsid w:val="00EC453E"/>
    <w:rsid w:val="00EC471B"/>
    <w:rsid w:val="00EC4B00"/>
    <w:rsid w:val="00EC55BD"/>
    <w:rsid w:val="00EC55DC"/>
    <w:rsid w:val="00EC5C71"/>
    <w:rsid w:val="00EC67DE"/>
    <w:rsid w:val="00EC6A7A"/>
    <w:rsid w:val="00EC6AF2"/>
    <w:rsid w:val="00EC7285"/>
    <w:rsid w:val="00EC72E9"/>
    <w:rsid w:val="00EC7A30"/>
    <w:rsid w:val="00EC7B9D"/>
    <w:rsid w:val="00EC7F50"/>
    <w:rsid w:val="00ED010A"/>
    <w:rsid w:val="00ED0C89"/>
    <w:rsid w:val="00ED12EA"/>
    <w:rsid w:val="00ED1CC5"/>
    <w:rsid w:val="00ED2329"/>
    <w:rsid w:val="00ED2555"/>
    <w:rsid w:val="00ED27E9"/>
    <w:rsid w:val="00ED2FAA"/>
    <w:rsid w:val="00ED3235"/>
    <w:rsid w:val="00ED3456"/>
    <w:rsid w:val="00ED3505"/>
    <w:rsid w:val="00ED4040"/>
    <w:rsid w:val="00ED4075"/>
    <w:rsid w:val="00ED4204"/>
    <w:rsid w:val="00ED425A"/>
    <w:rsid w:val="00ED46B8"/>
    <w:rsid w:val="00ED4754"/>
    <w:rsid w:val="00ED48C3"/>
    <w:rsid w:val="00ED4B9E"/>
    <w:rsid w:val="00ED4D03"/>
    <w:rsid w:val="00ED4D82"/>
    <w:rsid w:val="00ED514D"/>
    <w:rsid w:val="00ED60EE"/>
    <w:rsid w:val="00ED62E9"/>
    <w:rsid w:val="00ED69D0"/>
    <w:rsid w:val="00ED6E7A"/>
    <w:rsid w:val="00ED71F5"/>
    <w:rsid w:val="00ED74B4"/>
    <w:rsid w:val="00ED7B1B"/>
    <w:rsid w:val="00EE05CB"/>
    <w:rsid w:val="00EE09BD"/>
    <w:rsid w:val="00EE105F"/>
    <w:rsid w:val="00EE151B"/>
    <w:rsid w:val="00EE1D50"/>
    <w:rsid w:val="00EE291F"/>
    <w:rsid w:val="00EE30AC"/>
    <w:rsid w:val="00EE32E6"/>
    <w:rsid w:val="00EE33D6"/>
    <w:rsid w:val="00EE370D"/>
    <w:rsid w:val="00EE3E34"/>
    <w:rsid w:val="00EE3F2E"/>
    <w:rsid w:val="00EE41FF"/>
    <w:rsid w:val="00EE454E"/>
    <w:rsid w:val="00EE45FE"/>
    <w:rsid w:val="00EE48A1"/>
    <w:rsid w:val="00EE4A41"/>
    <w:rsid w:val="00EE4AA9"/>
    <w:rsid w:val="00EE4C8A"/>
    <w:rsid w:val="00EE4D01"/>
    <w:rsid w:val="00EE4D59"/>
    <w:rsid w:val="00EE4DC3"/>
    <w:rsid w:val="00EE4DE2"/>
    <w:rsid w:val="00EE5359"/>
    <w:rsid w:val="00EE536E"/>
    <w:rsid w:val="00EE54D1"/>
    <w:rsid w:val="00EE57DF"/>
    <w:rsid w:val="00EE64A0"/>
    <w:rsid w:val="00EE66A7"/>
    <w:rsid w:val="00EE6719"/>
    <w:rsid w:val="00EE6741"/>
    <w:rsid w:val="00EE7337"/>
    <w:rsid w:val="00EE74A2"/>
    <w:rsid w:val="00EE77D3"/>
    <w:rsid w:val="00EE794A"/>
    <w:rsid w:val="00EE7C24"/>
    <w:rsid w:val="00EF00CB"/>
    <w:rsid w:val="00EF00FE"/>
    <w:rsid w:val="00EF06A9"/>
    <w:rsid w:val="00EF09FF"/>
    <w:rsid w:val="00EF0DD8"/>
    <w:rsid w:val="00EF0E23"/>
    <w:rsid w:val="00EF1736"/>
    <w:rsid w:val="00EF174D"/>
    <w:rsid w:val="00EF1754"/>
    <w:rsid w:val="00EF1F11"/>
    <w:rsid w:val="00EF224C"/>
    <w:rsid w:val="00EF4129"/>
    <w:rsid w:val="00EF43B9"/>
    <w:rsid w:val="00EF4651"/>
    <w:rsid w:val="00EF4693"/>
    <w:rsid w:val="00EF4C0F"/>
    <w:rsid w:val="00EF4C4A"/>
    <w:rsid w:val="00EF52C7"/>
    <w:rsid w:val="00EF53EA"/>
    <w:rsid w:val="00EF5BA6"/>
    <w:rsid w:val="00EF69A5"/>
    <w:rsid w:val="00EF6E6F"/>
    <w:rsid w:val="00EF7007"/>
    <w:rsid w:val="00EF7174"/>
    <w:rsid w:val="00EF737C"/>
    <w:rsid w:val="00EF7648"/>
    <w:rsid w:val="00EF7837"/>
    <w:rsid w:val="00EF7B5B"/>
    <w:rsid w:val="00F00D81"/>
    <w:rsid w:val="00F00DA9"/>
    <w:rsid w:val="00F013D3"/>
    <w:rsid w:val="00F013F0"/>
    <w:rsid w:val="00F01EF3"/>
    <w:rsid w:val="00F0241A"/>
    <w:rsid w:val="00F02940"/>
    <w:rsid w:val="00F02A29"/>
    <w:rsid w:val="00F02BD2"/>
    <w:rsid w:val="00F03570"/>
    <w:rsid w:val="00F038C1"/>
    <w:rsid w:val="00F04052"/>
    <w:rsid w:val="00F04174"/>
    <w:rsid w:val="00F04598"/>
    <w:rsid w:val="00F047C4"/>
    <w:rsid w:val="00F05320"/>
    <w:rsid w:val="00F05E92"/>
    <w:rsid w:val="00F0616B"/>
    <w:rsid w:val="00F06257"/>
    <w:rsid w:val="00F062B4"/>
    <w:rsid w:val="00F068B7"/>
    <w:rsid w:val="00F06904"/>
    <w:rsid w:val="00F06E93"/>
    <w:rsid w:val="00F06FEA"/>
    <w:rsid w:val="00F102B1"/>
    <w:rsid w:val="00F1042E"/>
    <w:rsid w:val="00F10C6A"/>
    <w:rsid w:val="00F110AF"/>
    <w:rsid w:val="00F117E6"/>
    <w:rsid w:val="00F1192A"/>
    <w:rsid w:val="00F13050"/>
    <w:rsid w:val="00F130D0"/>
    <w:rsid w:val="00F13764"/>
    <w:rsid w:val="00F13B38"/>
    <w:rsid w:val="00F13C3A"/>
    <w:rsid w:val="00F13C8F"/>
    <w:rsid w:val="00F14D6F"/>
    <w:rsid w:val="00F154BB"/>
    <w:rsid w:val="00F1581A"/>
    <w:rsid w:val="00F15BC6"/>
    <w:rsid w:val="00F15CFA"/>
    <w:rsid w:val="00F16A8D"/>
    <w:rsid w:val="00F171EA"/>
    <w:rsid w:val="00F1749E"/>
    <w:rsid w:val="00F176F7"/>
    <w:rsid w:val="00F1788A"/>
    <w:rsid w:val="00F17C00"/>
    <w:rsid w:val="00F20166"/>
    <w:rsid w:val="00F206CE"/>
    <w:rsid w:val="00F2078F"/>
    <w:rsid w:val="00F20B94"/>
    <w:rsid w:val="00F20E55"/>
    <w:rsid w:val="00F2127F"/>
    <w:rsid w:val="00F219D8"/>
    <w:rsid w:val="00F21B8C"/>
    <w:rsid w:val="00F21FE6"/>
    <w:rsid w:val="00F223F8"/>
    <w:rsid w:val="00F2294B"/>
    <w:rsid w:val="00F22B4F"/>
    <w:rsid w:val="00F22BB1"/>
    <w:rsid w:val="00F237EB"/>
    <w:rsid w:val="00F23B41"/>
    <w:rsid w:val="00F23F0C"/>
    <w:rsid w:val="00F249B6"/>
    <w:rsid w:val="00F24A9F"/>
    <w:rsid w:val="00F24BBB"/>
    <w:rsid w:val="00F25345"/>
    <w:rsid w:val="00F257C7"/>
    <w:rsid w:val="00F25A61"/>
    <w:rsid w:val="00F25BE4"/>
    <w:rsid w:val="00F25EF8"/>
    <w:rsid w:val="00F263E7"/>
    <w:rsid w:val="00F279E6"/>
    <w:rsid w:val="00F27A7C"/>
    <w:rsid w:val="00F27BE3"/>
    <w:rsid w:val="00F27CD3"/>
    <w:rsid w:val="00F27D42"/>
    <w:rsid w:val="00F30305"/>
    <w:rsid w:val="00F304D0"/>
    <w:rsid w:val="00F30690"/>
    <w:rsid w:val="00F307C1"/>
    <w:rsid w:val="00F307FF"/>
    <w:rsid w:val="00F308EF"/>
    <w:rsid w:val="00F30BBC"/>
    <w:rsid w:val="00F30BD9"/>
    <w:rsid w:val="00F30DC7"/>
    <w:rsid w:val="00F31466"/>
    <w:rsid w:val="00F31564"/>
    <w:rsid w:val="00F316F9"/>
    <w:rsid w:val="00F31DA3"/>
    <w:rsid w:val="00F31DC7"/>
    <w:rsid w:val="00F31EE1"/>
    <w:rsid w:val="00F31F3E"/>
    <w:rsid w:val="00F321D8"/>
    <w:rsid w:val="00F32267"/>
    <w:rsid w:val="00F3234D"/>
    <w:rsid w:val="00F32BF1"/>
    <w:rsid w:val="00F32F6F"/>
    <w:rsid w:val="00F33237"/>
    <w:rsid w:val="00F3357E"/>
    <w:rsid w:val="00F33748"/>
    <w:rsid w:val="00F339FF"/>
    <w:rsid w:val="00F33A02"/>
    <w:rsid w:val="00F347B9"/>
    <w:rsid w:val="00F34D09"/>
    <w:rsid w:val="00F350AC"/>
    <w:rsid w:val="00F35EBE"/>
    <w:rsid w:val="00F35FEA"/>
    <w:rsid w:val="00F364AF"/>
    <w:rsid w:val="00F36853"/>
    <w:rsid w:val="00F369C5"/>
    <w:rsid w:val="00F36A27"/>
    <w:rsid w:val="00F3744B"/>
    <w:rsid w:val="00F4012D"/>
    <w:rsid w:val="00F407C0"/>
    <w:rsid w:val="00F40D55"/>
    <w:rsid w:val="00F40FB6"/>
    <w:rsid w:val="00F41064"/>
    <w:rsid w:val="00F41380"/>
    <w:rsid w:val="00F415BE"/>
    <w:rsid w:val="00F41865"/>
    <w:rsid w:val="00F41ACD"/>
    <w:rsid w:val="00F42102"/>
    <w:rsid w:val="00F42C32"/>
    <w:rsid w:val="00F42D27"/>
    <w:rsid w:val="00F42DE7"/>
    <w:rsid w:val="00F435BF"/>
    <w:rsid w:val="00F43802"/>
    <w:rsid w:val="00F43C52"/>
    <w:rsid w:val="00F43DC0"/>
    <w:rsid w:val="00F445CE"/>
    <w:rsid w:val="00F448D5"/>
    <w:rsid w:val="00F450F6"/>
    <w:rsid w:val="00F451AC"/>
    <w:rsid w:val="00F456DD"/>
    <w:rsid w:val="00F4648E"/>
    <w:rsid w:val="00F46653"/>
    <w:rsid w:val="00F46BD2"/>
    <w:rsid w:val="00F4752A"/>
    <w:rsid w:val="00F4756A"/>
    <w:rsid w:val="00F47C2B"/>
    <w:rsid w:val="00F50272"/>
    <w:rsid w:val="00F50A30"/>
    <w:rsid w:val="00F511E7"/>
    <w:rsid w:val="00F513AA"/>
    <w:rsid w:val="00F518E4"/>
    <w:rsid w:val="00F521F2"/>
    <w:rsid w:val="00F524C2"/>
    <w:rsid w:val="00F5267B"/>
    <w:rsid w:val="00F536DF"/>
    <w:rsid w:val="00F53812"/>
    <w:rsid w:val="00F54233"/>
    <w:rsid w:val="00F5442B"/>
    <w:rsid w:val="00F54A53"/>
    <w:rsid w:val="00F54F64"/>
    <w:rsid w:val="00F5510C"/>
    <w:rsid w:val="00F55275"/>
    <w:rsid w:val="00F5555B"/>
    <w:rsid w:val="00F555E0"/>
    <w:rsid w:val="00F556AE"/>
    <w:rsid w:val="00F55964"/>
    <w:rsid w:val="00F55A04"/>
    <w:rsid w:val="00F55C2F"/>
    <w:rsid w:val="00F55C57"/>
    <w:rsid w:val="00F56051"/>
    <w:rsid w:val="00F577D4"/>
    <w:rsid w:val="00F57C24"/>
    <w:rsid w:val="00F6000A"/>
    <w:rsid w:val="00F60E4B"/>
    <w:rsid w:val="00F60FB1"/>
    <w:rsid w:val="00F610D3"/>
    <w:rsid w:val="00F614F3"/>
    <w:rsid w:val="00F61BE4"/>
    <w:rsid w:val="00F61EB7"/>
    <w:rsid w:val="00F6249D"/>
    <w:rsid w:val="00F6290F"/>
    <w:rsid w:val="00F63258"/>
    <w:rsid w:val="00F6327F"/>
    <w:rsid w:val="00F63361"/>
    <w:rsid w:val="00F6367F"/>
    <w:rsid w:val="00F63E19"/>
    <w:rsid w:val="00F63F94"/>
    <w:rsid w:val="00F64561"/>
    <w:rsid w:val="00F645AB"/>
    <w:rsid w:val="00F64A18"/>
    <w:rsid w:val="00F64FD7"/>
    <w:rsid w:val="00F656AE"/>
    <w:rsid w:val="00F659D8"/>
    <w:rsid w:val="00F664D0"/>
    <w:rsid w:val="00F66554"/>
    <w:rsid w:val="00F6685E"/>
    <w:rsid w:val="00F66AB3"/>
    <w:rsid w:val="00F66B61"/>
    <w:rsid w:val="00F67676"/>
    <w:rsid w:val="00F676B0"/>
    <w:rsid w:val="00F678A6"/>
    <w:rsid w:val="00F67BCD"/>
    <w:rsid w:val="00F67C46"/>
    <w:rsid w:val="00F67E6A"/>
    <w:rsid w:val="00F67F97"/>
    <w:rsid w:val="00F705AD"/>
    <w:rsid w:val="00F709DB"/>
    <w:rsid w:val="00F70C45"/>
    <w:rsid w:val="00F71628"/>
    <w:rsid w:val="00F716D9"/>
    <w:rsid w:val="00F7183E"/>
    <w:rsid w:val="00F72986"/>
    <w:rsid w:val="00F72C3D"/>
    <w:rsid w:val="00F7339B"/>
    <w:rsid w:val="00F7378F"/>
    <w:rsid w:val="00F73829"/>
    <w:rsid w:val="00F74058"/>
    <w:rsid w:val="00F741C2"/>
    <w:rsid w:val="00F7428E"/>
    <w:rsid w:val="00F74357"/>
    <w:rsid w:val="00F74479"/>
    <w:rsid w:val="00F74C9B"/>
    <w:rsid w:val="00F75301"/>
    <w:rsid w:val="00F75B0D"/>
    <w:rsid w:val="00F75FEB"/>
    <w:rsid w:val="00F76478"/>
    <w:rsid w:val="00F7650F"/>
    <w:rsid w:val="00F76515"/>
    <w:rsid w:val="00F7668B"/>
    <w:rsid w:val="00F770F7"/>
    <w:rsid w:val="00F77231"/>
    <w:rsid w:val="00F7724A"/>
    <w:rsid w:val="00F772F8"/>
    <w:rsid w:val="00F7734D"/>
    <w:rsid w:val="00F7763E"/>
    <w:rsid w:val="00F7792F"/>
    <w:rsid w:val="00F77E38"/>
    <w:rsid w:val="00F80914"/>
    <w:rsid w:val="00F8124E"/>
    <w:rsid w:val="00F81446"/>
    <w:rsid w:val="00F815AD"/>
    <w:rsid w:val="00F81A01"/>
    <w:rsid w:val="00F82284"/>
    <w:rsid w:val="00F823CA"/>
    <w:rsid w:val="00F8243F"/>
    <w:rsid w:val="00F824D2"/>
    <w:rsid w:val="00F83A83"/>
    <w:rsid w:val="00F84191"/>
    <w:rsid w:val="00F8496F"/>
    <w:rsid w:val="00F84B30"/>
    <w:rsid w:val="00F84E7B"/>
    <w:rsid w:val="00F84FA1"/>
    <w:rsid w:val="00F852A0"/>
    <w:rsid w:val="00F85B76"/>
    <w:rsid w:val="00F86260"/>
    <w:rsid w:val="00F86641"/>
    <w:rsid w:val="00F86863"/>
    <w:rsid w:val="00F86966"/>
    <w:rsid w:val="00F86CD6"/>
    <w:rsid w:val="00F87501"/>
    <w:rsid w:val="00F87915"/>
    <w:rsid w:val="00F87A4D"/>
    <w:rsid w:val="00F87DAF"/>
    <w:rsid w:val="00F90E7C"/>
    <w:rsid w:val="00F9125D"/>
    <w:rsid w:val="00F914BB"/>
    <w:rsid w:val="00F91541"/>
    <w:rsid w:val="00F918FE"/>
    <w:rsid w:val="00F92525"/>
    <w:rsid w:val="00F92656"/>
    <w:rsid w:val="00F92DD0"/>
    <w:rsid w:val="00F92F95"/>
    <w:rsid w:val="00F9333B"/>
    <w:rsid w:val="00F93AAE"/>
    <w:rsid w:val="00F93F52"/>
    <w:rsid w:val="00F94C0E"/>
    <w:rsid w:val="00F954E8"/>
    <w:rsid w:val="00F955BF"/>
    <w:rsid w:val="00F9585D"/>
    <w:rsid w:val="00F96083"/>
    <w:rsid w:val="00F962BF"/>
    <w:rsid w:val="00F968BF"/>
    <w:rsid w:val="00F97261"/>
    <w:rsid w:val="00F974DC"/>
    <w:rsid w:val="00FA06ED"/>
    <w:rsid w:val="00FA09C5"/>
    <w:rsid w:val="00FA0D38"/>
    <w:rsid w:val="00FA12B6"/>
    <w:rsid w:val="00FA17E4"/>
    <w:rsid w:val="00FA2278"/>
    <w:rsid w:val="00FA30C8"/>
    <w:rsid w:val="00FA36DA"/>
    <w:rsid w:val="00FA37BF"/>
    <w:rsid w:val="00FA3878"/>
    <w:rsid w:val="00FA38BD"/>
    <w:rsid w:val="00FA3A3E"/>
    <w:rsid w:val="00FA4B4A"/>
    <w:rsid w:val="00FA6ACF"/>
    <w:rsid w:val="00FA6AD5"/>
    <w:rsid w:val="00FA6F09"/>
    <w:rsid w:val="00FA6F85"/>
    <w:rsid w:val="00FA711E"/>
    <w:rsid w:val="00FA7435"/>
    <w:rsid w:val="00FA74E3"/>
    <w:rsid w:val="00FB00FF"/>
    <w:rsid w:val="00FB0114"/>
    <w:rsid w:val="00FB02FA"/>
    <w:rsid w:val="00FB05DC"/>
    <w:rsid w:val="00FB0FE4"/>
    <w:rsid w:val="00FB1185"/>
    <w:rsid w:val="00FB13C5"/>
    <w:rsid w:val="00FB25DA"/>
    <w:rsid w:val="00FB2EB6"/>
    <w:rsid w:val="00FB3450"/>
    <w:rsid w:val="00FB3A2B"/>
    <w:rsid w:val="00FB3C78"/>
    <w:rsid w:val="00FB3DD8"/>
    <w:rsid w:val="00FB404F"/>
    <w:rsid w:val="00FB4106"/>
    <w:rsid w:val="00FB433B"/>
    <w:rsid w:val="00FB4574"/>
    <w:rsid w:val="00FB4A75"/>
    <w:rsid w:val="00FB4D1F"/>
    <w:rsid w:val="00FB4D42"/>
    <w:rsid w:val="00FB507A"/>
    <w:rsid w:val="00FB5338"/>
    <w:rsid w:val="00FB53A0"/>
    <w:rsid w:val="00FB5835"/>
    <w:rsid w:val="00FB5982"/>
    <w:rsid w:val="00FB5D03"/>
    <w:rsid w:val="00FB5D6F"/>
    <w:rsid w:val="00FB6033"/>
    <w:rsid w:val="00FB603F"/>
    <w:rsid w:val="00FB625D"/>
    <w:rsid w:val="00FB6443"/>
    <w:rsid w:val="00FB6F95"/>
    <w:rsid w:val="00FB72DA"/>
    <w:rsid w:val="00FB7446"/>
    <w:rsid w:val="00FB7B7C"/>
    <w:rsid w:val="00FC01F2"/>
    <w:rsid w:val="00FC06D6"/>
    <w:rsid w:val="00FC1961"/>
    <w:rsid w:val="00FC242D"/>
    <w:rsid w:val="00FC3900"/>
    <w:rsid w:val="00FC3B17"/>
    <w:rsid w:val="00FC3F4A"/>
    <w:rsid w:val="00FC3F98"/>
    <w:rsid w:val="00FC4253"/>
    <w:rsid w:val="00FC46E3"/>
    <w:rsid w:val="00FC4B72"/>
    <w:rsid w:val="00FC4D38"/>
    <w:rsid w:val="00FC4EAA"/>
    <w:rsid w:val="00FC537B"/>
    <w:rsid w:val="00FC5701"/>
    <w:rsid w:val="00FC5F23"/>
    <w:rsid w:val="00FC622B"/>
    <w:rsid w:val="00FC62DA"/>
    <w:rsid w:val="00FC650C"/>
    <w:rsid w:val="00FC6910"/>
    <w:rsid w:val="00FC7A1D"/>
    <w:rsid w:val="00FC7C3B"/>
    <w:rsid w:val="00FD0138"/>
    <w:rsid w:val="00FD07B2"/>
    <w:rsid w:val="00FD07D2"/>
    <w:rsid w:val="00FD0D28"/>
    <w:rsid w:val="00FD25AC"/>
    <w:rsid w:val="00FD2A9A"/>
    <w:rsid w:val="00FD2ED4"/>
    <w:rsid w:val="00FD2F6B"/>
    <w:rsid w:val="00FD3296"/>
    <w:rsid w:val="00FD3647"/>
    <w:rsid w:val="00FD3968"/>
    <w:rsid w:val="00FD3AF8"/>
    <w:rsid w:val="00FD3E2F"/>
    <w:rsid w:val="00FD49F1"/>
    <w:rsid w:val="00FD4B55"/>
    <w:rsid w:val="00FD55E9"/>
    <w:rsid w:val="00FD56EC"/>
    <w:rsid w:val="00FD57C9"/>
    <w:rsid w:val="00FD6061"/>
    <w:rsid w:val="00FD61D4"/>
    <w:rsid w:val="00FD6363"/>
    <w:rsid w:val="00FD6504"/>
    <w:rsid w:val="00FD674B"/>
    <w:rsid w:val="00FD6E69"/>
    <w:rsid w:val="00FD6FA8"/>
    <w:rsid w:val="00FD72DF"/>
    <w:rsid w:val="00FD7373"/>
    <w:rsid w:val="00FD7C2F"/>
    <w:rsid w:val="00FE0367"/>
    <w:rsid w:val="00FE083A"/>
    <w:rsid w:val="00FE0D29"/>
    <w:rsid w:val="00FE0E79"/>
    <w:rsid w:val="00FE1173"/>
    <w:rsid w:val="00FE11D7"/>
    <w:rsid w:val="00FE1C98"/>
    <w:rsid w:val="00FE1FFC"/>
    <w:rsid w:val="00FE200F"/>
    <w:rsid w:val="00FE2701"/>
    <w:rsid w:val="00FE2867"/>
    <w:rsid w:val="00FE2A3C"/>
    <w:rsid w:val="00FE2DCA"/>
    <w:rsid w:val="00FE2F28"/>
    <w:rsid w:val="00FE35A9"/>
    <w:rsid w:val="00FE400C"/>
    <w:rsid w:val="00FE43B8"/>
    <w:rsid w:val="00FE4736"/>
    <w:rsid w:val="00FE48A8"/>
    <w:rsid w:val="00FE4AFC"/>
    <w:rsid w:val="00FE5770"/>
    <w:rsid w:val="00FE5C23"/>
    <w:rsid w:val="00FE5EDE"/>
    <w:rsid w:val="00FE5F96"/>
    <w:rsid w:val="00FE63F0"/>
    <w:rsid w:val="00FE7142"/>
    <w:rsid w:val="00FE7852"/>
    <w:rsid w:val="00FE7B9E"/>
    <w:rsid w:val="00FF021E"/>
    <w:rsid w:val="00FF09B5"/>
    <w:rsid w:val="00FF0A8E"/>
    <w:rsid w:val="00FF134D"/>
    <w:rsid w:val="00FF24D6"/>
    <w:rsid w:val="00FF2B61"/>
    <w:rsid w:val="00FF2F04"/>
    <w:rsid w:val="00FF328A"/>
    <w:rsid w:val="00FF3783"/>
    <w:rsid w:val="00FF3BF6"/>
    <w:rsid w:val="00FF4196"/>
    <w:rsid w:val="00FF4801"/>
    <w:rsid w:val="00FF499D"/>
    <w:rsid w:val="00FF4BB6"/>
    <w:rsid w:val="00FF5102"/>
    <w:rsid w:val="00FF5764"/>
    <w:rsid w:val="00FF59DD"/>
    <w:rsid w:val="00FF5D4E"/>
    <w:rsid w:val="00FF6360"/>
    <w:rsid w:val="00FF6406"/>
    <w:rsid w:val="00FF6446"/>
    <w:rsid w:val="00FF697C"/>
    <w:rsid w:val="00FF6CE6"/>
    <w:rsid w:val="00FF7504"/>
    <w:rsid w:val="00FF76B8"/>
    <w:rsid w:val="00FF7ABB"/>
    <w:rsid w:val="00FF7B0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F97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045D7"/>
    <w:pPr>
      <w:jc w:val="both"/>
    </w:pPr>
    <w:rPr>
      <w:rFonts w:ascii="Tahoma" w:hAnsi="Tahoma"/>
      <w:lang w:val="nl-NL"/>
    </w:rPr>
  </w:style>
  <w:style w:type="paragraph" w:styleId="Kop1">
    <w:name w:val="heading 1"/>
    <w:basedOn w:val="Standaard"/>
    <w:next w:val="Standaard"/>
    <w:qFormat/>
    <w:rsid w:val="00371A7F"/>
    <w:pPr>
      <w:keepNext/>
      <w:numPr>
        <w:numId w:val="34"/>
      </w:numPr>
      <w:pBdr>
        <w:top w:val="single" w:sz="4" w:space="4" w:color="auto"/>
        <w:left w:val="single" w:sz="4" w:space="4" w:color="auto"/>
        <w:bottom w:val="single" w:sz="4" w:space="4" w:color="auto"/>
        <w:right w:val="single" w:sz="4" w:space="4" w:color="auto"/>
      </w:pBdr>
      <w:spacing w:before="240" w:after="60"/>
      <w:jc w:val="left"/>
      <w:outlineLvl w:val="0"/>
    </w:pPr>
    <w:rPr>
      <w:rFonts w:cs="Arial"/>
      <w:b/>
      <w:bCs/>
      <w:sz w:val="28"/>
      <w:szCs w:val="28"/>
    </w:rPr>
  </w:style>
  <w:style w:type="paragraph" w:styleId="Kop2">
    <w:name w:val="heading 2"/>
    <w:basedOn w:val="Standaard"/>
    <w:next w:val="Standaard"/>
    <w:qFormat/>
    <w:rsid w:val="00371A7F"/>
    <w:pPr>
      <w:keepNext/>
      <w:numPr>
        <w:ilvl w:val="1"/>
        <w:numId w:val="34"/>
      </w:numPr>
      <w:spacing w:before="240" w:after="60"/>
      <w:jc w:val="left"/>
      <w:outlineLvl w:val="1"/>
    </w:pPr>
    <w:rPr>
      <w:rFonts w:cs="Arial"/>
      <w:b/>
      <w:bCs/>
      <w:iCs/>
      <w:sz w:val="26"/>
      <w:szCs w:val="28"/>
    </w:rPr>
  </w:style>
  <w:style w:type="paragraph" w:styleId="Kop3">
    <w:name w:val="heading 3"/>
    <w:basedOn w:val="Standaard"/>
    <w:next w:val="Standaard"/>
    <w:autoRedefine/>
    <w:qFormat/>
    <w:rsid w:val="00DC7DEC"/>
    <w:pPr>
      <w:keepNext/>
      <w:numPr>
        <w:ilvl w:val="2"/>
        <w:numId w:val="34"/>
      </w:numPr>
      <w:spacing w:before="240" w:after="60"/>
      <w:jc w:val="left"/>
      <w:outlineLvl w:val="2"/>
    </w:pPr>
    <w:rPr>
      <w:rFonts w:cs="Arial"/>
      <w:b/>
      <w:bCs/>
      <w:i/>
      <w:sz w:val="24"/>
      <w:szCs w:val="26"/>
    </w:rPr>
  </w:style>
  <w:style w:type="paragraph" w:styleId="Kop4">
    <w:name w:val="heading 4"/>
    <w:basedOn w:val="Standaard"/>
    <w:next w:val="Standaard"/>
    <w:qFormat/>
    <w:rsid w:val="00371A7F"/>
    <w:pPr>
      <w:keepNext/>
      <w:numPr>
        <w:ilvl w:val="3"/>
        <w:numId w:val="34"/>
      </w:numPr>
      <w:spacing w:before="240" w:after="60"/>
      <w:jc w:val="left"/>
      <w:outlineLvl w:val="3"/>
    </w:pPr>
    <w:rPr>
      <w:b/>
      <w:bCs/>
      <w:sz w:val="22"/>
      <w:szCs w:val="28"/>
    </w:rPr>
  </w:style>
  <w:style w:type="paragraph" w:styleId="Kop5">
    <w:name w:val="heading 5"/>
    <w:basedOn w:val="Standaard"/>
    <w:next w:val="Standaard"/>
    <w:qFormat/>
    <w:rsid w:val="00371A7F"/>
    <w:pPr>
      <w:numPr>
        <w:ilvl w:val="4"/>
        <w:numId w:val="34"/>
      </w:numPr>
      <w:spacing w:before="240" w:after="60"/>
      <w:jc w:val="left"/>
      <w:outlineLvl w:val="4"/>
    </w:pPr>
    <w:rPr>
      <w:b/>
      <w:bCs/>
      <w:i/>
      <w:iCs/>
      <w:sz w:val="22"/>
      <w:szCs w:val="26"/>
    </w:rPr>
  </w:style>
  <w:style w:type="paragraph" w:styleId="Kop6">
    <w:name w:val="heading 6"/>
    <w:basedOn w:val="Standaard"/>
    <w:next w:val="Standaard"/>
    <w:qFormat/>
    <w:rsid w:val="00371A7F"/>
    <w:pPr>
      <w:numPr>
        <w:ilvl w:val="5"/>
        <w:numId w:val="34"/>
      </w:numPr>
      <w:spacing w:before="240" w:after="60"/>
      <w:jc w:val="left"/>
      <w:outlineLvl w:val="5"/>
    </w:pPr>
    <w:rPr>
      <w:b/>
      <w:bCs/>
      <w:szCs w:val="22"/>
    </w:rPr>
  </w:style>
  <w:style w:type="paragraph" w:styleId="Kop7">
    <w:name w:val="heading 7"/>
    <w:basedOn w:val="Standaard"/>
    <w:next w:val="Standaard"/>
    <w:qFormat/>
    <w:rsid w:val="00371A7F"/>
    <w:pPr>
      <w:numPr>
        <w:ilvl w:val="6"/>
        <w:numId w:val="34"/>
      </w:numPr>
      <w:spacing w:before="240" w:after="60"/>
      <w:jc w:val="left"/>
      <w:outlineLvl w:val="6"/>
    </w:pPr>
    <w:rPr>
      <w:b/>
      <w:i/>
      <w:szCs w:val="24"/>
    </w:rPr>
  </w:style>
  <w:style w:type="paragraph" w:styleId="Kop8">
    <w:name w:val="heading 8"/>
    <w:basedOn w:val="Standaard"/>
    <w:next w:val="Standaard"/>
    <w:link w:val="Kop8Char"/>
    <w:uiPriority w:val="9"/>
    <w:semiHidden/>
    <w:unhideWhenUsed/>
    <w:qFormat/>
    <w:rsid w:val="00C91A04"/>
    <w:pPr>
      <w:numPr>
        <w:ilvl w:val="7"/>
        <w:numId w:val="34"/>
      </w:numPr>
      <w:spacing w:before="240" w:after="60"/>
      <w:outlineLvl w:val="7"/>
    </w:pPr>
    <w:rPr>
      <w:rFonts w:ascii="Calibri" w:hAnsi="Calibri"/>
      <w:i/>
      <w:iCs/>
      <w:sz w:val="24"/>
      <w:szCs w:val="24"/>
    </w:rPr>
  </w:style>
  <w:style w:type="paragraph" w:styleId="Kop9">
    <w:name w:val="heading 9"/>
    <w:basedOn w:val="Standaard"/>
    <w:next w:val="Standaard"/>
    <w:link w:val="Kop9Char"/>
    <w:uiPriority w:val="9"/>
    <w:semiHidden/>
    <w:unhideWhenUsed/>
    <w:qFormat/>
    <w:rsid w:val="00C91A04"/>
    <w:pPr>
      <w:numPr>
        <w:ilvl w:val="8"/>
        <w:numId w:val="34"/>
      </w:numPr>
      <w:spacing w:before="240" w:after="60"/>
      <w:outlineLvl w:val="8"/>
    </w:pPr>
    <w:rPr>
      <w:rFonts w:ascii="Cambria" w:hAnsi="Cambria"/>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Aanhef">
    <w:name w:val="Salutation"/>
    <w:basedOn w:val="Standaard"/>
    <w:next w:val="Standaard"/>
    <w:semiHidden/>
    <w:rsid w:val="00371A7F"/>
  </w:style>
  <w:style w:type="paragraph" w:styleId="Afsluiting">
    <w:name w:val="Closing"/>
    <w:basedOn w:val="Standaard"/>
    <w:semiHidden/>
    <w:rsid w:val="00371A7F"/>
  </w:style>
  <w:style w:type="paragraph" w:styleId="Afzender">
    <w:name w:val="envelope return"/>
    <w:basedOn w:val="Standaard"/>
    <w:semiHidden/>
    <w:rsid w:val="00371A7F"/>
    <w:rPr>
      <w:rFonts w:cs="Arial"/>
    </w:rPr>
  </w:style>
  <w:style w:type="paragraph" w:styleId="Bronvermelding">
    <w:name w:val="table of authorities"/>
    <w:basedOn w:val="Standaard"/>
    <w:next w:val="Standaard"/>
    <w:semiHidden/>
    <w:rsid w:val="00371A7F"/>
    <w:pPr>
      <w:ind w:left="581" w:hanging="581"/>
    </w:pPr>
    <w:rPr>
      <w:b/>
      <w:sz w:val="16"/>
    </w:rPr>
  </w:style>
  <w:style w:type="paragraph" w:styleId="Datum">
    <w:name w:val="Date"/>
    <w:basedOn w:val="Standaard"/>
    <w:next w:val="Standaard"/>
    <w:rsid w:val="00371A7F"/>
  </w:style>
  <w:style w:type="paragraph" w:styleId="Documentstructuur">
    <w:name w:val="Document Map"/>
    <w:basedOn w:val="Standaard"/>
    <w:semiHidden/>
    <w:rsid w:val="00371A7F"/>
    <w:pPr>
      <w:shd w:val="clear" w:color="auto" w:fill="000080"/>
    </w:pPr>
    <w:rPr>
      <w:rFonts w:cs="Tahoma"/>
    </w:rPr>
  </w:style>
  <w:style w:type="character" w:styleId="Eindnootmarkering">
    <w:name w:val="endnote reference"/>
    <w:rsid w:val="00371A7F"/>
    <w:rPr>
      <w:vertAlign w:val="superscript"/>
    </w:rPr>
  </w:style>
  <w:style w:type="paragraph" w:styleId="Eindnoottekst">
    <w:name w:val="endnote text"/>
    <w:basedOn w:val="Standaard"/>
    <w:rsid w:val="00371A7F"/>
    <w:rPr>
      <w:sz w:val="16"/>
    </w:rPr>
  </w:style>
  <w:style w:type="paragraph" w:styleId="E-mailhandtekening">
    <w:name w:val="E-mail Signature"/>
    <w:basedOn w:val="Standaard"/>
    <w:semiHidden/>
    <w:rsid w:val="00371A7F"/>
  </w:style>
  <w:style w:type="character" w:styleId="GevolgdeHyperlink">
    <w:name w:val="FollowedHyperlink"/>
    <w:semiHidden/>
    <w:rsid w:val="00371A7F"/>
    <w:rPr>
      <w:color w:val="800080"/>
      <w:u w:val="single"/>
    </w:rPr>
  </w:style>
  <w:style w:type="paragraph" w:styleId="Handtekening">
    <w:name w:val="Signature"/>
    <w:basedOn w:val="Standaard"/>
    <w:rsid w:val="00371A7F"/>
  </w:style>
  <w:style w:type="character" w:styleId="Hyperlink">
    <w:name w:val="Hyperlink"/>
    <w:uiPriority w:val="99"/>
    <w:rsid w:val="00371A7F"/>
    <w:rPr>
      <w:color w:val="990033"/>
      <w:u w:val="single"/>
    </w:rPr>
  </w:style>
  <w:style w:type="paragraph" w:styleId="Index1">
    <w:name w:val="index 1"/>
    <w:basedOn w:val="Standaard"/>
    <w:next w:val="Standaard"/>
    <w:autoRedefine/>
    <w:semiHidden/>
    <w:rsid w:val="00371A7F"/>
    <w:pPr>
      <w:ind w:left="200" w:hanging="200"/>
    </w:pPr>
  </w:style>
  <w:style w:type="paragraph" w:styleId="Index2">
    <w:name w:val="index 2"/>
    <w:basedOn w:val="Standaard"/>
    <w:next w:val="Standaard"/>
    <w:autoRedefine/>
    <w:semiHidden/>
    <w:rsid w:val="00371A7F"/>
    <w:pPr>
      <w:ind w:left="400" w:hanging="200"/>
    </w:pPr>
  </w:style>
  <w:style w:type="paragraph" w:styleId="Index3">
    <w:name w:val="index 3"/>
    <w:basedOn w:val="Standaard"/>
    <w:next w:val="Standaard"/>
    <w:autoRedefine/>
    <w:semiHidden/>
    <w:rsid w:val="00371A7F"/>
    <w:pPr>
      <w:ind w:left="600" w:hanging="200"/>
    </w:pPr>
  </w:style>
  <w:style w:type="paragraph" w:styleId="Index4">
    <w:name w:val="index 4"/>
    <w:basedOn w:val="Standaard"/>
    <w:next w:val="Standaard"/>
    <w:autoRedefine/>
    <w:semiHidden/>
    <w:rsid w:val="00371A7F"/>
    <w:pPr>
      <w:ind w:left="800" w:hanging="200"/>
    </w:pPr>
  </w:style>
  <w:style w:type="paragraph" w:styleId="Index5">
    <w:name w:val="index 5"/>
    <w:basedOn w:val="Standaard"/>
    <w:next w:val="Standaard"/>
    <w:autoRedefine/>
    <w:semiHidden/>
    <w:rsid w:val="00371A7F"/>
    <w:pPr>
      <w:ind w:left="1000" w:hanging="200"/>
    </w:pPr>
  </w:style>
  <w:style w:type="paragraph" w:styleId="Index6">
    <w:name w:val="index 6"/>
    <w:basedOn w:val="Standaard"/>
    <w:next w:val="Standaard"/>
    <w:autoRedefine/>
    <w:semiHidden/>
    <w:rsid w:val="00371A7F"/>
    <w:pPr>
      <w:ind w:left="1200" w:hanging="200"/>
    </w:pPr>
  </w:style>
  <w:style w:type="paragraph" w:styleId="Index7">
    <w:name w:val="index 7"/>
    <w:basedOn w:val="Standaard"/>
    <w:next w:val="Standaard"/>
    <w:autoRedefine/>
    <w:semiHidden/>
    <w:rsid w:val="00371A7F"/>
    <w:pPr>
      <w:ind w:left="1400" w:hanging="200"/>
    </w:pPr>
  </w:style>
  <w:style w:type="paragraph" w:styleId="Index8">
    <w:name w:val="index 8"/>
    <w:basedOn w:val="Standaard"/>
    <w:next w:val="Standaard"/>
    <w:autoRedefine/>
    <w:semiHidden/>
    <w:rsid w:val="00371A7F"/>
    <w:pPr>
      <w:ind w:left="1600" w:hanging="200"/>
    </w:pPr>
  </w:style>
  <w:style w:type="paragraph" w:styleId="Index9">
    <w:name w:val="index 9"/>
    <w:basedOn w:val="Standaard"/>
    <w:next w:val="Standaard"/>
    <w:autoRedefine/>
    <w:semiHidden/>
    <w:rsid w:val="00371A7F"/>
    <w:pPr>
      <w:ind w:left="1800" w:hanging="200"/>
    </w:pPr>
  </w:style>
  <w:style w:type="paragraph" w:styleId="Indexkop">
    <w:name w:val="index heading"/>
    <w:basedOn w:val="Standaard"/>
    <w:next w:val="Index1"/>
    <w:semiHidden/>
    <w:rsid w:val="00371A7F"/>
    <w:rPr>
      <w:rFonts w:cs="Arial"/>
      <w:b/>
      <w:bCs/>
    </w:rPr>
  </w:style>
  <w:style w:type="paragraph" w:styleId="Inhopg1">
    <w:name w:val="toc 1"/>
    <w:basedOn w:val="Standaard"/>
    <w:next w:val="Standaard"/>
    <w:autoRedefine/>
    <w:uiPriority w:val="39"/>
    <w:qFormat/>
    <w:rsid w:val="00DF0678"/>
    <w:pPr>
      <w:tabs>
        <w:tab w:val="left" w:pos="1080"/>
        <w:tab w:val="right" w:leader="dot" w:pos="9062"/>
      </w:tabs>
      <w:spacing w:before="120" w:after="120"/>
      <w:jc w:val="left"/>
    </w:pPr>
    <w:rPr>
      <w:b/>
      <w:caps/>
      <w:szCs w:val="22"/>
    </w:rPr>
  </w:style>
  <w:style w:type="paragraph" w:styleId="Inhopg2">
    <w:name w:val="toc 2"/>
    <w:basedOn w:val="Standaard"/>
    <w:next w:val="Standaard"/>
    <w:autoRedefine/>
    <w:uiPriority w:val="39"/>
    <w:qFormat/>
    <w:rsid w:val="00371A7F"/>
    <w:pPr>
      <w:tabs>
        <w:tab w:val="left" w:pos="600"/>
        <w:tab w:val="right" w:leader="hyphen" w:pos="9062"/>
      </w:tabs>
      <w:spacing w:before="120" w:after="120"/>
      <w:ind w:left="606" w:hanging="408"/>
      <w:jc w:val="left"/>
    </w:pPr>
    <w:rPr>
      <w:smallCaps/>
      <w:noProof/>
    </w:rPr>
  </w:style>
  <w:style w:type="paragraph" w:styleId="Inhopg3">
    <w:name w:val="toc 3"/>
    <w:basedOn w:val="Standaard"/>
    <w:next w:val="Standaard"/>
    <w:autoRedefine/>
    <w:uiPriority w:val="39"/>
    <w:qFormat/>
    <w:rsid w:val="00371A7F"/>
    <w:pPr>
      <w:tabs>
        <w:tab w:val="left" w:pos="1000"/>
        <w:tab w:val="right" w:leader="dot" w:pos="9062"/>
      </w:tabs>
      <w:spacing w:before="60" w:after="60"/>
      <w:ind w:left="998" w:hanging="595"/>
      <w:jc w:val="left"/>
    </w:pPr>
    <w:rPr>
      <w:i/>
    </w:rPr>
  </w:style>
  <w:style w:type="paragraph" w:styleId="Inhopg4">
    <w:name w:val="toc 4"/>
    <w:basedOn w:val="Standaard"/>
    <w:next w:val="Standaard"/>
    <w:autoRedefine/>
    <w:uiPriority w:val="39"/>
    <w:rsid w:val="00371A7F"/>
    <w:pPr>
      <w:tabs>
        <w:tab w:val="left" w:pos="1400"/>
        <w:tab w:val="right" w:leader="dot" w:pos="9062"/>
      </w:tabs>
      <w:spacing w:before="60" w:after="60"/>
      <w:ind w:left="1400" w:hanging="799"/>
      <w:jc w:val="left"/>
    </w:pPr>
  </w:style>
  <w:style w:type="paragraph" w:styleId="Inhopg5">
    <w:name w:val="toc 5"/>
    <w:basedOn w:val="Standaard"/>
    <w:next w:val="Standaard"/>
    <w:autoRedefine/>
    <w:uiPriority w:val="39"/>
    <w:rsid w:val="00371A7F"/>
    <w:pPr>
      <w:ind w:left="1650" w:hanging="851"/>
      <w:jc w:val="left"/>
    </w:pPr>
  </w:style>
  <w:style w:type="paragraph" w:styleId="Inhopg6">
    <w:name w:val="toc 6"/>
    <w:basedOn w:val="Standaard"/>
    <w:next w:val="Standaard"/>
    <w:autoRedefine/>
    <w:uiPriority w:val="39"/>
    <w:rsid w:val="00371A7F"/>
    <w:pPr>
      <w:tabs>
        <w:tab w:val="left" w:pos="2028"/>
        <w:tab w:val="right" w:leader="dot" w:pos="9062"/>
      </w:tabs>
      <w:ind w:left="2030" w:hanging="1032"/>
      <w:jc w:val="left"/>
    </w:pPr>
  </w:style>
  <w:style w:type="paragraph" w:styleId="Inhopg7">
    <w:name w:val="toc 7"/>
    <w:basedOn w:val="Standaard"/>
    <w:next w:val="Standaard"/>
    <w:autoRedefine/>
    <w:uiPriority w:val="39"/>
    <w:rsid w:val="00371A7F"/>
    <w:pPr>
      <w:tabs>
        <w:tab w:val="left" w:pos="2398"/>
        <w:tab w:val="right" w:leader="dot" w:pos="9062"/>
      </w:tabs>
      <w:ind w:left="2404" w:hanging="1202"/>
      <w:jc w:val="left"/>
    </w:pPr>
  </w:style>
  <w:style w:type="paragraph" w:styleId="Inhopg8">
    <w:name w:val="toc 8"/>
    <w:basedOn w:val="Standaard"/>
    <w:next w:val="Standaard"/>
    <w:autoRedefine/>
    <w:uiPriority w:val="39"/>
    <w:rsid w:val="00371A7F"/>
    <w:pPr>
      <w:ind w:left="1400"/>
      <w:jc w:val="left"/>
    </w:pPr>
  </w:style>
  <w:style w:type="paragraph" w:styleId="Inhopg9">
    <w:name w:val="toc 9"/>
    <w:basedOn w:val="Standaard"/>
    <w:next w:val="Standaard"/>
    <w:autoRedefine/>
    <w:uiPriority w:val="39"/>
    <w:rsid w:val="00371A7F"/>
    <w:pPr>
      <w:ind w:left="1600"/>
      <w:jc w:val="left"/>
    </w:pPr>
  </w:style>
  <w:style w:type="paragraph" w:styleId="Kopbronvermelding">
    <w:name w:val="toa heading"/>
    <w:basedOn w:val="Standaard"/>
    <w:next w:val="Standaard"/>
    <w:semiHidden/>
    <w:rsid w:val="00371A7F"/>
    <w:pPr>
      <w:spacing w:before="120"/>
    </w:pPr>
    <w:rPr>
      <w:rFonts w:cs="Arial"/>
      <w:b/>
      <w:bCs/>
      <w:sz w:val="24"/>
      <w:szCs w:val="24"/>
    </w:rPr>
  </w:style>
  <w:style w:type="paragraph" w:styleId="Koptekst">
    <w:name w:val="header"/>
    <w:basedOn w:val="Standaard"/>
    <w:rsid w:val="00371A7F"/>
    <w:pPr>
      <w:tabs>
        <w:tab w:val="center" w:pos="4536"/>
        <w:tab w:val="right" w:pos="9072"/>
      </w:tabs>
    </w:pPr>
    <w:rPr>
      <w:sz w:val="18"/>
    </w:rPr>
  </w:style>
  <w:style w:type="paragraph" w:styleId="Lijst">
    <w:name w:val="List"/>
    <w:basedOn w:val="Standaard"/>
    <w:semiHidden/>
    <w:rsid w:val="00371A7F"/>
    <w:pPr>
      <w:ind w:left="357" w:hanging="357"/>
    </w:pPr>
  </w:style>
  <w:style w:type="paragraph" w:styleId="Lijst2">
    <w:name w:val="List 2"/>
    <w:basedOn w:val="Standaard"/>
    <w:semiHidden/>
    <w:rsid w:val="00371A7F"/>
    <w:pPr>
      <w:ind w:left="714" w:hanging="357"/>
    </w:pPr>
  </w:style>
  <w:style w:type="paragraph" w:styleId="Lijst3">
    <w:name w:val="List 3"/>
    <w:basedOn w:val="Standaard"/>
    <w:semiHidden/>
    <w:rsid w:val="00371A7F"/>
    <w:pPr>
      <w:ind w:left="1071" w:hanging="357"/>
    </w:pPr>
  </w:style>
  <w:style w:type="paragraph" w:styleId="Lijst4">
    <w:name w:val="List 4"/>
    <w:basedOn w:val="Standaard"/>
    <w:semiHidden/>
    <w:rsid w:val="00371A7F"/>
    <w:pPr>
      <w:ind w:left="1429" w:hanging="357"/>
    </w:pPr>
  </w:style>
  <w:style w:type="paragraph" w:styleId="Lijst5">
    <w:name w:val="List 5"/>
    <w:basedOn w:val="Standaard"/>
    <w:semiHidden/>
    <w:rsid w:val="00371A7F"/>
    <w:pPr>
      <w:ind w:left="1786" w:hanging="357"/>
    </w:pPr>
  </w:style>
  <w:style w:type="paragraph" w:styleId="Lijstopsomteken">
    <w:name w:val="List Bullet"/>
    <w:basedOn w:val="Standaard"/>
    <w:semiHidden/>
    <w:rsid w:val="00371A7F"/>
    <w:pPr>
      <w:numPr>
        <w:numId w:val="1"/>
      </w:numPr>
      <w:ind w:left="0" w:firstLine="0"/>
    </w:pPr>
  </w:style>
  <w:style w:type="paragraph" w:styleId="Lijstopsomteken2">
    <w:name w:val="List Bullet 2"/>
    <w:basedOn w:val="Standaard"/>
    <w:semiHidden/>
    <w:rsid w:val="00371A7F"/>
    <w:pPr>
      <w:numPr>
        <w:numId w:val="2"/>
      </w:numPr>
      <w:tabs>
        <w:tab w:val="clear" w:pos="720"/>
        <w:tab w:val="num" w:pos="360"/>
      </w:tabs>
      <w:ind w:left="0" w:firstLine="0"/>
    </w:pPr>
  </w:style>
  <w:style w:type="paragraph" w:styleId="Lijstopsomteken3">
    <w:name w:val="List Bullet 3"/>
    <w:basedOn w:val="Standaard"/>
    <w:semiHidden/>
    <w:rsid w:val="00371A7F"/>
    <w:pPr>
      <w:numPr>
        <w:numId w:val="3"/>
      </w:numPr>
      <w:tabs>
        <w:tab w:val="clear" w:pos="1074"/>
        <w:tab w:val="num" w:pos="360"/>
        <w:tab w:val="left" w:pos="714"/>
      </w:tabs>
      <w:ind w:left="0" w:firstLine="0"/>
    </w:pPr>
  </w:style>
  <w:style w:type="paragraph" w:styleId="Lijstopsomteken4">
    <w:name w:val="List Bullet 4"/>
    <w:basedOn w:val="Standaard"/>
    <w:semiHidden/>
    <w:rsid w:val="00371A7F"/>
    <w:pPr>
      <w:numPr>
        <w:numId w:val="4"/>
      </w:numPr>
      <w:tabs>
        <w:tab w:val="clear" w:pos="1429"/>
        <w:tab w:val="num" w:pos="360"/>
        <w:tab w:val="left" w:pos="1072"/>
      </w:tabs>
      <w:ind w:left="0" w:firstLine="0"/>
    </w:pPr>
  </w:style>
  <w:style w:type="paragraph" w:styleId="Lijstopsomteken5">
    <w:name w:val="List Bullet 5"/>
    <w:basedOn w:val="Standaard"/>
    <w:semiHidden/>
    <w:rsid w:val="00371A7F"/>
    <w:pPr>
      <w:numPr>
        <w:numId w:val="5"/>
      </w:numPr>
      <w:tabs>
        <w:tab w:val="clear" w:pos="1786"/>
        <w:tab w:val="num" w:pos="360"/>
      </w:tabs>
      <w:ind w:left="0" w:firstLine="0"/>
    </w:pPr>
  </w:style>
  <w:style w:type="paragraph" w:styleId="Lijstnummering">
    <w:name w:val="List Number"/>
    <w:basedOn w:val="Standaard"/>
    <w:semiHidden/>
    <w:rsid w:val="00371A7F"/>
    <w:pPr>
      <w:numPr>
        <w:numId w:val="6"/>
      </w:numPr>
      <w:ind w:left="0" w:firstLine="0"/>
    </w:pPr>
  </w:style>
  <w:style w:type="paragraph" w:styleId="Lijstnummering2">
    <w:name w:val="List Number 2"/>
    <w:basedOn w:val="Standaard"/>
    <w:semiHidden/>
    <w:rsid w:val="00371A7F"/>
    <w:pPr>
      <w:numPr>
        <w:numId w:val="7"/>
      </w:numPr>
      <w:tabs>
        <w:tab w:val="clear" w:pos="717"/>
        <w:tab w:val="num" w:pos="360"/>
      </w:tabs>
      <w:ind w:left="0" w:firstLine="0"/>
    </w:pPr>
  </w:style>
  <w:style w:type="paragraph" w:styleId="Lijstnummering3">
    <w:name w:val="List Number 3"/>
    <w:basedOn w:val="Standaard"/>
    <w:semiHidden/>
    <w:rsid w:val="00371A7F"/>
    <w:pPr>
      <w:numPr>
        <w:numId w:val="8"/>
      </w:numPr>
      <w:tabs>
        <w:tab w:val="clear" w:pos="1074"/>
        <w:tab w:val="num" w:pos="360"/>
      </w:tabs>
      <w:ind w:left="0" w:firstLine="0"/>
    </w:pPr>
    <w:rPr>
      <w:lang w:val="nl-BE"/>
    </w:rPr>
  </w:style>
  <w:style w:type="paragraph" w:styleId="Lijstnummering4">
    <w:name w:val="List Number 4"/>
    <w:basedOn w:val="Standaard"/>
    <w:semiHidden/>
    <w:rsid w:val="00371A7F"/>
    <w:pPr>
      <w:numPr>
        <w:numId w:val="9"/>
      </w:numPr>
      <w:tabs>
        <w:tab w:val="clear" w:pos="1429"/>
        <w:tab w:val="num" w:pos="360"/>
        <w:tab w:val="left" w:pos="1072"/>
      </w:tabs>
      <w:ind w:left="0" w:firstLine="0"/>
    </w:pPr>
  </w:style>
  <w:style w:type="paragraph" w:styleId="Lijstnummering5">
    <w:name w:val="List Number 5"/>
    <w:basedOn w:val="Standaard"/>
    <w:semiHidden/>
    <w:rsid w:val="00371A7F"/>
    <w:pPr>
      <w:numPr>
        <w:numId w:val="10"/>
      </w:numPr>
      <w:tabs>
        <w:tab w:val="clear" w:pos="1786"/>
        <w:tab w:val="num" w:pos="360"/>
      </w:tabs>
      <w:ind w:left="0" w:firstLine="0"/>
    </w:pPr>
    <w:rPr>
      <w:lang w:val="nl-BE"/>
    </w:rPr>
  </w:style>
  <w:style w:type="paragraph" w:styleId="Lijstvoortzetting">
    <w:name w:val="List Continue"/>
    <w:basedOn w:val="Standaard"/>
    <w:semiHidden/>
    <w:rsid w:val="00371A7F"/>
    <w:pPr>
      <w:spacing w:after="120"/>
      <w:ind w:left="357"/>
    </w:pPr>
  </w:style>
  <w:style w:type="paragraph" w:styleId="Lijstvoortzetting2">
    <w:name w:val="List Continue 2"/>
    <w:basedOn w:val="Standaard"/>
    <w:semiHidden/>
    <w:rsid w:val="00371A7F"/>
    <w:pPr>
      <w:spacing w:after="120"/>
      <w:ind w:left="714"/>
    </w:pPr>
  </w:style>
  <w:style w:type="paragraph" w:styleId="Lijstvoortzetting3">
    <w:name w:val="List Continue 3"/>
    <w:basedOn w:val="Standaard"/>
    <w:semiHidden/>
    <w:rsid w:val="00371A7F"/>
    <w:pPr>
      <w:spacing w:after="120"/>
      <w:ind w:left="1072"/>
    </w:pPr>
  </w:style>
  <w:style w:type="paragraph" w:styleId="Lijstvoortzetting4">
    <w:name w:val="List Continue 4"/>
    <w:basedOn w:val="Standaard"/>
    <w:semiHidden/>
    <w:rsid w:val="00371A7F"/>
    <w:pPr>
      <w:spacing w:after="120"/>
      <w:ind w:left="1429"/>
    </w:pPr>
  </w:style>
  <w:style w:type="paragraph" w:styleId="Lijstvoortzetting5">
    <w:name w:val="List Continue 5"/>
    <w:basedOn w:val="Standaard"/>
    <w:semiHidden/>
    <w:rsid w:val="00371A7F"/>
    <w:pPr>
      <w:spacing w:after="120"/>
      <w:ind w:left="1786"/>
    </w:pPr>
  </w:style>
  <w:style w:type="paragraph" w:styleId="Normaalweb">
    <w:name w:val="Normal (Web)"/>
    <w:basedOn w:val="Standaard"/>
    <w:semiHidden/>
    <w:rsid w:val="00371A7F"/>
    <w:rPr>
      <w:szCs w:val="24"/>
    </w:rPr>
  </w:style>
  <w:style w:type="paragraph" w:styleId="Notitiekop">
    <w:name w:val="Note Heading"/>
    <w:basedOn w:val="Standaard"/>
    <w:next w:val="Standaard"/>
    <w:semiHidden/>
    <w:rsid w:val="00371A7F"/>
  </w:style>
  <w:style w:type="numbering" w:customStyle="1" w:styleId="Nummering-meerdereniveaus">
    <w:name w:val="Nummering - meerdere niveaus"/>
    <w:basedOn w:val="Geenlijst"/>
    <w:rsid w:val="00371A7F"/>
    <w:pPr>
      <w:numPr>
        <w:numId w:val="11"/>
      </w:numPr>
    </w:pPr>
  </w:style>
  <w:style w:type="numbering" w:customStyle="1" w:styleId="Nummering-Linksuitgelijnd">
    <w:name w:val="Nummering  - Links uitgelijnd"/>
    <w:basedOn w:val="Nummering-meerdereniveaus"/>
    <w:rsid w:val="00371A7F"/>
    <w:pPr>
      <w:numPr>
        <w:numId w:val="12"/>
      </w:numPr>
    </w:pPr>
  </w:style>
  <w:style w:type="paragraph" w:styleId="Tekstopmerking">
    <w:name w:val="annotation text"/>
    <w:basedOn w:val="Standaard"/>
    <w:link w:val="TekstopmerkingChar"/>
    <w:uiPriority w:val="99"/>
    <w:semiHidden/>
    <w:rsid w:val="00371A7F"/>
  </w:style>
  <w:style w:type="paragraph" w:styleId="Onderwerpvanopmerking">
    <w:name w:val="annotation subject"/>
    <w:basedOn w:val="Tekstopmerking"/>
    <w:next w:val="Tekstopmerking"/>
    <w:semiHidden/>
    <w:rsid w:val="00371A7F"/>
    <w:rPr>
      <w:b/>
      <w:bCs/>
    </w:rPr>
  </w:style>
  <w:style w:type="numbering" w:customStyle="1" w:styleId="OpmaakprofielMetopsommingstekensSymbolsymbool12ptLinks0cm">
    <w:name w:val="Opmaakprofiel Met opsommingstekens Symbol (symbool) 12 pt Links:  0 cm ..."/>
    <w:basedOn w:val="Geenlijst"/>
    <w:semiHidden/>
    <w:rsid w:val="00371A7F"/>
    <w:pPr>
      <w:numPr>
        <w:numId w:val="13"/>
      </w:numPr>
    </w:pPr>
  </w:style>
  <w:style w:type="numbering" w:customStyle="1" w:styleId="Opsommingstekens-meerdereniveaus">
    <w:name w:val="Opsommingstekens - meerdere niveaus"/>
    <w:rsid w:val="00371A7F"/>
    <w:pPr>
      <w:numPr>
        <w:numId w:val="14"/>
      </w:numPr>
    </w:pPr>
  </w:style>
  <w:style w:type="character" w:styleId="Paginanummer">
    <w:name w:val="page number"/>
    <w:rsid w:val="00371A7F"/>
    <w:rPr>
      <w:rFonts w:ascii="Tahoma" w:hAnsi="Tahoma"/>
      <w:sz w:val="16"/>
    </w:rPr>
  </w:style>
  <w:style w:type="paragraph" w:styleId="Ondertitel">
    <w:name w:val="Subtitle"/>
    <w:basedOn w:val="Standaard"/>
    <w:qFormat/>
    <w:rsid w:val="00371A7F"/>
    <w:pPr>
      <w:spacing w:after="60"/>
      <w:jc w:val="center"/>
      <w:outlineLvl w:val="1"/>
    </w:pPr>
    <w:rPr>
      <w:rFonts w:cs="Arial"/>
      <w:b/>
      <w:sz w:val="24"/>
      <w:szCs w:val="24"/>
    </w:rPr>
  </w:style>
  <w:style w:type="table" w:styleId="Tabelraster">
    <w:name w:val="Table Grid"/>
    <w:basedOn w:val="Standaardtabel"/>
    <w:semiHidden/>
    <w:rsid w:val="00371A7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qFormat/>
    <w:rsid w:val="00371A7F"/>
    <w:pPr>
      <w:spacing w:before="240" w:after="60"/>
      <w:jc w:val="center"/>
      <w:outlineLvl w:val="0"/>
    </w:pPr>
    <w:rPr>
      <w:rFonts w:cs="Arial"/>
      <w:b/>
      <w:bCs/>
      <w:kern w:val="28"/>
      <w:sz w:val="28"/>
      <w:szCs w:val="32"/>
    </w:rPr>
  </w:style>
  <w:style w:type="character" w:styleId="Voetnootmarkering">
    <w:name w:val="footnote reference"/>
    <w:aliases w:val=" Char Char1, Char Char3,Char Char3,Ref,de nota al pie,Footnote Reference Superscript,Footnote symbol,Times 10 Point,Exposant 3 Point,Appel note de bas de p,PBO Footnote Reference,FR + (Complex) Arial,Char Car Char Char,Char Car Char"/>
    <w:link w:val="CharCarCharCharCarCarCarCar"/>
    <w:rsid w:val="00371A7F"/>
    <w:rPr>
      <w:vertAlign w:val="superscript"/>
    </w:rPr>
  </w:style>
  <w:style w:type="paragraph" w:styleId="Voetnoottekst">
    <w:name w:val="footnote text"/>
    <w:aliases w:val="DTE-Voetnoottekst,Note de bas de page, Carattere,Car Char,Car, Car Char, Car,Footnote text,Carattere"/>
    <w:basedOn w:val="Standaard"/>
    <w:link w:val="VoetnoottekstChar"/>
    <w:rsid w:val="00371A7F"/>
    <w:pPr>
      <w:ind w:left="142" w:hanging="142"/>
    </w:pPr>
    <w:rPr>
      <w:sz w:val="18"/>
    </w:rPr>
  </w:style>
  <w:style w:type="paragraph" w:styleId="Voettekst">
    <w:name w:val="footer"/>
    <w:basedOn w:val="Standaard"/>
    <w:rsid w:val="00371A7F"/>
    <w:pPr>
      <w:tabs>
        <w:tab w:val="center" w:pos="4536"/>
        <w:tab w:val="right" w:pos="9072"/>
      </w:tabs>
    </w:pPr>
    <w:rPr>
      <w:sz w:val="16"/>
    </w:rPr>
  </w:style>
  <w:style w:type="paragraph" w:styleId="Kopvaninhoudsopgave">
    <w:name w:val="TOC Heading"/>
    <w:basedOn w:val="Kop1"/>
    <w:next w:val="Standaard"/>
    <w:uiPriority w:val="39"/>
    <w:semiHidden/>
    <w:unhideWhenUsed/>
    <w:qFormat/>
    <w:rsid w:val="00FD6E69"/>
    <w:pPr>
      <w:keepLines/>
      <w:pBdr>
        <w:top w:val="none" w:sz="0" w:space="0" w:color="auto"/>
        <w:left w:val="none" w:sz="0" w:space="0" w:color="auto"/>
        <w:bottom w:val="none" w:sz="0" w:space="0" w:color="auto"/>
        <w:right w:val="none" w:sz="0" w:space="0" w:color="auto"/>
      </w:pBdr>
      <w:spacing w:before="480" w:after="0" w:line="276" w:lineRule="auto"/>
      <w:outlineLvl w:val="9"/>
    </w:pPr>
    <w:rPr>
      <w:rFonts w:ascii="Cambria" w:hAnsi="Cambria" w:cs="Times New Roman"/>
      <w:color w:val="365F91"/>
      <w:lang w:val="nl-BE"/>
    </w:rPr>
  </w:style>
  <w:style w:type="paragraph" w:styleId="Ballontekst">
    <w:name w:val="Balloon Text"/>
    <w:basedOn w:val="Standaard"/>
    <w:link w:val="BallontekstChar"/>
    <w:uiPriority w:val="99"/>
    <w:semiHidden/>
    <w:unhideWhenUsed/>
    <w:rsid w:val="00FD6E69"/>
    <w:rPr>
      <w:rFonts w:cs="Tahoma"/>
      <w:sz w:val="16"/>
      <w:szCs w:val="16"/>
    </w:rPr>
  </w:style>
  <w:style w:type="character" w:customStyle="1" w:styleId="BallontekstChar">
    <w:name w:val="Ballontekst Char"/>
    <w:link w:val="Ballontekst"/>
    <w:uiPriority w:val="99"/>
    <w:semiHidden/>
    <w:rsid w:val="00FD6E69"/>
    <w:rPr>
      <w:rFonts w:ascii="Tahoma" w:hAnsi="Tahoma" w:cs="Tahoma"/>
      <w:sz w:val="16"/>
      <w:szCs w:val="16"/>
      <w:lang w:val="nl-NL"/>
    </w:rPr>
  </w:style>
  <w:style w:type="character" w:customStyle="1" w:styleId="Kop8Char">
    <w:name w:val="Kop 8 Char"/>
    <w:link w:val="Kop8"/>
    <w:uiPriority w:val="9"/>
    <w:semiHidden/>
    <w:rsid w:val="00C91A04"/>
    <w:rPr>
      <w:rFonts w:ascii="Calibri" w:hAnsi="Calibri"/>
      <w:i/>
      <w:iCs/>
      <w:sz w:val="24"/>
      <w:szCs w:val="24"/>
      <w:lang w:val="nl-NL"/>
    </w:rPr>
  </w:style>
  <w:style w:type="character" w:customStyle="1" w:styleId="Kop9Char">
    <w:name w:val="Kop 9 Char"/>
    <w:link w:val="Kop9"/>
    <w:uiPriority w:val="9"/>
    <w:semiHidden/>
    <w:rsid w:val="00C91A04"/>
    <w:rPr>
      <w:rFonts w:ascii="Cambria" w:hAnsi="Cambria"/>
      <w:sz w:val="22"/>
      <w:szCs w:val="22"/>
      <w:lang w:val="nl-NL"/>
    </w:rPr>
  </w:style>
  <w:style w:type="paragraph" w:styleId="Lijstalinea">
    <w:name w:val="List Paragraph"/>
    <w:basedOn w:val="Standaard"/>
    <w:uiPriority w:val="34"/>
    <w:qFormat/>
    <w:rsid w:val="00A96DFB"/>
    <w:pPr>
      <w:ind w:left="708"/>
    </w:pPr>
  </w:style>
  <w:style w:type="paragraph" w:customStyle="1" w:styleId="StijlKop2Uitvullen">
    <w:name w:val="Stijl Kop 2 + Uitvullen"/>
    <w:basedOn w:val="Kop2"/>
    <w:rsid w:val="00A96DFB"/>
    <w:pPr>
      <w:ind w:left="1284"/>
      <w:jc w:val="both"/>
    </w:pPr>
    <w:rPr>
      <w:rFonts w:cs="Times New Roman"/>
      <w:iCs w:val="0"/>
      <w:szCs w:val="20"/>
    </w:rPr>
  </w:style>
  <w:style w:type="character" w:styleId="Verwijzingopmerking">
    <w:name w:val="annotation reference"/>
    <w:uiPriority w:val="99"/>
    <w:semiHidden/>
    <w:unhideWhenUsed/>
    <w:rsid w:val="00890E11"/>
    <w:rPr>
      <w:sz w:val="16"/>
      <w:szCs w:val="16"/>
    </w:rPr>
  </w:style>
  <w:style w:type="paragraph" w:styleId="Bijschrift">
    <w:name w:val="caption"/>
    <w:basedOn w:val="Standaard"/>
    <w:next w:val="Standaard"/>
    <w:uiPriority w:val="35"/>
    <w:unhideWhenUsed/>
    <w:qFormat/>
    <w:rsid w:val="0093081C"/>
    <w:rPr>
      <w:b/>
      <w:bCs/>
    </w:rPr>
  </w:style>
  <w:style w:type="character" w:styleId="Tekstvantijdelijkeaanduiding">
    <w:name w:val="Placeholder Text"/>
    <w:basedOn w:val="Standaardalinea-lettertype"/>
    <w:uiPriority w:val="99"/>
    <w:semiHidden/>
    <w:rsid w:val="0093081C"/>
    <w:rPr>
      <w:color w:val="808080"/>
    </w:rPr>
  </w:style>
  <w:style w:type="paragraph" w:customStyle="1" w:styleId="StijlKop2CursiefUitvullen">
    <w:name w:val="Stijl Kop 2 + Cursief Uitvullen"/>
    <w:basedOn w:val="Kop2"/>
    <w:rsid w:val="00AB4D9F"/>
    <w:pPr>
      <w:jc w:val="both"/>
    </w:pPr>
    <w:rPr>
      <w:rFonts w:cs="Times New Roman"/>
      <w:i/>
      <w:sz w:val="24"/>
      <w:szCs w:val="20"/>
    </w:rPr>
  </w:style>
  <w:style w:type="paragraph" w:styleId="Lijstmetafbeeldingen">
    <w:name w:val="table of figures"/>
    <w:basedOn w:val="Standaard"/>
    <w:next w:val="Standaard"/>
    <w:uiPriority w:val="99"/>
    <w:unhideWhenUsed/>
    <w:rsid w:val="00DF3CB8"/>
  </w:style>
  <w:style w:type="paragraph" w:customStyle="1" w:styleId="StijlBijschriftCambriaMathNietVetCursief">
    <w:name w:val="Stijl Bijschrift + Cambria Math Niet Vet Cursief"/>
    <w:basedOn w:val="Bijschrift"/>
    <w:rsid w:val="00AB1974"/>
    <w:rPr>
      <w:rFonts w:ascii="Cambria Math" w:hAnsi="Cambria Math"/>
      <w:b w:val="0"/>
      <w:bCs w:val="0"/>
      <w:iCs/>
    </w:rPr>
  </w:style>
  <w:style w:type="paragraph" w:customStyle="1" w:styleId="StijlStijlBijschriftCambriaMathNietVetCursiefVet">
    <w:name w:val="Stijl Stijl Bijschrift + Cambria Math Niet Vet Cursief + Vet"/>
    <w:basedOn w:val="StijlBijschriftCambriaMathNietVetCursief"/>
    <w:rsid w:val="00AB1974"/>
    <w:rPr>
      <w:b/>
      <w:bCs/>
      <w:iCs w:val="0"/>
    </w:rPr>
  </w:style>
  <w:style w:type="paragraph" w:customStyle="1" w:styleId="Default">
    <w:name w:val="Default"/>
    <w:rsid w:val="00070C9C"/>
    <w:pPr>
      <w:autoSpaceDE w:val="0"/>
      <w:autoSpaceDN w:val="0"/>
      <w:adjustRightInd w:val="0"/>
    </w:pPr>
    <w:rPr>
      <w:color w:val="000000"/>
      <w:sz w:val="24"/>
      <w:szCs w:val="24"/>
    </w:rPr>
  </w:style>
  <w:style w:type="paragraph" w:customStyle="1" w:styleId="CharChar">
    <w:name w:val="Char Char"/>
    <w:basedOn w:val="Standaard"/>
    <w:rsid w:val="0059729A"/>
    <w:pPr>
      <w:spacing w:after="160" w:line="240" w:lineRule="exact"/>
      <w:jc w:val="left"/>
    </w:pPr>
    <w:rPr>
      <w:rFonts w:ascii="Verdana" w:hAnsi="Verdana"/>
      <w:lang w:val="en-US"/>
    </w:rPr>
  </w:style>
  <w:style w:type="character" w:customStyle="1" w:styleId="VoetnoottekstChar">
    <w:name w:val="Voetnoottekst Char"/>
    <w:aliases w:val="DTE-Voetnoottekst Char,Note de bas de page Char, Carattere Char,Car Char Char,Car Char1, Car Char Char, Car Char1,Footnote text Char,Carattere Char"/>
    <w:link w:val="Voetnoottekst"/>
    <w:rsid w:val="0059729A"/>
    <w:rPr>
      <w:rFonts w:ascii="Tahoma" w:hAnsi="Tahoma"/>
      <w:sz w:val="18"/>
      <w:lang w:val="nl-NL"/>
    </w:rPr>
  </w:style>
  <w:style w:type="paragraph" w:customStyle="1" w:styleId="CharChar0">
    <w:name w:val="Char Char"/>
    <w:basedOn w:val="Standaard"/>
    <w:rsid w:val="00133696"/>
    <w:pPr>
      <w:spacing w:after="160" w:line="240" w:lineRule="exact"/>
      <w:jc w:val="left"/>
    </w:pPr>
    <w:rPr>
      <w:rFonts w:ascii="Verdana" w:hAnsi="Verdana"/>
      <w:lang w:val="en-US"/>
    </w:rPr>
  </w:style>
  <w:style w:type="character" w:customStyle="1" w:styleId="TekstopmerkingChar">
    <w:name w:val="Tekst opmerking Char"/>
    <w:basedOn w:val="Standaardalinea-lettertype"/>
    <w:link w:val="Tekstopmerking"/>
    <w:uiPriority w:val="99"/>
    <w:semiHidden/>
    <w:rsid w:val="006F7C04"/>
    <w:rPr>
      <w:rFonts w:ascii="Tahoma" w:hAnsi="Tahoma"/>
      <w:lang w:val="nl-NL"/>
    </w:rPr>
  </w:style>
  <w:style w:type="paragraph" w:styleId="Revisie">
    <w:name w:val="Revision"/>
    <w:hidden/>
    <w:uiPriority w:val="99"/>
    <w:semiHidden/>
    <w:rsid w:val="00C735D1"/>
    <w:rPr>
      <w:rFonts w:ascii="Tahoma" w:hAnsi="Tahoma"/>
      <w:lang w:val="nl-NL"/>
    </w:rPr>
  </w:style>
  <w:style w:type="character" w:customStyle="1" w:styleId="VoetnoottekstChar1">
    <w:name w:val="Voetnoottekst Char1"/>
    <w:uiPriority w:val="99"/>
    <w:rsid w:val="000D284A"/>
    <w:rPr>
      <w:rFonts w:eastAsia="Times New Roman"/>
      <w:sz w:val="18"/>
      <w:lang w:val="nl-NL"/>
    </w:rPr>
  </w:style>
  <w:style w:type="paragraph" w:customStyle="1" w:styleId="CharCarCharCharCarCarCarCar">
    <w:name w:val="Char Car Char Char Car Car Car Car"/>
    <w:aliases w:val="Char Car Char1 Char Char Char Car Car Car Car,Char Car Char Car Char Char Char Char Car Car Car Car,Char Car Char Char Char Char Car Car Car Car,Char Car Char Car Char Car Car Car Car"/>
    <w:basedOn w:val="Standaard"/>
    <w:link w:val="Voetnootmarkering"/>
    <w:rsid w:val="000D284A"/>
    <w:pPr>
      <w:spacing w:after="160" w:line="240" w:lineRule="exact"/>
      <w:jc w:val="left"/>
    </w:pPr>
    <w:rPr>
      <w:rFonts w:ascii="Times New Roman" w:hAnsi="Times New Roman"/>
      <w:vertAlign w:val="superscript"/>
      <w:lang w:val="nl-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045D7"/>
    <w:pPr>
      <w:jc w:val="both"/>
    </w:pPr>
    <w:rPr>
      <w:rFonts w:ascii="Tahoma" w:hAnsi="Tahoma"/>
      <w:lang w:val="nl-NL"/>
    </w:rPr>
  </w:style>
  <w:style w:type="paragraph" w:styleId="Kop1">
    <w:name w:val="heading 1"/>
    <w:basedOn w:val="Standaard"/>
    <w:next w:val="Standaard"/>
    <w:qFormat/>
    <w:rsid w:val="00371A7F"/>
    <w:pPr>
      <w:keepNext/>
      <w:numPr>
        <w:numId w:val="34"/>
      </w:numPr>
      <w:pBdr>
        <w:top w:val="single" w:sz="4" w:space="4" w:color="auto"/>
        <w:left w:val="single" w:sz="4" w:space="4" w:color="auto"/>
        <w:bottom w:val="single" w:sz="4" w:space="4" w:color="auto"/>
        <w:right w:val="single" w:sz="4" w:space="4" w:color="auto"/>
      </w:pBdr>
      <w:spacing w:before="240" w:after="60"/>
      <w:jc w:val="left"/>
      <w:outlineLvl w:val="0"/>
    </w:pPr>
    <w:rPr>
      <w:rFonts w:cs="Arial"/>
      <w:b/>
      <w:bCs/>
      <w:sz w:val="28"/>
      <w:szCs w:val="28"/>
    </w:rPr>
  </w:style>
  <w:style w:type="paragraph" w:styleId="Kop2">
    <w:name w:val="heading 2"/>
    <w:basedOn w:val="Standaard"/>
    <w:next w:val="Standaard"/>
    <w:qFormat/>
    <w:rsid w:val="00371A7F"/>
    <w:pPr>
      <w:keepNext/>
      <w:numPr>
        <w:ilvl w:val="1"/>
        <w:numId w:val="34"/>
      </w:numPr>
      <w:spacing w:before="240" w:after="60"/>
      <w:jc w:val="left"/>
      <w:outlineLvl w:val="1"/>
    </w:pPr>
    <w:rPr>
      <w:rFonts w:cs="Arial"/>
      <w:b/>
      <w:bCs/>
      <w:iCs/>
      <w:sz w:val="26"/>
      <w:szCs w:val="28"/>
    </w:rPr>
  </w:style>
  <w:style w:type="paragraph" w:styleId="Kop3">
    <w:name w:val="heading 3"/>
    <w:basedOn w:val="Standaard"/>
    <w:next w:val="Standaard"/>
    <w:autoRedefine/>
    <w:qFormat/>
    <w:rsid w:val="00DC7DEC"/>
    <w:pPr>
      <w:keepNext/>
      <w:numPr>
        <w:ilvl w:val="2"/>
        <w:numId w:val="34"/>
      </w:numPr>
      <w:spacing w:before="240" w:after="60"/>
      <w:jc w:val="left"/>
      <w:outlineLvl w:val="2"/>
    </w:pPr>
    <w:rPr>
      <w:rFonts w:cs="Arial"/>
      <w:b/>
      <w:bCs/>
      <w:i/>
      <w:sz w:val="24"/>
      <w:szCs w:val="26"/>
    </w:rPr>
  </w:style>
  <w:style w:type="paragraph" w:styleId="Kop4">
    <w:name w:val="heading 4"/>
    <w:basedOn w:val="Standaard"/>
    <w:next w:val="Standaard"/>
    <w:qFormat/>
    <w:rsid w:val="00371A7F"/>
    <w:pPr>
      <w:keepNext/>
      <w:numPr>
        <w:ilvl w:val="3"/>
        <w:numId w:val="34"/>
      </w:numPr>
      <w:spacing w:before="240" w:after="60"/>
      <w:jc w:val="left"/>
      <w:outlineLvl w:val="3"/>
    </w:pPr>
    <w:rPr>
      <w:b/>
      <w:bCs/>
      <w:sz w:val="22"/>
      <w:szCs w:val="28"/>
    </w:rPr>
  </w:style>
  <w:style w:type="paragraph" w:styleId="Kop5">
    <w:name w:val="heading 5"/>
    <w:basedOn w:val="Standaard"/>
    <w:next w:val="Standaard"/>
    <w:qFormat/>
    <w:rsid w:val="00371A7F"/>
    <w:pPr>
      <w:numPr>
        <w:ilvl w:val="4"/>
        <w:numId w:val="34"/>
      </w:numPr>
      <w:spacing w:before="240" w:after="60"/>
      <w:jc w:val="left"/>
      <w:outlineLvl w:val="4"/>
    </w:pPr>
    <w:rPr>
      <w:b/>
      <w:bCs/>
      <w:i/>
      <w:iCs/>
      <w:sz w:val="22"/>
      <w:szCs w:val="26"/>
    </w:rPr>
  </w:style>
  <w:style w:type="paragraph" w:styleId="Kop6">
    <w:name w:val="heading 6"/>
    <w:basedOn w:val="Standaard"/>
    <w:next w:val="Standaard"/>
    <w:qFormat/>
    <w:rsid w:val="00371A7F"/>
    <w:pPr>
      <w:numPr>
        <w:ilvl w:val="5"/>
        <w:numId w:val="34"/>
      </w:numPr>
      <w:spacing w:before="240" w:after="60"/>
      <w:jc w:val="left"/>
      <w:outlineLvl w:val="5"/>
    </w:pPr>
    <w:rPr>
      <w:b/>
      <w:bCs/>
      <w:szCs w:val="22"/>
    </w:rPr>
  </w:style>
  <w:style w:type="paragraph" w:styleId="Kop7">
    <w:name w:val="heading 7"/>
    <w:basedOn w:val="Standaard"/>
    <w:next w:val="Standaard"/>
    <w:qFormat/>
    <w:rsid w:val="00371A7F"/>
    <w:pPr>
      <w:numPr>
        <w:ilvl w:val="6"/>
        <w:numId w:val="34"/>
      </w:numPr>
      <w:spacing w:before="240" w:after="60"/>
      <w:jc w:val="left"/>
      <w:outlineLvl w:val="6"/>
    </w:pPr>
    <w:rPr>
      <w:b/>
      <w:i/>
      <w:szCs w:val="24"/>
    </w:rPr>
  </w:style>
  <w:style w:type="paragraph" w:styleId="Kop8">
    <w:name w:val="heading 8"/>
    <w:basedOn w:val="Standaard"/>
    <w:next w:val="Standaard"/>
    <w:link w:val="Kop8Char"/>
    <w:uiPriority w:val="9"/>
    <w:semiHidden/>
    <w:unhideWhenUsed/>
    <w:qFormat/>
    <w:rsid w:val="00C91A04"/>
    <w:pPr>
      <w:numPr>
        <w:ilvl w:val="7"/>
        <w:numId w:val="34"/>
      </w:numPr>
      <w:spacing w:before="240" w:after="60"/>
      <w:outlineLvl w:val="7"/>
    </w:pPr>
    <w:rPr>
      <w:rFonts w:ascii="Calibri" w:hAnsi="Calibri"/>
      <w:i/>
      <w:iCs/>
      <w:sz w:val="24"/>
      <w:szCs w:val="24"/>
    </w:rPr>
  </w:style>
  <w:style w:type="paragraph" w:styleId="Kop9">
    <w:name w:val="heading 9"/>
    <w:basedOn w:val="Standaard"/>
    <w:next w:val="Standaard"/>
    <w:link w:val="Kop9Char"/>
    <w:uiPriority w:val="9"/>
    <w:semiHidden/>
    <w:unhideWhenUsed/>
    <w:qFormat/>
    <w:rsid w:val="00C91A04"/>
    <w:pPr>
      <w:numPr>
        <w:ilvl w:val="8"/>
        <w:numId w:val="34"/>
      </w:numPr>
      <w:spacing w:before="240" w:after="60"/>
      <w:outlineLvl w:val="8"/>
    </w:pPr>
    <w:rPr>
      <w:rFonts w:ascii="Cambria" w:hAnsi="Cambria"/>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Aanhef">
    <w:name w:val="Salutation"/>
    <w:basedOn w:val="Standaard"/>
    <w:next w:val="Standaard"/>
    <w:semiHidden/>
    <w:rsid w:val="00371A7F"/>
  </w:style>
  <w:style w:type="paragraph" w:styleId="Afsluiting">
    <w:name w:val="Closing"/>
    <w:basedOn w:val="Standaard"/>
    <w:semiHidden/>
    <w:rsid w:val="00371A7F"/>
  </w:style>
  <w:style w:type="paragraph" w:styleId="Afzender">
    <w:name w:val="envelope return"/>
    <w:basedOn w:val="Standaard"/>
    <w:semiHidden/>
    <w:rsid w:val="00371A7F"/>
    <w:rPr>
      <w:rFonts w:cs="Arial"/>
    </w:rPr>
  </w:style>
  <w:style w:type="paragraph" w:styleId="Bronvermelding">
    <w:name w:val="table of authorities"/>
    <w:basedOn w:val="Standaard"/>
    <w:next w:val="Standaard"/>
    <w:semiHidden/>
    <w:rsid w:val="00371A7F"/>
    <w:pPr>
      <w:ind w:left="581" w:hanging="581"/>
    </w:pPr>
    <w:rPr>
      <w:b/>
      <w:sz w:val="16"/>
    </w:rPr>
  </w:style>
  <w:style w:type="paragraph" w:styleId="Datum">
    <w:name w:val="Date"/>
    <w:basedOn w:val="Standaard"/>
    <w:next w:val="Standaard"/>
    <w:rsid w:val="00371A7F"/>
  </w:style>
  <w:style w:type="paragraph" w:styleId="Documentstructuur">
    <w:name w:val="Document Map"/>
    <w:basedOn w:val="Standaard"/>
    <w:semiHidden/>
    <w:rsid w:val="00371A7F"/>
    <w:pPr>
      <w:shd w:val="clear" w:color="auto" w:fill="000080"/>
    </w:pPr>
    <w:rPr>
      <w:rFonts w:cs="Tahoma"/>
    </w:rPr>
  </w:style>
  <w:style w:type="character" w:styleId="Eindnootmarkering">
    <w:name w:val="endnote reference"/>
    <w:rsid w:val="00371A7F"/>
    <w:rPr>
      <w:vertAlign w:val="superscript"/>
    </w:rPr>
  </w:style>
  <w:style w:type="paragraph" w:styleId="Eindnoottekst">
    <w:name w:val="endnote text"/>
    <w:basedOn w:val="Standaard"/>
    <w:rsid w:val="00371A7F"/>
    <w:rPr>
      <w:sz w:val="16"/>
    </w:rPr>
  </w:style>
  <w:style w:type="paragraph" w:styleId="E-mailhandtekening">
    <w:name w:val="E-mail Signature"/>
    <w:basedOn w:val="Standaard"/>
    <w:semiHidden/>
    <w:rsid w:val="00371A7F"/>
  </w:style>
  <w:style w:type="character" w:styleId="GevolgdeHyperlink">
    <w:name w:val="FollowedHyperlink"/>
    <w:semiHidden/>
    <w:rsid w:val="00371A7F"/>
    <w:rPr>
      <w:color w:val="800080"/>
      <w:u w:val="single"/>
    </w:rPr>
  </w:style>
  <w:style w:type="paragraph" w:styleId="Handtekening">
    <w:name w:val="Signature"/>
    <w:basedOn w:val="Standaard"/>
    <w:rsid w:val="00371A7F"/>
  </w:style>
  <w:style w:type="character" w:styleId="Hyperlink">
    <w:name w:val="Hyperlink"/>
    <w:uiPriority w:val="99"/>
    <w:rsid w:val="00371A7F"/>
    <w:rPr>
      <w:color w:val="990033"/>
      <w:u w:val="single"/>
    </w:rPr>
  </w:style>
  <w:style w:type="paragraph" w:styleId="Index1">
    <w:name w:val="index 1"/>
    <w:basedOn w:val="Standaard"/>
    <w:next w:val="Standaard"/>
    <w:autoRedefine/>
    <w:semiHidden/>
    <w:rsid w:val="00371A7F"/>
    <w:pPr>
      <w:ind w:left="200" w:hanging="200"/>
    </w:pPr>
  </w:style>
  <w:style w:type="paragraph" w:styleId="Index2">
    <w:name w:val="index 2"/>
    <w:basedOn w:val="Standaard"/>
    <w:next w:val="Standaard"/>
    <w:autoRedefine/>
    <w:semiHidden/>
    <w:rsid w:val="00371A7F"/>
    <w:pPr>
      <w:ind w:left="400" w:hanging="200"/>
    </w:pPr>
  </w:style>
  <w:style w:type="paragraph" w:styleId="Index3">
    <w:name w:val="index 3"/>
    <w:basedOn w:val="Standaard"/>
    <w:next w:val="Standaard"/>
    <w:autoRedefine/>
    <w:semiHidden/>
    <w:rsid w:val="00371A7F"/>
    <w:pPr>
      <w:ind w:left="600" w:hanging="200"/>
    </w:pPr>
  </w:style>
  <w:style w:type="paragraph" w:styleId="Index4">
    <w:name w:val="index 4"/>
    <w:basedOn w:val="Standaard"/>
    <w:next w:val="Standaard"/>
    <w:autoRedefine/>
    <w:semiHidden/>
    <w:rsid w:val="00371A7F"/>
    <w:pPr>
      <w:ind w:left="800" w:hanging="200"/>
    </w:pPr>
  </w:style>
  <w:style w:type="paragraph" w:styleId="Index5">
    <w:name w:val="index 5"/>
    <w:basedOn w:val="Standaard"/>
    <w:next w:val="Standaard"/>
    <w:autoRedefine/>
    <w:semiHidden/>
    <w:rsid w:val="00371A7F"/>
    <w:pPr>
      <w:ind w:left="1000" w:hanging="200"/>
    </w:pPr>
  </w:style>
  <w:style w:type="paragraph" w:styleId="Index6">
    <w:name w:val="index 6"/>
    <w:basedOn w:val="Standaard"/>
    <w:next w:val="Standaard"/>
    <w:autoRedefine/>
    <w:semiHidden/>
    <w:rsid w:val="00371A7F"/>
    <w:pPr>
      <w:ind w:left="1200" w:hanging="200"/>
    </w:pPr>
  </w:style>
  <w:style w:type="paragraph" w:styleId="Index7">
    <w:name w:val="index 7"/>
    <w:basedOn w:val="Standaard"/>
    <w:next w:val="Standaard"/>
    <w:autoRedefine/>
    <w:semiHidden/>
    <w:rsid w:val="00371A7F"/>
    <w:pPr>
      <w:ind w:left="1400" w:hanging="200"/>
    </w:pPr>
  </w:style>
  <w:style w:type="paragraph" w:styleId="Index8">
    <w:name w:val="index 8"/>
    <w:basedOn w:val="Standaard"/>
    <w:next w:val="Standaard"/>
    <w:autoRedefine/>
    <w:semiHidden/>
    <w:rsid w:val="00371A7F"/>
    <w:pPr>
      <w:ind w:left="1600" w:hanging="200"/>
    </w:pPr>
  </w:style>
  <w:style w:type="paragraph" w:styleId="Index9">
    <w:name w:val="index 9"/>
    <w:basedOn w:val="Standaard"/>
    <w:next w:val="Standaard"/>
    <w:autoRedefine/>
    <w:semiHidden/>
    <w:rsid w:val="00371A7F"/>
    <w:pPr>
      <w:ind w:left="1800" w:hanging="200"/>
    </w:pPr>
  </w:style>
  <w:style w:type="paragraph" w:styleId="Indexkop">
    <w:name w:val="index heading"/>
    <w:basedOn w:val="Standaard"/>
    <w:next w:val="Index1"/>
    <w:semiHidden/>
    <w:rsid w:val="00371A7F"/>
    <w:rPr>
      <w:rFonts w:cs="Arial"/>
      <w:b/>
      <w:bCs/>
    </w:rPr>
  </w:style>
  <w:style w:type="paragraph" w:styleId="Inhopg1">
    <w:name w:val="toc 1"/>
    <w:basedOn w:val="Standaard"/>
    <w:next w:val="Standaard"/>
    <w:autoRedefine/>
    <w:uiPriority w:val="39"/>
    <w:qFormat/>
    <w:rsid w:val="00DF0678"/>
    <w:pPr>
      <w:tabs>
        <w:tab w:val="left" w:pos="1080"/>
        <w:tab w:val="right" w:leader="dot" w:pos="9062"/>
      </w:tabs>
      <w:spacing w:before="120" w:after="120"/>
      <w:jc w:val="left"/>
    </w:pPr>
    <w:rPr>
      <w:b/>
      <w:caps/>
      <w:szCs w:val="22"/>
    </w:rPr>
  </w:style>
  <w:style w:type="paragraph" w:styleId="Inhopg2">
    <w:name w:val="toc 2"/>
    <w:basedOn w:val="Standaard"/>
    <w:next w:val="Standaard"/>
    <w:autoRedefine/>
    <w:uiPriority w:val="39"/>
    <w:qFormat/>
    <w:rsid w:val="00371A7F"/>
    <w:pPr>
      <w:tabs>
        <w:tab w:val="left" w:pos="600"/>
        <w:tab w:val="right" w:leader="hyphen" w:pos="9062"/>
      </w:tabs>
      <w:spacing w:before="120" w:after="120"/>
      <w:ind w:left="606" w:hanging="408"/>
      <w:jc w:val="left"/>
    </w:pPr>
    <w:rPr>
      <w:smallCaps/>
      <w:noProof/>
    </w:rPr>
  </w:style>
  <w:style w:type="paragraph" w:styleId="Inhopg3">
    <w:name w:val="toc 3"/>
    <w:basedOn w:val="Standaard"/>
    <w:next w:val="Standaard"/>
    <w:autoRedefine/>
    <w:uiPriority w:val="39"/>
    <w:qFormat/>
    <w:rsid w:val="00371A7F"/>
    <w:pPr>
      <w:tabs>
        <w:tab w:val="left" w:pos="1000"/>
        <w:tab w:val="right" w:leader="dot" w:pos="9062"/>
      </w:tabs>
      <w:spacing w:before="60" w:after="60"/>
      <w:ind w:left="998" w:hanging="595"/>
      <w:jc w:val="left"/>
    </w:pPr>
    <w:rPr>
      <w:i/>
    </w:rPr>
  </w:style>
  <w:style w:type="paragraph" w:styleId="Inhopg4">
    <w:name w:val="toc 4"/>
    <w:basedOn w:val="Standaard"/>
    <w:next w:val="Standaard"/>
    <w:autoRedefine/>
    <w:uiPriority w:val="39"/>
    <w:rsid w:val="00371A7F"/>
    <w:pPr>
      <w:tabs>
        <w:tab w:val="left" w:pos="1400"/>
        <w:tab w:val="right" w:leader="dot" w:pos="9062"/>
      </w:tabs>
      <w:spacing w:before="60" w:after="60"/>
      <w:ind w:left="1400" w:hanging="799"/>
      <w:jc w:val="left"/>
    </w:pPr>
  </w:style>
  <w:style w:type="paragraph" w:styleId="Inhopg5">
    <w:name w:val="toc 5"/>
    <w:basedOn w:val="Standaard"/>
    <w:next w:val="Standaard"/>
    <w:autoRedefine/>
    <w:uiPriority w:val="39"/>
    <w:rsid w:val="00371A7F"/>
    <w:pPr>
      <w:ind w:left="1650" w:hanging="851"/>
      <w:jc w:val="left"/>
    </w:pPr>
  </w:style>
  <w:style w:type="paragraph" w:styleId="Inhopg6">
    <w:name w:val="toc 6"/>
    <w:basedOn w:val="Standaard"/>
    <w:next w:val="Standaard"/>
    <w:autoRedefine/>
    <w:uiPriority w:val="39"/>
    <w:rsid w:val="00371A7F"/>
    <w:pPr>
      <w:tabs>
        <w:tab w:val="left" w:pos="2028"/>
        <w:tab w:val="right" w:leader="dot" w:pos="9062"/>
      </w:tabs>
      <w:ind w:left="2030" w:hanging="1032"/>
      <w:jc w:val="left"/>
    </w:pPr>
  </w:style>
  <w:style w:type="paragraph" w:styleId="Inhopg7">
    <w:name w:val="toc 7"/>
    <w:basedOn w:val="Standaard"/>
    <w:next w:val="Standaard"/>
    <w:autoRedefine/>
    <w:uiPriority w:val="39"/>
    <w:rsid w:val="00371A7F"/>
    <w:pPr>
      <w:tabs>
        <w:tab w:val="left" w:pos="2398"/>
        <w:tab w:val="right" w:leader="dot" w:pos="9062"/>
      </w:tabs>
      <w:ind w:left="2404" w:hanging="1202"/>
      <w:jc w:val="left"/>
    </w:pPr>
  </w:style>
  <w:style w:type="paragraph" w:styleId="Inhopg8">
    <w:name w:val="toc 8"/>
    <w:basedOn w:val="Standaard"/>
    <w:next w:val="Standaard"/>
    <w:autoRedefine/>
    <w:uiPriority w:val="39"/>
    <w:rsid w:val="00371A7F"/>
    <w:pPr>
      <w:ind w:left="1400"/>
      <w:jc w:val="left"/>
    </w:pPr>
  </w:style>
  <w:style w:type="paragraph" w:styleId="Inhopg9">
    <w:name w:val="toc 9"/>
    <w:basedOn w:val="Standaard"/>
    <w:next w:val="Standaard"/>
    <w:autoRedefine/>
    <w:uiPriority w:val="39"/>
    <w:rsid w:val="00371A7F"/>
    <w:pPr>
      <w:ind w:left="1600"/>
      <w:jc w:val="left"/>
    </w:pPr>
  </w:style>
  <w:style w:type="paragraph" w:styleId="Kopbronvermelding">
    <w:name w:val="toa heading"/>
    <w:basedOn w:val="Standaard"/>
    <w:next w:val="Standaard"/>
    <w:semiHidden/>
    <w:rsid w:val="00371A7F"/>
    <w:pPr>
      <w:spacing w:before="120"/>
    </w:pPr>
    <w:rPr>
      <w:rFonts w:cs="Arial"/>
      <w:b/>
      <w:bCs/>
      <w:sz w:val="24"/>
      <w:szCs w:val="24"/>
    </w:rPr>
  </w:style>
  <w:style w:type="paragraph" w:styleId="Koptekst">
    <w:name w:val="header"/>
    <w:basedOn w:val="Standaard"/>
    <w:rsid w:val="00371A7F"/>
    <w:pPr>
      <w:tabs>
        <w:tab w:val="center" w:pos="4536"/>
        <w:tab w:val="right" w:pos="9072"/>
      </w:tabs>
    </w:pPr>
    <w:rPr>
      <w:sz w:val="18"/>
    </w:rPr>
  </w:style>
  <w:style w:type="paragraph" w:styleId="Lijst">
    <w:name w:val="List"/>
    <w:basedOn w:val="Standaard"/>
    <w:semiHidden/>
    <w:rsid w:val="00371A7F"/>
    <w:pPr>
      <w:ind w:left="357" w:hanging="357"/>
    </w:pPr>
  </w:style>
  <w:style w:type="paragraph" w:styleId="Lijst2">
    <w:name w:val="List 2"/>
    <w:basedOn w:val="Standaard"/>
    <w:semiHidden/>
    <w:rsid w:val="00371A7F"/>
    <w:pPr>
      <w:ind w:left="714" w:hanging="357"/>
    </w:pPr>
  </w:style>
  <w:style w:type="paragraph" w:styleId="Lijst3">
    <w:name w:val="List 3"/>
    <w:basedOn w:val="Standaard"/>
    <w:semiHidden/>
    <w:rsid w:val="00371A7F"/>
    <w:pPr>
      <w:ind w:left="1071" w:hanging="357"/>
    </w:pPr>
  </w:style>
  <w:style w:type="paragraph" w:styleId="Lijst4">
    <w:name w:val="List 4"/>
    <w:basedOn w:val="Standaard"/>
    <w:semiHidden/>
    <w:rsid w:val="00371A7F"/>
    <w:pPr>
      <w:ind w:left="1429" w:hanging="357"/>
    </w:pPr>
  </w:style>
  <w:style w:type="paragraph" w:styleId="Lijst5">
    <w:name w:val="List 5"/>
    <w:basedOn w:val="Standaard"/>
    <w:semiHidden/>
    <w:rsid w:val="00371A7F"/>
    <w:pPr>
      <w:ind w:left="1786" w:hanging="357"/>
    </w:pPr>
  </w:style>
  <w:style w:type="paragraph" w:styleId="Lijstopsomteken">
    <w:name w:val="List Bullet"/>
    <w:basedOn w:val="Standaard"/>
    <w:semiHidden/>
    <w:rsid w:val="00371A7F"/>
    <w:pPr>
      <w:numPr>
        <w:numId w:val="1"/>
      </w:numPr>
      <w:ind w:left="0" w:firstLine="0"/>
    </w:pPr>
  </w:style>
  <w:style w:type="paragraph" w:styleId="Lijstopsomteken2">
    <w:name w:val="List Bullet 2"/>
    <w:basedOn w:val="Standaard"/>
    <w:semiHidden/>
    <w:rsid w:val="00371A7F"/>
    <w:pPr>
      <w:numPr>
        <w:numId w:val="2"/>
      </w:numPr>
      <w:tabs>
        <w:tab w:val="clear" w:pos="720"/>
        <w:tab w:val="num" w:pos="360"/>
      </w:tabs>
      <w:ind w:left="0" w:firstLine="0"/>
    </w:pPr>
  </w:style>
  <w:style w:type="paragraph" w:styleId="Lijstopsomteken3">
    <w:name w:val="List Bullet 3"/>
    <w:basedOn w:val="Standaard"/>
    <w:semiHidden/>
    <w:rsid w:val="00371A7F"/>
    <w:pPr>
      <w:numPr>
        <w:numId w:val="3"/>
      </w:numPr>
      <w:tabs>
        <w:tab w:val="clear" w:pos="1074"/>
        <w:tab w:val="num" w:pos="360"/>
        <w:tab w:val="left" w:pos="714"/>
      </w:tabs>
      <w:ind w:left="0" w:firstLine="0"/>
    </w:pPr>
  </w:style>
  <w:style w:type="paragraph" w:styleId="Lijstopsomteken4">
    <w:name w:val="List Bullet 4"/>
    <w:basedOn w:val="Standaard"/>
    <w:semiHidden/>
    <w:rsid w:val="00371A7F"/>
    <w:pPr>
      <w:numPr>
        <w:numId w:val="4"/>
      </w:numPr>
      <w:tabs>
        <w:tab w:val="clear" w:pos="1429"/>
        <w:tab w:val="num" w:pos="360"/>
        <w:tab w:val="left" w:pos="1072"/>
      </w:tabs>
      <w:ind w:left="0" w:firstLine="0"/>
    </w:pPr>
  </w:style>
  <w:style w:type="paragraph" w:styleId="Lijstopsomteken5">
    <w:name w:val="List Bullet 5"/>
    <w:basedOn w:val="Standaard"/>
    <w:semiHidden/>
    <w:rsid w:val="00371A7F"/>
    <w:pPr>
      <w:numPr>
        <w:numId w:val="5"/>
      </w:numPr>
      <w:tabs>
        <w:tab w:val="clear" w:pos="1786"/>
        <w:tab w:val="num" w:pos="360"/>
      </w:tabs>
      <w:ind w:left="0" w:firstLine="0"/>
    </w:pPr>
  </w:style>
  <w:style w:type="paragraph" w:styleId="Lijstnummering">
    <w:name w:val="List Number"/>
    <w:basedOn w:val="Standaard"/>
    <w:semiHidden/>
    <w:rsid w:val="00371A7F"/>
    <w:pPr>
      <w:numPr>
        <w:numId w:val="6"/>
      </w:numPr>
      <w:ind w:left="0" w:firstLine="0"/>
    </w:pPr>
  </w:style>
  <w:style w:type="paragraph" w:styleId="Lijstnummering2">
    <w:name w:val="List Number 2"/>
    <w:basedOn w:val="Standaard"/>
    <w:semiHidden/>
    <w:rsid w:val="00371A7F"/>
    <w:pPr>
      <w:numPr>
        <w:numId w:val="7"/>
      </w:numPr>
      <w:tabs>
        <w:tab w:val="clear" w:pos="717"/>
        <w:tab w:val="num" w:pos="360"/>
      </w:tabs>
      <w:ind w:left="0" w:firstLine="0"/>
    </w:pPr>
  </w:style>
  <w:style w:type="paragraph" w:styleId="Lijstnummering3">
    <w:name w:val="List Number 3"/>
    <w:basedOn w:val="Standaard"/>
    <w:semiHidden/>
    <w:rsid w:val="00371A7F"/>
    <w:pPr>
      <w:numPr>
        <w:numId w:val="8"/>
      </w:numPr>
      <w:tabs>
        <w:tab w:val="clear" w:pos="1074"/>
        <w:tab w:val="num" w:pos="360"/>
      </w:tabs>
      <w:ind w:left="0" w:firstLine="0"/>
    </w:pPr>
    <w:rPr>
      <w:lang w:val="nl-BE"/>
    </w:rPr>
  </w:style>
  <w:style w:type="paragraph" w:styleId="Lijstnummering4">
    <w:name w:val="List Number 4"/>
    <w:basedOn w:val="Standaard"/>
    <w:semiHidden/>
    <w:rsid w:val="00371A7F"/>
    <w:pPr>
      <w:numPr>
        <w:numId w:val="9"/>
      </w:numPr>
      <w:tabs>
        <w:tab w:val="clear" w:pos="1429"/>
        <w:tab w:val="num" w:pos="360"/>
        <w:tab w:val="left" w:pos="1072"/>
      </w:tabs>
      <w:ind w:left="0" w:firstLine="0"/>
    </w:pPr>
  </w:style>
  <w:style w:type="paragraph" w:styleId="Lijstnummering5">
    <w:name w:val="List Number 5"/>
    <w:basedOn w:val="Standaard"/>
    <w:semiHidden/>
    <w:rsid w:val="00371A7F"/>
    <w:pPr>
      <w:numPr>
        <w:numId w:val="10"/>
      </w:numPr>
      <w:tabs>
        <w:tab w:val="clear" w:pos="1786"/>
        <w:tab w:val="num" w:pos="360"/>
      </w:tabs>
      <w:ind w:left="0" w:firstLine="0"/>
    </w:pPr>
    <w:rPr>
      <w:lang w:val="nl-BE"/>
    </w:rPr>
  </w:style>
  <w:style w:type="paragraph" w:styleId="Lijstvoortzetting">
    <w:name w:val="List Continue"/>
    <w:basedOn w:val="Standaard"/>
    <w:semiHidden/>
    <w:rsid w:val="00371A7F"/>
    <w:pPr>
      <w:spacing w:after="120"/>
      <w:ind w:left="357"/>
    </w:pPr>
  </w:style>
  <w:style w:type="paragraph" w:styleId="Lijstvoortzetting2">
    <w:name w:val="List Continue 2"/>
    <w:basedOn w:val="Standaard"/>
    <w:semiHidden/>
    <w:rsid w:val="00371A7F"/>
    <w:pPr>
      <w:spacing w:after="120"/>
      <w:ind w:left="714"/>
    </w:pPr>
  </w:style>
  <w:style w:type="paragraph" w:styleId="Lijstvoortzetting3">
    <w:name w:val="List Continue 3"/>
    <w:basedOn w:val="Standaard"/>
    <w:semiHidden/>
    <w:rsid w:val="00371A7F"/>
    <w:pPr>
      <w:spacing w:after="120"/>
      <w:ind w:left="1072"/>
    </w:pPr>
  </w:style>
  <w:style w:type="paragraph" w:styleId="Lijstvoortzetting4">
    <w:name w:val="List Continue 4"/>
    <w:basedOn w:val="Standaard"/>
    <w:semiHidden/>
    <w:rsid w:val="00371A7F"/>
    <w:pPr>
      <w:spacing w:after="120"/>
      <w:ind w:left="1429"/>
    </w:pPr>
  </w:style>
  <w:style w:type="paragraph" w:styleId="Lijstvoortzetting5">
    <w:name w:val="List Continue 5"/>
    <w:basedOn w:val="Standaard"/>
    <w:semiHidden/>
    <w:rsid w:val="00371A7F"/>
    <w:pPr>
      <w:spacing w:after="120"/>
      <w:ind w:left="1786"/>
    </w:pPr>
  </w:style>
  <w:style w:type="paragraph" w:styleId="Normaalweb">
    <w:name w:val="Normal (Web)"/>
    <w:basedOn w:val="Standaard"/>
    <w:semiHidden/>
    <w:rsid w:val="00371A7F"/>
    <w:rPr>
      <w:szCs w:val="24"/>
    </w:rPr>
  </w:style>
  <w:style w:type="paragraph" w:styleId="Notitiekop">
    <w:name w:val="Note Heading"/>
    <w:basedOn w:val="Standaard"/>
    <w:next w:val="Standaard"/>
    <w:semiHidden/>
    <w:rsid w:val="00371A7F"/>
  </w:style>
  <w:style w:type="numbering" w:customStyle="1" w:styleId="Nummering-meerdereniveaus">
    <w:name w:val="Nummering - meerdere niveaus"/>
    <w:basedOn w:val="Geenlijst"/>
    <w:rsid w:val="00371A7F"/>
    <w:pPr>
      <w:numPr>
        <w:numId w:val="11"/>
      </w:numPr>
    </w:pPr>
  </w:style>
  <w:style w:type="numbering" w:customStyle="1" w:styleId="Nummering-Linksuitgelijnd">
    <w:name w:val="Nummering  - Links uitgelijnd"/>
    <w:basedOn w:val="Nummering-meerdereniveaus"/>
    <w:rsid w:val="00371A7F"/>
    <w:pPr>
      <w:numPr>
        <w:numId w:val="12"/>
      </w:numPr>
    </w:pPr>
  </w:style>
  <w:style w:type="paragraph" w:styleId="Tekstopmerking">
    <w:name w:val="annotation text"/>
    <w:basedOn w:val="Standaard"/>
    <w:link w:val="TekstopmerkingChar"/>
    <w:uiPriority w:val="99"/>
    <w:semiHidden/>
    <w:rsid w:val="00371A7F"/>
  </w:style>
  <w:style w:type="paragraph" w:styleId="Onderwerpvanopmerking">
    <w:name w:val="annotation subject"/>
    <w:basedOn w:val="Tekstopmerking"/>
    <w:next w:val="Tekstopmerking"/>
    <w:semiHidden/>
    <w:rsid w:val="00371A7F"/>
    <w:rPr>
      <w:b/>
      <w:bCs/>
    </w:rPr>
  </w:style>
  <w:style w:type="numbering" w:customStyle="1" w:styleId="OpmaakprofielMetopsommingstekensSymbolsymbool12ptLinks0cm">
    <w:name w:val="Opmaakprofiel Met opsommingstekens Symbol (symbool) 12 pt Links:  0 cm ..."/>
    <w:basedOn w:val="Geenlijst"/>
    <w:semiHidden/>
    <w:rsid w:val="00371A7F"/>
    <w:pPr>
      <w:numPr>
        <w:numId w:val="13"/>
      </w:numPr>
    </w:pPr>
  </w:style>
  <w:style w:type="numbering" w:customStyle="1" w:styleId="Opsommingstekens-meerdereniveaus">
    <w:name w:val="Opsommingstekens - meerdere niveaus"/>
    <w:rsid w:val="00371A7F"/>
    <w:pPr>
      <w:numPr>
        <w:numId w:val="14"/>
      </w:numPr>
    </w:pPr>
  </w:style>
  <w:style w:type="character" w:styleId="Paginanummer">
    <w:name w:val="page number"/>
    <w:rsid w:val="00371A7F"/>
    <w:rPr>
      <w:rFonts w:ascii="Tahoma" w:hAnsi="Tahoma"/>
      <w:sz w:val="16"/>
    </w:rPr>
  </w:style>
  <w:style w:type="paragraph" w:styleId="Ondertitel">
    <w:name w:val="Subtitle"/>
    <w:basedOn w:val="Standaard"/>
    <w:qFormat/>
    <w:rsid w:val="00371A7F"/>
    <w:pPr>
      <w:spacing w:after="60"/>
      <w:jc w:val="center"/>
      <w:outlineLvl w:val="1"/>
    </w:pPr>
    <w:rPr>
      <w:rFonts w:cs="Arial"/>
      <w:b/>
      <w:sz w:val="24"/>
      <w:szCs w:val="24"/>
    </w:rPr>
  </w:style>
  <w:style w:type="table" w:styleId="Tabelraster">
    <w:name w:val="Table Grid"/>
    <w:basedOn w:val="Standaardtabel"/>
    <w:semiHidden/>
    <w:rsid w:val="00371A7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qFormat/>
    <w:rsid w:val="00371A7F"/>
    <w:pPr>
      <w:spacing w:before="240" w:after="60"/>
      <w:jc w:val="center"/>
      <w:outlineLvl w:val="0"/>
    </w:pPr>
    <w:rPr>
      <w:rFonts w:cs="Arial"/>
      <w:b/>
      <w:bCs/>
      <w:kern w:val="28"/>
      <w:sz w:val="28"/>
      <w:szCs w:val="32"/>
    </w:rPr>
  </w:style>
  <w:style w:type="character" w:styleId="Voetnootmarkering">
    <w:name w:val="footnote reference"/>
    <w:aliases w:val=" Char Char1, Char Char3,Char Char3,Ref,de nota al pie,Footnote Reference Superscript,Footnote symbol,Times 10 Point,Exposant 3 Point,Appel note de bas de p,PBO Footnote Reference,FR + (Complex) Arial,Char Car Char Char,Char Car Char"/>
    <w:link w:val="CharCarCharCharCarCarCarCar"/>
    <w:rsid w:val="00371A7F"/>
    <w:rPr>
      <w:vertAlign w:val="superscript"/>
    </w:rPr>
  </w:style>
  <w:style w:type="paragraph" w:styleId="Voetnoottekst">
    <w:name w:val="footnote text"/>
    <w:aliases w:val="DTE-Voetnoottekst,Note de bas de page, Carattere,Car Char,Car, Car Char, Car,Footnote text,Carattere"/>
    <w:basedOn w:val="Standaard"/>
    <w:link w:val="VoetnoottekstChar"/>
    <w:rsid w:val="00371A7F"/>
    <w:pPr>
      <w:ind w:left="142" w:hanging="142"/>
    </w:pPr>
    <w:rPr>
      <w:sz w:val="18"/>
    </w:rPr>
  </w:style>
  <w:style w:type="paragraph" w:styleId="Voettekst">
    <w:name w:val="footer"/>
    <w:basedOn w:val="Standaard"/>
    <w:rsid w:val="00371A7F"/>
    <w:pPr>
      <w:tabs>
        <w:tab w:val="center" w:pos="4536"/>
        <w:tab w:val="right" w:pos="9072"/>
      </w:tabs>
    </w:pPr>
    <w:rPr>
      <w:sz w:val="16"/>
    </w:rPr>
  </w:style>
  <w:style w:type="paragraph" w:styleId="Kopvaninhoudsopgave">
    <w:name w:val="TOC Heading"/>
    <w:basedOn w:val="Kop1"/>
    <w:next w:val="Standaard"/>
    <w:uiPriority w:val="39"/>
    <w:semiHidden/>
    <w:unhideWhenUsed/>
    <w:qFormat/>
    <w:rsid w:val="00FD6E69"/>
    <w:pPr>
      <w:keepLines/>
      <w:pBdr>
        <w:top w:val="none" w:sz="0" w:space="0" w:color="auto"/>
        <w:left w:val="none" w:sz="0" w:space="0" w:color="auto"/>
        <w:bottom w:val="none" w:sz="0" w:space="0" w:color="auto"/>
        <w:right w:val="none" w:sz="0" w:space="0" w:color="auto"/>
      </w:pBdr>
      <w:spacing w:before="480" w:after="0" w:line="276" w:lineRule="auto"/>
      <w:outlineLvl w:val="9"/>
    </w:pPr>
    <w:rPr>
      <w:rFonts w:ascii="Cambria" w:hAnsi="Cambria" w:cs="Times New Roman"/>
      <w:color w:val="365F91"/>
      <w:lang w:val="nl-BE"/>
    </w:rPr>
  </w:style>
  <w:style w:type="paragraph" w:styleId="Ballontekst">
    <w:name w:val="Balloon Text"/>
    <w:basedOn w:val="Standaard"/>
    <w:link w:val="BallontekstChar"/>
    <w:uiPriority w:val="99"/>
    <w:semiHidden/>
    <w:unhideWhenUsed/>
    <w:rsid w:val="00FD6E69"/>
    <w:rPr>
      <w:rFonts w:cs="Tahoma"/>
      <w:sz w:val="16"/>
      <w:szCs w:val="16"/>
    </w:rPr>
  </w:style>
  <w:style w:type="character" w:customStyle="1" w:styleId="BallontekstChar">
    <w:name w:val="Ballontekst Char"/>
    <w:link w:val="Ballontekst"/>
    <w:uiPriority w:val="99"/>
    <w:semiHidden/>
    <w:rsid w:val="00FD6E69"/>
    <w:rPr>
      <w:rFonts w:ascii="Tahoma" w:hAnsi="Tahoma" w:cs="Tahoma"/>
      <w:sz w:val="16"/>
      <w:szCs w:val="16"/>
      <w:lang w:val="nl-NL"/>
    </w:rPr>
  </w:style>
  <w:style w:type="character" w:customStyle="1" w:styleId="Kop8Char">
    <w:name w:val="Kop 8 Char"/>
    <w:link w:val="Kop8"/>
    <w:uiPriority w:val="9"/>
    <w:semiHidden/>
    <w:rsid w:val="00C91A04"/>
    <w:rPr>
      <w:rFonts w:ascii="Calibri" w:hAnsi="Calibri"/>
      <w:i/>
      <w:iCs/>
      <w:sz w:val="24"/>
      <w:szCs w:val="24"/>
      <w:lang w:val="nl-NL"/>
    </w:rPr>
  </w:style>
  <w:style w:type="character" w:customStyle="1" w:styleId="Kop9Char">
    <w:name w:val="Kop 9 Char"/>
    <w:link w:val="Kop9"/>
    <w:uiPriority w:val="9"/>
    <w:semiHidden/>
    <w:rsid w:val="00C91A04"/>
    <w:rPr>
      <w:rFonts w:ascii="Cambria" w:hAnsi="Cambria"/>
      <w:sz w:val="22"/>
      <w:szCs w:val="22"/>
      <w:lang w:val="nl-NL"/>
    </w:rPr>
  </w:style>
  <w:style w:type="paragraph" w:styleId="Lijstalinea">
    <w:name w:val="List Paragraph"/>
    <w:basedOn w:val="Standaard"/>
    <w:uiPriority w:val="34"/>
    <w:qFormat/>
    <w:rsid w:val="00A96DFB"/>
    <w:pPr>
      <w:ind w:left="708"/>
    </w:pPr>
  </w:style>
  <w:style w:type="paragraph" w:customStyle="1" w:styleId="StijlKop2Uitvullen">
    <w:name w:val="Stijl Kop 2 + Uitvullen"/>
    <w:basedOn w:val="Kop2"/>
    <w:rsid w:val="00A96DFB"/>
    <w:pPr>
      <w:ind w:left="1284"/>
      <w:jc w:val="both"/>
    </w:pPr>
    <w:rPr>
      <w:rFonts w:cs="Times New Roman"/>
      <w:iCs w:val="0"/>
      <w:szCs w:val="20"/>
    </w:rPr>
  </w:style>
  <w:style w:type="character" w:styleId="Verwijzingopmerking">
    <w:name w:val="annotation reference"/>
    <w:uiPriority w:val="99"/>
    <w:semiHidden/>
    <w:unhideWhenUsed/>
    <w:rsid w:val="00890E11"/>
    <w:rPr>
      <w:sz w:val="16"/>
      <w:szCs w:val="16"/>
    </w:rPr>
  </w:style>
  <w:style w:type="paragraph" w:styleId="Bijschrift">
    <w:name w:val="caption"/>
    <w:basedOn w:val="Standaard"/>
    <w:next w:val="Standaard"/>
    <w:uiPriority w:val="35"/>
    <w:unhideWhenUsed/>
    <w:qFormat/>
    <w:rsid w:val="0093081C"/>
    <w:rPr>
      <w:b/>
      <w:bCs/>
    </w:rPr>
  </w:style>
  <w:style w:type="character" w:styleId="Tekstvantijdelijkeaanduiding">
    <w:name w:val="Placeholder Text"/>
    <w:basedOn w:val="Standaardalinea-lettertype"/>
    <w:uiPriority w:val="99"/>
    <w:semiHidden/>
    <w:rsid w:val="0093081C"/>
    <w:rPr>
      <w:color w:val="808080"/>
    </w:rPr>
  </w:style>
  <w:style w:type="paragraph" w:customStyle="1" w:styleId="StijlKop2CursiefUitvullen">
    <w:name w:val="Stijl Kop 2 + Cursief Uitvullen"/>
    <w:basedOn w:val="Kop2"/>
    <w:rsid w:val="00AB4D9F"/>
    <w:pPr>
      <w:jc w:val="both"/>
    </w:pPr>
    <w:rPr>
      <w:rFonts w:cs="Times New Roman"/>
      <w:i/>
      <w:sz w:val="24"/>
      <w:szCs w:val="20"/>
    </w:rPr>
  </w:style>
  <w:style w:type="paragraph" w:styleId="Lijstmetafbeeldingen">
    <w:name w:val="table of figures"/>
    <w:basedOn w:val="Standaard"/>
    <w:next w:val="Standaard"/>
    <w:uiPriority w:val="99"/>
    <w:unhideWhenUsed/>
    <w:rsid w:val="00DF3CB8"/>
  </w:style>
  <w:style w:type="paragraph" w:customStyle="1" w:styleId="StijlBijschriftCambriaMathNietVetCursief">
    <w:name w:val="Stijl Bijschrift + Cambria Math Niet Vet Cursief"/>
    <w:basedOn w:val="Bijschrift"/>
    <w:rsid w:val="00AB1974"/>
    <w:rPr>
      <w:rFonts w:ascii="Cambria Math" w:hAnsi="Cambria Math"/>
      <w:b w:val="0"/>
      <w:bCs w:val="0"/>
      <w:iCs/>
    </w:rPr>
  </w:style>
  <w:style w:type="paragraph" w:customStyle="1" w:styleId="StijlStijlBijschriftCambriaMathNietVetCursiefVet">
    <w:name w:val="Stijl Stijl Bijschrift + Cambria Math Niet Vet Cursief + Vet"/>
    <w:basedOn w:val="StijlBijschriftCambriaMathNietVetCursief"/>
    <w:rsid w:val="00AB1974"/>
    <w:rPr>
      <w:b/>
      <w:bCs/>
      <w:iCs w:val="0"/>
    </w:rPr>
  </w:style>
  <w:style w:type="paragraph" w:customStyle="1" w:styleId="Default">
    <w:name w:val="Default"/>
    <w:rsid w:val="00070C9C"/>
    <w:pPr>
      <w:autoSpaceDE w:val="0"/>
      <w:autoSpaceDN w:val="0"/>
      <w:adjustRightInd w:val="0"/>
    </w:pPr>
    <w:rPr>
      <w:color w:val="000000"/>
      <w:sz w:val="24"/>
      <w:szCs w:val="24"/>
    </w:rPr>
  </w:style>
  <w:style w:type="paragraph" w:customStyle="1" w:styleId="CharChar">
    <w:name w:val="Char Char"/>
    <w:basedOn w:val="Standaard"/>
    <w:rsid w:val="0059729A"/>
    <w:pPr>
      <w:spacing w:after="160" w:line="240" w:lineRule="exact"/>
      <w:jc w:val="left"/>
    </w:pPr>
    <w:rPr>
      <w:rFonts w:ascii="Verdana" w:hAnsi="Verdana"/>
      <w:lang w:val="en-US"/>
    </w:rPr>
  </w:style>
  <w:style w:type="character" w:customStyle="1" w:styleId="VoetnoottekstChar">
    <w:name w:val="Voetnoottekst Char"/>
    <w:aliases w:val="DTE-Voetnoottekst Char,Note de bas de page Char, Carattere Char,Car Char Char,Car Char1, Car Char Char, Car Char1,Footnote text Char,Carattere Char"/>
    <w:link w:val="Voetnoottekst"/>
    <w:rsid w:val="0059729A"/>
    <w:rPr>
      <w:rFonts w:ascii="Tahoma" w:hAnsi="Tahoma"/>
      <w:sz w:val="18"/>
      <w:lang w:val="nl-NL"/>
    </w:rPr>
  </w:style>
  <w:style w:type="paragraph" w:customStyle="1" w:styleId="CharChar0">
    <w:name w:val="Char Char"/>
    <w:basedOn w:val="Standaard"/>
    <w:rsid w:val="00133696"/>
    <w:pPr>
      <w:spacing w:after="160" w:line="240" w:lineRule="exact"/>
      <w:jc w:val="left"/>
    </w:pPr>
    <w:rPr>
      <w:rFonts w:ascii="Verdana" w:hAnsi="Verdana"/>
      <w:lang w:val="en-US"/>
    </w:rPr>
  </w:style>
  <w:style w:type="character" w:customStyle="1" w:styleId="TekstopmerkingChar">
    <w:name w:val="Tekst opmerking Char"/>
    <w:basedOn w:val="Standaardalinea-lettertype"/>
    <w:link w:val="Tekstopmerking"/>
    <w:uiPriority w:val="99"/>
    <w:semiHidden/>
    <w:rsid w:val="006F7C04"/>
    <w:rPr>
      <w:rFonts w:ascii="Tahoma" w:hAnsi="Tahoma"/>
      <w:lang w:val="nl-NL"/>
    </w:rPr>
  </w:style>
  <w:style w:type="paragraph" w:styleId="Revisie">
    <w:name w:val="Revision"/>
    <w:hidden/>
    <w:uiPriority w:val="99"/>
    <w:semiHidden/>
    <w:rsid w:val="00C735D1"/>
    <w:rPr>
      <w:rFonts w:ascii="Tahoma" w:hAnsi="Tahoma"/>
      <w:lang w:val="nl-NL"/>
    </w:rPr>
  </w:style>
  <w:style w:type="character" w:customStyle="1" w:styleId="VoetnoottekstChar1">
    <w:name w:val="Voetnoottekst Char1"/>
    <w:uiPriority w:val="99"/>
    <w:rsid w:val="000D284A"/>
    <w:rPr>
      <w:rFonts w:eastAsia="Times New Roman"/>
      <w:sz w:val="18"/>
      <w:lang w:val="nl-NL"/>
    </w:rPr>
  </w:style>
  <w:style w:type="paragraph" w:customStyle="1" w:styleId="CharCarCharCharCarCarCarCar">
    <w:name w:val="Char Car Char Char Car Car Car Car"/>
    <w:aliases w:val="Char Car Char1 Char Char Char Car Car Car Car,Char Car Char Car Char Char Char Char Car Car Car Car,Char Car Char Char Char Char Car Car Car Car,Char Car Char Car Char Car Car Car Car"/>
    <w:basedOn w:val="Standaard"/>
    <w:link w:val="Voetnootmarkering"/>
    <w:rsid w:val="000D284A"/>
    <w:pPr>
      <w:spacing w:after="160" w:line="240" w:lineRule="exact"/>
      <w:jc w:val="left"/>
    </w:pPr>
    <w:rPr>
      <w:rFonts w:ascii="Times New Roman" w:hAnsi="Times New Roman"/>
      <w:vertAlign w:val="superscript"/>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356">
      <w:bodyDiv w:val="1"/>
      <w:marLeft w:val="0"/>
      <w:marRight w:val="0"/>
      <w:marTop w:val="0"/>
      <w:marBottom w:val="0"/>
      <w:divBdr>
        <w:top w:val="none" w:sz="0" w:space="0" w:color="auto"/>
        <w:left w:val="none" w:sz="0" w:space="0" w:color="auto"/>
        <w:bottom w:val="none" w:sz="0" w:space="0" w:color="auto"/>
        <w:right w:val="none" w:sz="0" w:space="0" w:color="auto"/>
      </w:divBdr>
    </w:div>
    <w:div w:id="63841916">
      <w:bodyDiv w:val="1"/>
      <w:marLeft w:val="0"/>
      <w:marRight w:val="0"/>
      <w:marTop w:val="0"/>
      <w:marBottom w:val="0"/>
      <w:divBdr>
        <w:top w:val="none" w:sz="0" w:space="0" w:color="auto"/>
        <w:left w:val="none" w:sz="0" w:space="0" w:color="auto"/>
        <w:bottom w:val="none" w:sz="0" w:space="0" w:color="auto"/>
        <w:right w:val="none" w:sz="0" w:space="0" w:color="auto"/>
      </w:divBdr>
    </w:div>
    <w:div w:id="209584218">
      <w:bodyDiv w:val="1"/>
      <w:marLeft w:val="0"/>
      <w:marRight w:val="0"/>
      <w:marTop w:val="0"/>
      <w:marBottom w:val="0"/>
      <w:divBdr>
        <w:top w:val="none" w:sz="0" w:space="0" w:color="auto"/>
        <w:left w:val="none" w:sz="0" w:space="0" w:color="auto"/>
        <w:bottom w:val="none" w:sz="0" w:space="0" w:color="auto"/>
        <w:right w:val="none" w:sz="0" w:space="0" w:color="auto"/>
      </w:divBdr>
    </w:div>
    <w:div w:id="708265156">
      <w:bodyDiv w:val="1"/>
      <w:marLeft w:val="0"/>
      <w:marRight w:val="0"/>
      <w:marTop w:val="0"/>
      <w:marBottom w:val="0"/>
      <w:divBdr>
        <w:top w:val="none" w:sz="0" w:space="0" w:color="auto"/>
        <w:left w:val="none" w:sz="0" w:space="0" w:color="auto"/>
        <w:bottom w:val="none" w:sz="0" w:space="0" w:color="auto"/>
        <w:right w:val="none" w:sz="0" w:space="0" w:color="auto"/>
      </w:divBdr>
    </w:div>
    <w:div w:id="956716980">
      <w:bodyDiv w:val="1"/>
      <w:marLeft w:val="0"/>
      <w:marRight w:val="0"/>
      <w:marTop w:val="0"/>
      <w:marBottom w:val="0"/>
      <w:divBdr>
        <w:top w:val="none" w:sz="0" w:space="0" w:color="auto"/>
        <w:left w:val="none" w:sz="0" w:space="0" w:color="auto"/>
        <w:bottom w:val="none" w:sz="0" w:space="0" w:color="auto"/>
        <w:right w:val="none" w:sz="0" w:space="0" w:color="auto"/>
      </w:divBdr>
    </w:div>
    <w:div w:id="982464087">
      <w:bodyDiv w:val="1"/>
      <w:marLeft w:val="0"/>
      <w:marRight w:val="0"/>
      <w:marTop w:val="0"/>
      <w:marBottom w:val="0"/>
      <w:divBdr>
        <w:top w:val="none" w:sz="0" w:space="0" w:color="auto"/>
        <w:left w:val="none" w:sz="0" w:space="0" w:color="auto"/>
        <w:bottom w:val="none" w:sz="0" w:space="0" w:color="auto"/>
        <w:right w:val="none" w:sz="0" w:space="0" w:color="auto"/>
      </w:divBdr>
    </w:div>
    <w:div w:id="1228297355">
      <w:bodyDiv w:val="1"/>
      <w:marLeft w:val="0"/>
      <w:marRight w:val="0"/>
      <w:marTop w:val="0"/>
      <w:marBottom w:val="0"/>
      <w:divBdr>
        <w:top w:val="none" w:sz="0" w:space="0" w:color="auto"/>
        <w:left w:val="none" w:sz="0" w:space="0" w:color="auto"/>
        <w:bottom w:val="none" w:sz="0" w:space="0" w:color="auto"/>
        <w:right w:val="none" w:sz="0" w:space="0" w:color="auto"/>
      </w:divBdr>
    </w:div>
    <w:div w:id="1293947563">
      <w:bodyDiv w:val="1"/>
      <w:marLeft w:val="0"/>
      <w:marRight w:val="0"/>
      <w:marTop w:val="0"/>
      <w:marBottom w:val="0"/>
      <w:divBdr>
        <w:top w:val="none" w:sz="0" w:space="0" w:color="auto"/>
        <w:left w:val="none" w:sz="0" w:space="0" w:color="auto"/>
        <w:bottom w:val="none" w:sz="0" w:space="0" w:color="auto"/>
        <w:right w:val="none" w:sz="0" w:space="0" w:color="auto"/>
      </w:divBdr>
    </w:div>
    <w:div w:id="1360472655">
      <w:bodyDiv w:val="1"/>
      <w:marLeft w:val="0"/>
      <w:marRight w:val="0"/>
      <w:marTop w:val="0"/>
      <w:marBottom w:val="0"/>
      <w:divBdr>
        <w:top w:val="none" w:sz="0" w:space="0" w:color="auto"/>
        <w:left w:val="none" w:sz="0" w:space="0" w:color="auto"/>
        <w:bottom w:val="none" w:sz="0" w:space="0" w:color="auto"/>
        <w:right w:val="none" w:sz="0" w:space="0" w:color="auto"/>
      </w:divBdr>
    </w:div>
    <w:div w:id="1387946355">
      <w:bodyDiv w:val="1"/>
      <w:marLeft w:val="0"/>
      <w:marRight w:val="0"/>
      <w:marTop w:val="0"/>
      <w:marBottom w:val="0"/>
      <w:divBdr>
        <w:top w:val="none" w:sz="0" w:space="0" w:color="auto"/>
        <w:left w:val="none" w:sz="0" w:space="0" w:color="auto"/>
        <w:bottom w:val="none" w:sz="0" w:space="0" w:color="auto"/>
        <w:right w:val="none" w:sz="0" w:space="0" w:color="auto"/>
      </w:divBdr>
    </w:div>
    <w:div w:id="1600870904">
      <w:bodyDiv w:val="1"/>
      <w:marLeft w:val="0"/>
      <w:marRight w:val="0"/>
      <w:marTop w:val="0"/>
      <w:marBottom w:val="0"/>
      <w:divBdr>
        <w:top w:val="none" w:sz="0" w:space="0" w:color="auto"/>
        <w:left w:val="none" w:sz="0" w:space="0" w:color="auto"/>
        <w:bottom w:val="none" w:sz="0" w:space="0" w:color="auto"/>
        <w:right w:val="none" w:sz="0" w:space="0" w:color="auto"/>
      </w:divBdr>
    </w:div>
    <w:div w:id="1696151464">
      <w:bodyDiv w:val="1"/>
      <w:marLeft w:val="0"/>
      <w:marRight w:val="0"/>
      <w:marTop w:val="0"/>
      <w:marBottom w:val="0"/>
      <w:divBdr>
        <w:top w:val="none" w:sz="0" w:space="0" w:color="auto"/>
        <w:left w:val="none" w:sz="0" w:space="0" w:color="auto"/>
        <w:bottom w:val="none" w:sz="0" w:space="0" w:color="auto"/>
        <w:right w:val="none" w:sz="0" w:space="0" w:color="auto"/>
      </w:divBdr>
    </w:div>
    <w:div w:id="1848903452">
      <w:bodyDiv w:val="1"/>
      <w:marLeft w:val="0"/>
      <w:marRight w:val="0"/>
      <w:marTop w:val="0"/>
      <w:marBottom w:val="0"/>
      <w:divBdr>
        <w:top w:val="none" w:sz="0" w:space="0" w:color="auto"/>
        <w:left w:val="none" w:sz="0" w:space="0" w:color="auto"/>
        <w:bottom w:val="none" w:sz="0" w:space="0" w:color="auto"/>
        <w:right w:val="none" w:sz="0" w:space="0" w:color="auto"/>
      </w:divBdr>
    </w:div>
    <w:div w:id="209847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codex.vandenbroele.be/Zoeken/Document.aspx?DID=1019755&amp;param=inhoud" TargetMode="External"/><Relationship Id="rId18" Type="http://schemas.openxmlformats.org/officeDocument/2006/relationships/image" Target="media/image2.wmf"/><Relationship Id="rId26" Type="http://schemas.openxmlformats.org/officeDocument/2006/relationships/image" Target="media/image6.wmf"/><Relationship Id="rId39"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oleObject" Target="embeddings/oleObject3.bin"/><Relationship Id="rId34" Type="http://schemas.openxmlformats.org/officeDocument/2006/relationships/image" Target="media/image10.wmf"/><Relationship Id="rId7" Type="http://schemas.openxmlformats.org/officeDocument/2006/relationships/webSettings" Target="webSettings.xml"/><Relationship Id="rId12" Type="http://schemas.openxmlformats.org/officeDocument/2006/relationships/hyperlink" Target="http://www.creg.be/nl/index.html" TargetMode="External"/><Relationship Id="rId17" Type="http://schemas.openxmlformats.org/officeDocument/2006/relationships/oleObject" Target="embeddings/oleObject1.bin"/><Relationship Id="rId25" Type="http://schemas.openxmlformats.org/officeDocument/2006/relationships/image" Target="media/image5.png"/><Relationship Id="rId33" Type="http://schemas.openxmlformats.org/officeDocument/2006/relationships/oleObject" Target="embeddings/oleObject7.bin"/><Relationship Id="rId38"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image" Target="media/image3.wmf"/><Relationship Id="rId29" Type="http://schemas.openxmlformats.org/officeDocument/2006/relationships/oleObject" Target="embeddings/oleObject5.bin"/><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ejustice.just.fgov.be/cgi_loi/change_lg.pl?language=nl&amp;la=N&amp;table_name=wet&amp;cn=1999050769" TargetMode="External"/><Relationship Id="rId24" Type="http://schemas.openxmlformats.org/officeDocument/2006/relationships/hyperlink" Target="http://statbel.fgov.be/nl/statistieken/cijfers/economie/consumptieprijzen/" TargetMode="External"/><Relationship Id="rId32" Type="http://schemas.openxmlformats.org/officeDocument/2006/relationships/image" Target="media/image9.wmf"/><Relationship Id="rId37" Type="http://schemas.openxmlformats.org/officeDocument/2006/relationships/oleObject" Target="embeddings/oleObject9.bin"/><Relationship Id="rId40"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http://www.energiesparen.be/over_vea" TargetMode="External"/><Relationship Id="rId23" Type="http://schemas.openxmlformats.org/officeDocument/2006/relationships/image" Target="media/image4.png"/><Relationship Id="rId28" Type="http://schemas.openxmlformats.org/officeDocument/2006/relationships/image" Target="media/image7.wmf"/><Relationship Id="rId36" Type="http://schemas.openxmlformats.org/officeDocument/2006/relationships/image" Target="media/image11.wmf"/><Relationship Id="rId10" Type="http://schemas.openxmlformats.org/officeDocument/2006/relationships/hyperlink" Target="https://www.acm.nl/nl/" TargetMode="External"/><Relationship Id="rId19" Type="http://schemas.openxmlformats.org/officeDocument/2006/relationships/oleObject" Target="embeddings/oleObject2.bin"/><Relationship Id="rId31" Type="http://schemas.openxmlformats.org/officeDocument/2006/relationships/oleObject" Target="embeddings/oleObject6.bin"/><Relationship Id="rId44"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codex.vandenbroele.be/Zoeken/Document.aspx?DID=1018092&amp;param=inhoud" TargetMode="External"/><Relationship Id="rId22" Type="http://schemas.openxmlformats.org/officeDocument/2006/relationships/image" Target="media/image4.gif"/><Relationship Id="rId27" Type="http://schemas.openxmlformats.org/officeDocument/2006/relationships/oleObject" Target="embeddings/oleObject4.bin"/><Relationship Id="rId30" Type="http://schemas.openxmlformats.org/officeDocument/2006/relationships/image" Target="media/image8.wmf"/><Relationship Id="rId35" Type="http://schemas.openxmlformats.org/officeDocument/2006/relationships/oleObject" Target="embeddings/oleObject8.bin"/><Relationship Id="rId43" Type="http://schemas.microsoft.com/office/2011/relationships/commentsExtended" Target="commentsExtended.xml"/></Relationships>
</file>

<file path=word/_rels/footnotes.xml.rels><?xml version="1.0" encoding="UTF-8" standalone="yes"?>
<Relationships xmlns="http://schemas.openxmlformats.org/package/2006/relationships"><Relationship Id="rId8" Type="http://schemas.openxmlformats.org/officeDocument/2006/relationships/hyperlink" Target="http://www.ejustice.just.fgov.be/cgi_loi/change_lg.pl?language=nl&amp;la=N&amp;cn=2001013030&amp;table_name=wet" TargetMode="External"/><Relationship Id="rId3" Type="http://schemas.openxmlformats.org/officeDocument/2006/relationships/hyperlink" Target="https://www.internetconsultatie.nl/stroom" TargetMode="External"/><Relationship Id="rId7" Type="http://schemas.openxmlformats.org/officeDocument/2006/relationships/hyperlink" Target="http://www.ejustice.just.fgov.be/cgi_loi/change_lg.pl?language=nl&amp;la=N&amp;cn=2001013030&amp;table_name=wet" TargetMode="External"/><Relationship Id="rId2" Type="http://schemas.openxmlformats.org/officeDocument/2006/relationships/hyperlink" Target="http://www.vreg.be/nl/juridisch-kader-distributienettarieven" TargetMode="External"/><Relationship Id="rId1" Type="http://schemas.openxmlformats.org/officeDocument/2006/relationships/hyperlink" Target="http://www.vreg.be/consultatie" TargetMode="External"/><Relationship Id="rId6" Type="http://schemas.openxmlformats.org/officeDocument/2006/relationships/hyperlink" Target="http://www.ejustice.just.fgov.be/cgi_loi/change_lg.pl?language=nl&amp;la=N&amp;cn=2001013030&amp;table_name=wet" TargetMode="External"/><Relationship Id="rId5" Type="http://schemas.openxmlformats.org/officeDocument/2006/relationships/hyperlink" Target="http://www.ejustice.just.fgov.be/cgi_loi/change_lg.pl?language=nl&amp;la=N&amp;cn=2001013030&amp;table_name=wet" TargetMode="External"/><Relationship Id="rId10" Type="http://schemas.openxmlformats.org/officeDocument/2006/relationships/hyperlink" Target="http://www.ejustice.just.fgov.be/cgi_loi/change_lg.pl?language=nl&amp;la=N&amp;cn=2001013030&amp;table_name=wet" TargetMode="External"/><Relationship Id="rId4" Type="http://schemas.openxmlformats.org/officeDocument/2006/relationships/hyperlink" Target="http://www.ejustice.just.fgov.be/cgi_loi/change_lg.pl?language=nl&amp;la=N&amp;cn=2001013030&amp;table_name=wet" TargetMode="External"/><Relationship Id="rId9" Type="http://schemas.openxmlformats.org/officeDocument/2006/relationships/hyperlink" Target="http://www.ejustice.just.fgov.be/cgi_loi/change_lg.pl?language=nl&amp;la=N&amp;cn=2001013030&amp;table_name=w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17514-0748-4135-968C-88A7C308E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84</Pages>
  <Words>35927</Words>
  <Characters>197599</Characters>
  <Application>Microsoft Office Word</Application>
  <DocSecurity>0</DocSecurity>
  <Lines>1646</Lines>
  <Paragraphs>466</Paragraphs>
  <ScaleCrop>false</ScaleCrop>
  <HeadingPairs>
    <vt:vector size="2" baseType="variant">
      <vt:variant>
        <vt:lpstr>Titel</vt:lpstr>
      </vt:variant>
      <vt:variant>
        <vt:i4>1</vt:i4>
      </vt:variant>
    </vt:vector>
  </HeadingPairs>
  <TitlesOfParts>
    <vt:vector size="1" baseType="lpstr">
      <vt:lpstr>Informatienota:</vt:lpstr>
    </vt:vector>
  </TitlesOfParts>
  <Company>Vreg</Company>
  <LinksUpToDate>false</LinksUpToDate>
  <CharactersWithSpaces>233060</CharactersWithSpaces>
  <SharedDoc>false</SharedDoc>
  <HLinks>
    <vt:vector size="132" baseType="variant">
      <vt:variant>
        <vt:i4>1507378</vt:i4>
      </vt:variant>
      <vt:variant>
        <vt:i4>128</vt:i4>
      </vt:variant>
      <vt:variant>
        <vt:i4>0</vt:i4>
      </vt:variant>
      <vt:variant>
        <vt:i4>5</vt:i4>
      </vt:variant>
      <vt:variant>
        <vt:lpwstr/>
      </vt:variant>
      <vt:variant>
        <vt:lpwstr>_Toc363035137</vt:lpwstr>
      </vt:variant>
      <vt:variant>
        <vt:i4>1507378</vt:i4>
      </vt:variant>
      <vt:variant>
        <vt:i4>122</vt:i4>
      </vt:variant>
      <vt:variant>
        <vt:i4>0</vt:i4>
      </vt:variant>
      <vt:variant>
        <vt:i4>5</vt:i4>
      </vt:variant>
      <vt:variant>
        <vt:lpwstr/>
      </vt:variant>
      <vt:variant>
        <vt:lpwstr>_Toc363035136</vt:lpwstr>
      </vt:variant>
      <vt:variant>
        <vt:i4>1507378</vt:i4>
      </vt:variant>
      <vt:variant>
        <vt:i4>116</vt:i4>
      </vt:variant>
      <vt:variant>
        <vt:i4>0</vt:i4>
      </vt:variant>
      <vt:variant>
        <vt:i4>5</vt:i4>
      </vt:variant>
      <vt:variant>
        <vt:lpwstr/>
      </vt:variant>
      <vt:variant>
        <vt:lpwstr>_Toc363035135</vt:lpwstr>
      </vt:variant>
      <vt:variant>
        <vt:i4>1507378</vt:i4>
      </vt:variant>
      <vt:variant>
        <vt:i4>110</vt:i4>
      </vt:variant>
      <vt:variant>
        <vt:i4>0</vt:i4>
      </vt:variant>
      <vt:variant>
        <vt:i4>5</vt:i4>
      </vt:variant>
      <vt:variant>
        <vt:lpwstr/>
      </vt:variant>
      <vt:variant>
        <vt:lpwstr>_Toc363035134</vt:lpwstr>
      </vt:variant>
      <vt:variant>
        <vt:i4>1507378</vt:i4>
      </vt:variant>
      <vt:variant>
        <vt:i4>104</vt:i4>
      </vt:variant>
      <vt:variant>
        <vt:i4>0</vt:i4>
      </vt:variant>
      <vt:variant>
        <vt:i4>5</vt:i4>
      </vt:variant>
      <vt:variant>
        <vt:lpwstr/>
      </vt:variant>
      <vt:variant>
        <vt:lpwstr>_Toc363035133</vt:lpwstr>
      </vt:variant>
      <vt:variant>
        <vt:i4>1507378</vt:i4>
      </vt:variant>
      <vt:variant>
        <vt:i4>98</vt:i4>
      </vt:variant>
      <vt:variant>
        <vt:i4>0</vt:i4>
      </vt:variant>
      <vt:variant>
        <vt:i4>5</vt:i4>
      </vt:variant>
      <vt:variant>
        <vt:lpwstr/>
      </vt:variant>
      <vt:variant>
        <vt:lpwstr>_Toc363035132</vt:lpwstr>
      </vt:variant>
      <vt:variant>
        <vt:i4>1507378</vt:i4>
      </vt:variant>
      <vt:variant>
        <vt:i4>92</vt:i4>
      </vt:variant>
      <vt:variant>
        <vt:i4>0</vt:i4>
      </vt:variant>
      <vt:variant>
        <vt:i4>5</vt:i4>
      </vt:variant>
      <vt:variant>
        <vt:lpwstr/>
      </vt:variant>
      <vt:variant>
        <vt:lpwstr>_Toc363035131</vt:lpwstr>
      </vt:variant>
      <vt:variant>
        <vt:i4>1507378</vt:i4>
      </vt:variant>
      <vt:variant>
        <vt:i4>86</vt:i4>
      </vt:variant>
      <vt:variant>
        <vt:i4>0</vt:i4>
      </vt:variant>
      <vt:variant>
        <vt:i4>5</vt:i4>
      </vt:variant>
      <vt:variant>
        <vt:lpwstr/>
      </vt:variant>
      <vt:variant>
        <vt:lpwstr>_Toc363035130</vt:lpwstr>
      </vt:variant>
      <vt:variant>
        <vt:i4>1441842</vt:i4>
      </vt:variant>
      <vt:variant>
        <vt:i4>80</vt:i4>
      </vt:variant>
      <vt:variant>
        <vt:i4>0</vt:i4>
      </vt:variant>
      <vt:variant>
        <vt:i4>5</vt:i4>
      </vt:variant>
      <vt:variant>
        <vt:lpwstr/>
      </vt:variant>
      <vt:variant>
        <vt:lpwstr>_Toc363035129</vt:lpwstr>
      </vt:variant>
      <vt:variant>
        <vt:i4>1441842</vt:i4>
      </vt:variant>
      <vt:variant>
        <vt:i4>74</vt:i4>
      </vt:variant>
      <vt:variant>
        <vt:i4>0</vt:i4>
      </vt:variant>
      <vt:variant>
        <vt:i4>5</vt:i4>
      </vt:variant>
      <vt:variant>
        <vt:lpwstr/>
      </vt:variant>
      <vt:variant>
        <vt:lpwstr>_Toc363035128</vt:lpwstr>
      </vt:variant>
      <vt:variant>
        <vt:i4>1441842</vt:i4>
      </vt:variant>
      <vt:variant>
        <vt:i4>68</vt:i4>
      </vt:variant>
      <vt:variant>
        <vt:i4>0</vt:i4>
      </vt:variant>
      <vt:variant>
        <vt:i4>5</vt:i4>
      </vt:variant>
      <vt:variant>
        <vt:lpwstr/>
      </vt:variant>
      <vt:variant>
        <vt:lpwstr>_Toc363035127</vt:lpwstr>
      </vt:variant>
      <vt:variant>
        <vt:i4>1441842</vt:i4>
      </vt:variant>
      <vt:variant>
        <vt:i4>62</vt:i4>
      </vt:variant>
      <vt:variant>
        <vt:i4>0</vt:i4>
      </vt:variant>
      <vt:variant>
        <vt:i4>5</vt:i4>
      </vt:variant>
      <vt:variant>
        <vt:lpwstr/>
      </vt:variant>
      <vt:variant>
        <vt:lpwstr>_Toc363035126</vt:lpwstr>
      </vt:variant>
      <vt:variant>
        <vt:i4>1441842</vt:i4>
      </vt:variant>
      <vt:variant>
        <vt:i4>56</vt:i4>
      </vt:variant>
      <vt:variant>
        <vt:i4>0</vt:i4>
      </vt:variant>
      <vt:variant>
        <vt:i4>5</vt:i4>
      </vt:variant>
      <vt:variant>
        <vt:lpwstr/>
      </vt:variant>
      <vt:variant>
        <vt:lpwstr>_Toc363035125</vt:lpwstr>
      </vt:variant>
      <vt:variant>
        <vt:i4>1441842</vt:i4>
      </vt:variant>
      <vt:variant>
        <vt:i4>50</vt:i4>
      </vt:variant>
      <vt:variant>
        <vt:i4>0</vt:i4>
      </vt:variant>
      <vt:variant>
        <vt:i4>5</vt:i4>
      </vt:variant>
      <vt:variant>
        <vt:lpwstr/>
      </vt:variant>
      <vt:variant>
        <vt:lpwstr>_Toc363035124</vt:lpwstr>
      </vt:variant>
      <vt:variant>
        <vt:i4>1441842</vt:i4>
      </vt:variant>
      <vt:variant>
        <vt:i4>44</vt:i4>
      </vt:variant>
      <vt:variant>
        <vt:i4>0</vt:i4>
      </vt:variant>
      <vt:variant>
        <vt:i4>5</vt:i4>
      </vt:variant>
      <vt:variant>
        <vt:lpwstr/>
      </vt:variant>
      <vt:variant>
        <vt:lpwstr>_Toc363035123</vt:lpwstr>
      </vt:variant>
      <vt:variant>
        <vt:i4>1441842</vt:i4>
      </vt:variant>
      <vt:variant>
        <vt:i4>38</vt:i4>
      </vt:variant>
      <vt:variant>
        <vt:i4>0</vt:i4>
      </vt:variant>
      <vt:variant>
        <vt:i4>5</vt:i4>
      </vt:variant>
      <vt:variant>
        <vt:lpwstr/>
      </vt:variant>
      <vt:variant>
        <vt:lpwstr>_Toc363035122</vt:lpwstr>
      </vt:variant>
      <vt:variant>
        <vt:i4>1441842</vt:i4>
      </vt:variant>
      <vt:variant>
        <vt:i4>32</vt:i4>
      </vt:variant>
      <vt:variant>
        <vt:i4>0</vt:i4>
      </vt:variant>
      <vt:variant>
        <vt:i4>5</vt:i4>
      </vt:variant>
      <vt:variant>
        <vt:lpwstr/>
      </vt:variant>
      <vt:variant>
        <vt:lpwstr>_Toc363035121</vt:lpwstr>
      </vt:variant>
      <vt:variant>
        <vt:i4>1441842</vt:i4>
      </vt:variant>
      <vt:variant>
        <vt:i4>26</vt:i4>
      </vt:variant>
      <vt:variant>
        <vt:i4>0</vt:i4>
      </vt:variant>
      <vt:variant>
        <vt:i4>5</vt:i4>
      </vt:variant>
      <vt:variant>
        <vt:lpwstr/>
      </vt:variant>
      <vt:variant>
        <vt:lpwstr>_Toc363035120</vt:lpwstr>
      </vt:variant>
      <vt:variant>
        <vt:i4>1376306</vt:i4>
      </vt:variant>
      <vt:variant>
        <vt:i4>20</vt:i4>
      </vt:variant>
      <vt:variant>
        <vt:i4>0</vt:i4>
      </vt:variant>
      <vt:variant>
        <vt:i4>5</vt:i4>
      </vt:variant>
      <vt:variant>
        <vt:lpwstr/>
      </vt:variant>
      <vt:variant>
        <vt:lpwstr>_Toc363035119</vt:lpwstr>
      </vt:variant>
      <vt:variant>
        <vt:i4>1376306</vt:i4>
      </vt:variant>
      <vt:variant>
        <vt:i4>14</vt:i4>
      </vt:variant>
      <vt:variant>
        <vt:i4>0</vt:i4>
      </vt:variant>
      <vt:variant>
        <vt:i4>5</vt:i4>
      </vt:variant>
      <vt:variant>
        <vt:lpwstr/>
      </vt:variant>
      <vt:variant>
        <vt:lpwstr>_Toc363035118</vt:lpwstr>
      </vt:variant>
      <vt:variant>
        <vt:i4>1376306</vt:i4>
      </vt:variant>
      <vt:variant>
        <vt:i4>8</vt:i4>
      </vt:variant>
      <vt:variant>
        <vt:i4>0</vt:i4>
      </vt:variant>
      <vt:variant>
        <vt:i4>5</vt:i4>
      </vt:variant>
      <vt:variant>
        <vt:lpwstr/>
      </vt:variant>
      <vt:variant>
        <vt:lpwstr>_Toc363035117</vt:lpwstr>
      </vt:variant>
      <vt:variant>
        <vt:i4>1376306</vt:i4>
      </vt:variant>
      <vt:variant>
        <vt:i4>2</vt:i4>
      </vt:variant>
      <vt:variant>
        <vt:i4>0</vt:i4>
      </vt:variant>
      <vt:variant>
        <vt:i4>5</vt:i4>
      </vt:variant>
      <vt:variant>
        <vt:lpwstr/>
      </vt:variant>
      <vt:variant>
        <vt:lpwstr>_Toc363035116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Informatienota:</dc:title>
  <dc:creator>Sofie Lauwaert</dc:creator>
  <cp:lastModifiedBy>Sofie Lauwaert</cp:lastModifiedBy>
  <cp:revision>2</cp:revision>
  <cp:lastPrinted>2016-04-05T13:56:00Z</cp:lastPrinted>
  <dcterms:created xsi:type="dcterms:W3CDTF">2016-06-28T14:58:00Z</dcterms:created>
  <dcterms:modified xsi:type="dcterms:W3CDTF">2016-06-28T14:58:00Z</dcterms:modified>
</cp:coreProperties>
</file>